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Rogers Campbell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HEARTFLOW,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 MAIN STREET, SUITE 1000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Heartflow,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HTFL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1"/>
        <w:gridCol w:w="924"/>
        <w:gridCol w:w="793"/>
        <w:gridCol w:w="614"/>
        <w:gridCol w:w="347"/>
        <w:gridCol w:w="832"/>
        <w:gridCol w:w="437"/>
        <w:gridCol w:w="758"/>
        <w:gridCol w:w="1144"/>
        <w:gridCol w:w="987"/>
        <w:gridCol w:w="12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9,219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95,678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9,219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41.23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86,459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22,615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Campbell Rogers 2019 Irrevocable Trust</w:t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46,159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CR Asset Protection Trust of 2023</w:t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26,012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Spouse's Trust</w:t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50,754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Campbell Rogers Revocable Trust</w:t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9,219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08/07/2035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82,972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exercise and sale reported on this Form 4 were effected pursuant to a Rule 10b5-1 Trading Plan adopted by the reporting person on December 12,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vests and becomes exercisable in monthly installments until August 7, 2029, subject to continued service through the applicable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Nga Van,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85724" TargetMode="External"/><Relationship Id="rId5" Type="http://schemas.openxmlformats.org/officeDocument/2006/relationships/hyperlink" Target="http://www.sec.gov/cgi-bin/browse-edgar?action=getcompany&amp;CIK=00014645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682</Words>
  <Characters>3654</Characters>
  <CharactersWithSpaces>4231</CharactersWithSpaces>
  <Paragraphs>133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