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0001585724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Rogers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9219</w:t>
            </w:r>
          </w:p>
        </w:tc>
        <w:tc>
          <w:tcPr>
            <w:tcW w:w="1377" w:type="dxa"/>
            <w:tcBorders/>
            <w:vAlign w:val="center"/>
          </w:tcPr>
          <w:p>
            <w:pPr>
              <w:pStyle w:val="TableContents"/>
              <w:bidi w:val="0"/>
              <w:spacing w:before="0" w:after="283"/>
              <w:jc w:val="left"/>
              <w:rPr/>
            </w:pPr>
            <w:r>
              <w:rPr/>
              <w:t>380099.37</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9219</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Campbell D. Rogers</w:t>
              <w:br/>
              <w:t>135 Main Street Suite 1000</w:t>
              <w:br/>
              <w:t>San Francisco   CA   94105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05/18/2026</w:t>
            </w:r>
          </w:p>
        </w:tc>
        <w:tc>
          <w:tcPr>
            <w:tcW w:w="1570" w:type="dxa"/>
            <w:tcBorders/>
            <w:vAlign w:val="center"/>
          </w:tcPr>
          <w:p>
            <w:pPr>
              <w:pStyle w:val="TableContents"/>
              <w:bidi w:val="0"/>
              <w:spacing w:before="0" w:after="283"/>
              <w:jc w:val="left"/>
              <w:rPr/>
            </w:pPr>
            <w:r>
              <w:rPr/>
              <w:t>9219</w:t>
            </w:r>
          </w:p>
        </w:tc>
        <w:tc>
          <w:tcPr>
            <w:tcW w:w="1770" w:type="dxa"/>
            <w:tcBorders/>
            <w:vAlign w:val="center"/>
          </w:tcPr>
          <w:p>
            <w:pPr>
              <w:pStyle w:val="TableContents"/>
              <w:bidi w:val="0"/>
              <w:spacing w:before="0" w:after="283"/>
              <w:jc w:val="left"/>
              <w:rPr/>
            </w:pPr>
            <w:r>
              <w:rPr/>
              <w:t>261266.46</w:t>
            </w:r>
          </w:p>
        </w:tc>
      </w:tr>
      <w:tr>
        <w:trPr/>
        <w:tc>
          <w:tcPr>
            <w:tcW w:w="2941" w:type="dxa"/>
            <w:tcBorders/>
            <w:vAlign w:val="center"/>
          </w:tcPr>
          <w:p>
            <w:pPr>
              <w:pStyle w:val="TableContents"/>
              <w:bidi w:val="0"/>
              <w:spacing w:before="0" w:after="283"/>
              <w:jc w:val="left"/>
              <w:rPr/>
            </w:pPr>
            <w:r>
              <w:rPr/>
              <w:t>Campbell D. Rogers</w:t>
              <w:br/>
              <w:t>135 Main Street Suite 1000</w:t>
              <w:br/>
              <w:t>San Francisco   CA   94105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07/15/2026</w:t>
            </w:r>
          </w:p>
        </w:tc>
        <w:tc>
          <w:tcPr>
            <w:tcW w:w="1570" w:type="dxa"/>
            <w:tcBorders/>
            <w:vAlign w:val="center"/>
          </w:tcPr>
          <w:p>
            <w:pPr>
              <w:pStyle w:val="TableContents"/>
              <w:bidi w:val="0"/>
              <w:spacing w:before="0" w:after="283"/>
              <w:jc w:val="left"/>
              <w:rPr/>
            </w:pPr>
            <w:r>
              <w:rPr/>
              <w:t>9219</w:t>
            </w:r>
          </w:p>
        </w:tc>
        <w:tc>
          <w:tcPr>
            <w:tcW w:w="1770" w:type="dxa"/>
            <w:tcBorders/>
            <w:vAlign w:val="center"/>
          </w:tcPr>
          <w:p>
            <w:pPr>
              <w:pStyle w:val="TableContents"/>
              <w:bidi w:val="0"/>
              <w:spacing w:before="0" w:after="283"/>
              <w:jc w:val="left"/>
              <w:rPr/>
            </w:pPr>
            <w:r>
              <w:rPr/>
              <w:t>237112.68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4"/>
        <w:gridCol w:w="6331"/>
      </w:tblGrid>
      <w:tr>
        <w:trPr/>
        <w:tc>
          <w:tcPr>
            <w:tcW w:w="3874" w:type="dxa"/>
            <w:tcBorders/>
            <w:vAlign w:val="center"/>
          </w:tcPr>
          <w:p>
            <w:pPr>
              <w:pStyle w:val="TableContents"/>
              <w:bidi w:val="0"/>
              <w:spacing w:before="0" w:after="283"/>
              <w:jc w:val="left"/>
              <w:rPr/>
            </w:pPr>
            <w:r>
              <w:rPr/>
              <w:t>Remarks</w:t>
            </w:r>
          </w:p>
        </w:tc>
        <w:tc>
          <w:tcPr>
            <w:tcW w:w="6331" w:type="dxa"/>
            <w:tcBorders/>
            <w:vAlign w:val="center"/>
          </w:tcPr>
          <w:p>
            <w:pPr>
              <w:pStyle w:val="TableContents"/>
              <w:bidi w:val="0"/>
              <w:spacing w:before="0" w:after="283"/>
              <w:jc w:val="left"/>
              <w:rPr>
                <w:sz w:val="4"/>
                <w:szCs w:val="4"/>
              </w:rPr>
            </w:pPr>
            <w:r>
              <w:rPr>
                <w:sz w:val="4"/>
                <w:szCs w:val="4"/>
              </w:rPr>
            </w:r>
          </w:p>
        </w:tc>
      </w:tr>
      <w:tr>
        <w:trPr/>
        <w:tc>
          <w:tcPr>
            <w:tcW w:w="3874" w:type="dxa"/>
            <w:tcBorders/>
            <w:vAlign w:val="center"/>
          </w:tcPr>
          <w:p>
            <w:pPr>
              <w:pStyle w:val="TableContents"/>
              <w:bidi w:val="0"/>
              <w:spacing w:before="0" w:after="283"/>
              <w:jc w:val="left"/>
              <w:rPr/>
            </w:pPr>
            <w:r>
              <w:rPr/>
              <w:t>Date of Notice</w:t>
            </w:r>
          </w:p>
        </w:tc>
        <w:tc>
          <w:tcPr>
            <w:tcW w:w="6331" w:type="dxa"/>
            <w:tcBorders/>
            <w:vAlign w:val="center"/>
          </w:tcPr>
          <w:p>
            <w:pPr>
              <w:pStyle w:val="TableContents"/>
              <w:bidi w:val="0"/>
              <w:spacing w:before="0" w:after="0"/>
              <w:jc w:val="left"/>
              <w:rPr/>
            </w:pPr>
            <w:r>
              <w:rPr/>
              <w:t>08/17/2026</w:t>
            </w:r>
          </w:p>
        </w:tc>
      </w:tr>
      <w:tr>
        <w:trPr/>
        <w:tc>
          <w:tcPr>
            <w:tcW w:w="3874" w:type="dxa"/>
            <w:tcBorders/>
            <w:vAlign w:val="center"/>
          </w:tcPr>
          <w:p>
            <w:pPr>
              <w:pStyle w:val="TableContents"/>
              <w:bidi w:val="0"/>
              <w:spacing w:before="0" w:after="283"/>
              <w:jc w:val="left"/>
              <w:rPr/>
            </w:pPr>
            <w:r>
              <w:rPr/>
              <w:t>Date of Plan Adoption or Giving of Instruction, If Relying on Rule 10b5-1</w:t>
            </w:r>
          </w:p>
        </w:tc>
        <w:tc>
          <w:tcPr>
            <w:tcW w:w="6331"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4" w:type="dxa"/>
            <w:tcBorders/>
            <w:vAlign w:val="center"/>
          </w:tcPr>
          <w:p>
            <w:pPr>
              <w:pStyle w:val="TableContents"/>
              <w:bidi w:val="0"/>
              <w:spacing w:before="0" w:after="283"/>
              <w:jc w:val="left"/>
              <w:rPr/>
            </w:pPr>
            <w:r>
              <w:rPr/>
              <w:t>Signature</w:t>
            </w:r>
          </w:p>
        </w:tc>
        <w:tc>
          <w:tcPr>
            <w:tcW w:w="6331" w:type="dxa"/>
            <w:tcBorders/>
            <w:vAlign w:val="center"/>
          </w:tcPr>
          <w:p>
            <w:pPr>
              <w:pStyle w:val="TableContents"/>
              <w:bidi w:val="0"/>
              <w:spacing w:before="0" w:after="0"/>
              <w:jc w:val="left"/>
              <w:rPr/>
            </w:pPr>
            <w:r>
              <w:rPr/>
              <w:t>/s/ Jared Cook, as a duly authorized representative of Fidelity Brokerage Services LLC, as attorney-in-fact for Campbell D.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3292</Characters>
  <CharactersWithSpaces>3877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