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Verghese Vikram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HEARTFLOW,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 MAIN STREET, SUITE 1000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Heartflow,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Stock.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22,522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233,376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2.22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22,522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12/24/2033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89,110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and becomes exercisable in monthly installments until October 30, 2027, subject to continued service through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Nga Van,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9946" TargetMode="External"/><Relationship Id="rId5" Type="http://schemas.openxmlformats.org/officeDocument/2006/relationships/hyperlink" Target="http://www.sec.gov/cgi-bin/browse-edgar?action=getcompany&amp;CIK=0001464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3296</Characters>
  <CharactersWithSpaces>3822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