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Heartflow,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001-42790</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650-241-1221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5653</w:t>
            </w:r>
          </w:p>
        </w:tc>
        <w:tc>
          <w:tcPr>
            <w:tcW w:w="1377" w:type="dxa"/>
            <w:tcBorders/>
            <w:vAlign w:val="center"/>
          </w:tcPr>
          <w:p>
            <w:pPr>
              <w:pStyle w:val="TableContents"/>
              <w:bidi w:val="0"/>
              <w:spacing w:before="0" w:after="283"/>
              <w:jc w:val="left"/>
              <w:rPr/>
            </w:pPr>
            <w:r>
              <w:rPr/>
              <w:t>283497.95</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03/21/2018</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5653</w:t>
            </w:r>
          </w:p>
        </w:tc>
        <w:tc>
          <w:tcPr>
            <w:tcW w:w="1078" w:type="dxa"/>
            <w:tcBorders/>
            <w:vAlign w:val="center"/>
          </w:tcPr>
          <w:p>
            <w:pPr>
              <w:pStyle w:val="TableContents"/>
              <w:bidi w:val="0"/>
              <w:spacing w:before="0" w:after="283"/>
              <w:jc w:val="left"/>
              <w:rPr/>
            </w:pPr>
            <w:r>
              <w:rPr/>
              <w:t>03/21/2018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Campbell D. Rogers</w:t>
              <w:br/>
              <w:t>135 Main Street, 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07/15/2026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237112.68</w:t>
            </w:r>
          </w:p>
        </w:tc>
      </w:tr>
      <w:tr>
        <w:trPr/>
        <w:tc>
          <w:tcPr>
            <w:tcW w:w="2941" w:type="dxa"/>
            <w:tcBorders/>
            <w:vAlign w:val="center"/>
          </w:tcPr>
          <w:p>
            <w:pPr>
              <w:pStyle w:val="TableContents"/>
              <w:bidi w:val="0"/>
              <w:spacing w:before="0" w:after="283"/>
              <w:jc w:val="left"/>
              <w:rPr/>
            </w:pPr>
            <w:r>
              <w:rPr/>
              <w:t>Campbell D. Rogers</w:t>
              <w:br/>
              <w:t>135 Main Street, 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09/18/2026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380099.37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99"/>
        <w:gridCol w:w="7006"/>
      </w:tblGrid>
      <w:tr>
        <w:trPr/>
        <w:tc>
          <w:tcPr>
            <w:tcW w:w="3199" w:type="dxa"/>
            <w:tcBorders/>
            <w:vAlign w:val="center"/>
          </w:tcPr>
          <w:p>
            <w:pPr>
              <w:pStyle w:val="TableContents"/>
              <w:bidi w:val="0"/>
              <w:spacing w:before="0" w:after="283"/>
              <w:jc w:val="left"/>
              <w:rPr/>
            </w:pPr>
            <w:r>
              <w:rPr/>
              <w:t>Remarks</w:t>
            </w:r>
          </w:p>
        </w:tc>
        <w:tc>
          <w:tcPr>
            <w:tcW w:w="7006" w:type="dxa"/>
            <w:tcBorders/>
            <w:vAlign w:val="center"/>
          </w:tcPr>
          <w:p>
            <w:pPr>
              <w:pStyle w:val="TableContents"/>
              <w:bidi w:val="0"/>
              <w:spacing w:before="0" w:after="0"/>
              <w:jc w:val="left"/>
              <w:rPr/>
            </w:pPr>
            <w:r>
              <w:rPr/>
              <w:t>Today's trade occurred in the Sarah Rogers Ttee Campbell Rogers 2019 Irrevocable Trust, of whom Sarah D. Rogers is a trustee and the spouse of Campbell D. Rogers, an officer in the company.</w:t>
            </w:r>
          </w:p>
        </w:tc>
      </w:tr>
      <w:tr>
        <w:trPr/>
        <w:tc>
          <w:tcPr>
            <w:tcW w:w="3199" w:type="dxa"/>
            <w:tcBorders/>
            <w:vAlign w:val="center"/>
          </w:tcPr>
          <w:p>
            <w:pPr>
              <w:pStyle w:val="TableContents"/>
              <w:bidi w:val="0"/>
              <w:spacing w:before="0" w:after="283"/>
              <w:jc w:val="left"/>
              <w:rPr/>
            </w:pPr>
            <w:r>
              <w:rPr/>
              <w:t>Date of Notice</w:t>
            </w:r>
          </w:p>
        </w:tc>
        <w:tc>
          <w:tcPr>
            <w:tcW w:w="7006" w:type="dxa"/>
            <w:tcBorders/>
            <w:vAlign w:val="center"/>
          </w:tcPr>
          <w:p>
            <w:pPr>
              <w:pStyle w:val="TableContents"/>
              <w:bidi w:val="0"/>
              <w:spacing w:before="0" w:after="0"/>
              <w:jc w:val="left"/>
              <w:rPr/>
            </w:pPr>
            <w:r>
              <w:rPr/>
              <w:t>09/18/2026</w:t>
            </w:r>
          </w:p>
        </w:tc>
      </w:tr>
      <w:tr>
        <w:trPr/>
        <w:tc>
          <w:tcPr>
            <w:tcW w:w="3199" w:type="dxa"/>
            <w:tcBorders/>
            <w:vAlign w:val="center"/>
          </w:tcPr>
          <w:p>
            <w:pPr>
              <w:pStyle w:val="TableContents"/>
              <w:bidi w:val="0"/>
              <w:spacing w:before="0" w:after="283"/>
              <w:jc w:val="left"/>
              <w:rPr/>
            </w:pPr>
            <w:r>
              <w:rPr/>
              <w:t>Date of Plan Adoption or Giving of Instruction, If Relying on Rule 10b5-1</w:t>
            </w:r>
          </w:p>
        </w:tc>
        <w:tc>
          <w:tcPr>
            <w:tcW w:w="7006"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99" w:type="dxa"/>
            <w:tcBorders/>
            <w:vAlign w:val="center"/>
          </w:tcPr>
          <w:p>
            <w:pPr>
              <w:pStyle w:val="TableContents"/>
              <w:bidi w:val="0"/>
              <w:spacing w:before="0" w:after="283"/>
              <w:jc w:val="left"/>
              <w:rPr/>
            </w:pPr>
            <w:r>
              <w:rPr/>
              <w:t>Signature</w:t>
            </w:r>
          </w:p>
        </w:tc>
        <w:tc>
          <w:tcPr>
            <w:tcW w:w="7006" w:type="dxa"/>
            <w:tcBorders/>
            <w:vAlign w:val="center"/>
          </w:tcPr>
          <w:p>
            <w:pPr>
              <w:pStyle w:val="TableContents"/>
              <w:bidi w:val="0"/>
              <w:spacing w:before="0" w:after="0"/>
              <w:jc w:val="left"/>
              <w:rPr/>
            </w:pPr>
            <w:r>
              <w:rPr/>
              <w:t>/s/ Gary Redman, as a duly authorized representative of Fidelity Brokerage Services LLC, as attorney-in-fact for Campbell D.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3487</Characters>
  <CharactersWithSpaces>4112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