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jc w:val="center"/>
        <w:spacing w:after="0" w:line="237"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line="218" w:lineRule="auto"/>
        <w:rPr>
          <w:sz w:val="20"/>
          <w:szCs w:val="20"/>
          <w:color w:val="auto"/>
        </w:rPr>
      </w:pPr>
      <w:r>
        <w:rPr>
          <w:rFonts w:ascii="Times New Roman" w:cs="Times New Roman" w:eastAsia="Times New Roman" w:hAnsi="Times New Roman"/>
          <w:sz w:val="17"/>
          <w:szCs w:val="17"/>
          <w:b w:val="1"/>
          <w:bCs w:val="1"/>
          <w:color w:val="auto"/>
        </w:rPr>
        <w:t>Washington, D.C. 20549</w:t>
      </w:r>
    </w:p>
    <w:p>
      <w:pPr>
        <w:ind w:left="4900"/>
        <w:spacing w:after="0"/>
        <w:rPr>
          <w:sz w:val="20"/>
          <w:szCs w:val="20"/>
          <w:color w:val="auto"/>
        </w:rPr>
      </w:pPr>
      <w:r>
        <w:rPr>
          <w:rFonts w:ascii="Times New Roman" w:cs="Times New Roman" w:eastAsia="Times New Roman" w:hAnsi="Times New Roman"/>
          <w:sz w:val="12"/>
          <w:szCs w:val="12"/>
          <w:color w:val="auto"/>
        </w:rPr>
        <w:t>_________________________</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3"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2"/>
          <w:szCs w:val="12"/>
          <w:color w:val="auto"/>
        </w:rPr>
        <w:t>_________________________</w:t>
      </w: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2" w:lineRule="exact"/>
        <w:rPr>
          <w:sz w:val="24"/>
          <w:szCs w:val="24"/>
          <w:color w:val="auto"/>
        </w:rPr>
      </w:pPr>
    </w:p>
    <w:p>
      <w:pPr>
        <w:ind w:left="420" w:hanging="419"/>
        <w:spacing w:after="0"/>
        <w:tabs>
          <w:tab w:leader="none" w:pos="42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b w:val="1"/>
          <w:bCs w:val="1"/>
          <w:color w:val="auto"/>
        </w:rPr>
        <w:t>QUARTERLY REPORT PURSUANT TO SECTION 13 OR 15(d) OF THE SECURITIES EXCHANGE ACT OF 1934</w:t>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the quarterly period ended March 31, 2026</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78" w:lineRule="exact"/>
        <w:rPr>
          <w:sz w:val="24"/>
          <w:szCs w:val="24"/>
          <w:color w:val="auto"/>
        </w:rPr>
      </w:pPr>
    </w:p>
    <w:p>
      <w:pPr>
        <w:ind w:left="440" w:hanging="439"/>
        <w:spacing w:after="0"/>
        <w:tabs>
          <w:tab w:leader="none" w:pos="440" w:val="left"/>
        </w:tabs>
        <w:numPr>
          <w:ilvl w:val="0"/>
          <w:numId w:val="2"/>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b w:val="1"/>
          <w:bCs w:val="1"/>
          <w:color w:val="auto"/>
        </w:rPr>
        <w:t>TRANSITION REPORT PURSUANT TO SECTION 13 OR 15(d) OF THE SECURITIES EXCHANGE ACT OF 1934</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3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80" w:type="dxa"/>
            <w:vAlign w:val="bottom"/>
            <w:gridSpan w:val="3"/>
          </w:tcPr>
          <w:p>
            <w:pPr>
              <w:jc w:val="center"/>
              <w:ind w:right="1040"/>
              <w:spacing w:after="0"/>
              <w:rPr>
                <w:sz w:val="20"/>
                <w:szCs w:val="20"/>
                <w:color w:val="auto"/>
              </w:rPr>
            </w:pPr>
            <w:r>
              <w:rPr>
                <w:rFonts w:ascii="Times New Roman" w:cs="Times New Roman" w:eastAsia="Times New Roman" w:hAnsi="Times New Roman"/>
                <w:sz w:val="12"/>
                <w:szCs w:val="12"/>
                <w:b w:val="1"/>
                <w:bCs w:val="1"/>
                <w:color w:val="auto"/>
              </w:rPr>
              <w:t>For the transition period from ____ to ____</w:t>
            </w: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80" w:type="dxa"/>
            <w:vAlign w:val="bottom"/>
            <w:gridSpan w:val="3"/>
          </w:tcPr>
          <w:p>
            <w:pPr>
              <w:jc w:val="center"/>
              <w:ind w:right="1020"/>
              <w:spacing w:after="0"/>
              <w:rPr>
                <w:sz w:val="20"/>
                <w:szCs w:val="20"/>
                <w:color w:val="auto"/>
              </w:rPr>
            </w:pPr>
            <w:r>
              <w:rPr>
                <w:rFonts w:ascii="Times New Roman" w:cs="Times New Roman" w:eastAsia="Times New Roman" w:hAnsi="Times New Roman"/>
                <w:sz w:val="12"/>
                <w:szCs w:val="12"/>
                <w:b w:val="1"/>
                <w:bCs w:val="1"/>
                <w:color w:val="auto"/>
                <w:w w:val="99"/>
              </w:rPr>
              <w:t>Commission File Number: 001-42790</w:t>
            </w:r>
          </w:p>
        </w:tc>
        <w:tc>
          <w:tcPr>
            <w:tcW w:w="3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300" w:type="dxa"/>
            <w:vAlign w:val="bottom"/>
          </w:tcPr>
          <w:p>
            <w:pPr>
              <w:spacing w:after="0"/>
              <w:rPr>
                <w:sz w:val="13"/>
                <w:szCs w:val="13"/>
                <w:color w:val="auto"/>
              </w:rPr>
            </w:pPr>
          </w:p>
        </w:tc>
        <w:tc>
          <w:tcPr>
            <w:tcW w:w="3360" w:type="dxa"/>
            <w:vAlign w:val="bottom"/>
            <w:gridSpan w:val="3"/>
          </w:tcPr>
          <w:p>
            <w:pPr>
              <w:jc w:val="center"/>
              <w:ind w:left="1280"/>
              <w:spacing w:after="0"/>
              <w:rPr>
                <w:sz w:val="20"/>
                <w:szCs w:val="20"/>
                <w:color w:val="auto"/>
              </w:rPr>
            </w:pPr>
            <w:r>
              <w:rPr>
                <w:rFonts w:ascii="Times New Roman" w:cs="Times New Roman" w:eastAsia="Times New Roman" w:hAnsi="Times New Roman"/>
                <w:sz w:val="12"/>
                <w:szCs w:val="12"/>
                <w:color w:val="auto"/>
                <w:w w:val="99"/>
              </w:rPr>
              <w:t>_________________________</w:t>
            </w:r>
          </w:p>
        </w:tc>
        <w:tc>
          <w:tcPr>
            <w:tcW w:w="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3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80" w:type="dxa"/>
            <w:vAlign w:val="bottom"/>
            <w:gridSpan w:val="3"/>
          </w:tcPr>
          <w:p>
            <w:pPr>
              <w:jc w:val="center"/>
              <w:ind w:right="1020"/>
              <w:spacing w:after="0"/>
              <w:rPr>
                <w:sz w:val="20"/>
                <w:szCs w:val="20"/>
                <w:color w:val="auto"/>
              </w:rPr>
            </w:pPr>
            <w:r>
              <w:rPr>
                <w:rFonts w:ascii="Times New Roman" w:cs="Times New Roman" w:eastAsia="Times New Roman" w:hAnsi="Times New Roman"/>
                <w:sz w:val="22"/>
                <w:szCs w:val="22"/>
                <w:b w:val="1"/>
                <w:bCs w:val="1"/>
                <w:color w:val="auto"/>
                <w:w w:val="96"/>
              </w:rPr>
              <w:t>Heartflow, Inc.</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740" w:type="dxa"/>
            <w:vAlign w:val="bottom"/>
            <w:gridSpan w:val="4"/>
          </w:tcPr>
          <w:p>
            <w:pPr>
              <w:jc w:val="center"/>
              <w:ind w:right="980"/>
              <w:spacing w:after="0" w:line="130" w:lineRule="exact"/>
              <w:rPr>
                <w:sz w:val="20"/>
                <w:szCs w:val="20"/>
                <w:color w:val="auto"/>
              </w:rPr>
            </w:pPr>
            <w:r>
              <w:rPr>
                <w:rFonts w:ascii="Times New Roman" w:cs="Times New Roman" w:eastAsia="Times New Roman" w:hAnsi="Times New Roman"/>
                <w:sz w:val="12"/>
                <w:szCs w:val="12"/>
                <w:b w:val="1"/>
                <w:bCs w:val="1"/>
                <w:color w:val="auto"/>
                <w:w w:val="99"/>
              </w:rPr>
              <w:t>(Exact Name of Registrant as Specified in its Charter)</w:t>
            </w:r>
          </w:p>
        </w:tc>
        <w:tc>
          <w:tcPr>
            <w:tcW w:w="3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00" w:type="dxa"/>
            <w:vAlign w:val="bottom"/>
            <w:vMerge w:val="restart"/>
          </w:tcPr>
          <w:p>
            <w:pPr>
              <w:jc w:val="center"/>
              <w:ind w:left="1245"/>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3360" w:type="dxa"/>
            <w:vAlign w:val="bottom"/>
            <w:gridSpan w:val="3"/>
          </w:tcPr>
          <w:p>
            <w:pPr>
              <w:jc w:val="center"/>
              <w:ind w:left="1280"/>
              <w:spacing w:after="0"/>
              <w:rPr>
                <w:sz w:val="20"/>
                <w:szCs w:val="20"/>
                <w:color w:val="auto"/>
              </w:rPr>
            </w:pPr>
            <w:r>
              <w:rPr>
                <w:rFonts w:ascii="Times New Roman" w:cs="Times New Roman" w:eastAsia="Times New Roman" w:hAnsi="Times New Roman"/>
                <w:sz w:val="12"/>
                <w:szCs w:val="12"/>
                <w:color w:val="auto"/>
                <w:w w:val="99"/>
              </w:rPr>
              <w:t>_________________________</w:t>
            </w:r>
          </w:p>
        </w:tc>
        <w:tc>
          <w:tcPr>
            <w:tcW w:w="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300" w:type="dxa"/>
            <w:vAlign w:val="bottom"/>
            <w:vMerge w:val="restart"/>
          </w:tcPr>
          <w:p>
            <w:pPr>
              <w:jc w:val="right"/>
              <w:ind w:right="1728"/>
              <w:spacing w:after="0"/>
              <w:rPr>
                <w:sz w:val="20"/>
                <w:szCs w:val="20"/>
                <w:color w:val="auto"/>
              </w:rPr>
            </w:pPr>
            <w:r>
              <w:rPr>
                <w:rFonts w:ascii="Times New Roman" w:cs="Times New Roman" w:eastAsia="Times New Roman" w:hAnsi="Times New Roman"/>
                <w:sz w:val="12"/>
                <w:szCs w:val="12"/>
                <w:b w:val="1"/>
                <w:bCs w:val="1"/>
                <w:color w:val="auto"/>
              </w:rPr>
              <w:t>26-0506743</w:t>
            </w:r>
          </w:p>
        </w:tc>
        <w:tc>
          <w:tcPr>
            <w:tcW w:w="0" w:type="dxa"/>
            <w:vAlign w:val="bottom"/>
          </w:tcPr>
          <w:p>
            <w:pPr>
              <w:spacing w:after="0"/>
              <w:rPr>
                <w:sz w:val="1"/>
                <w:szCs w:val="1"/>
                <w:color w:val="auto"/>
              </w:rPr>
            </w:pPr>
          </w:p>
        </w:tc>
      </w:tr>
      <w:tr>
        <w:trPr>
          <w:trHeight w:val="106"/>
        </w:trPr>
        <w:tc>
          <w:tcPr>
            <w:tcW w:w="330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300" w:type="dxa"/>
            <w:vAlign w:val="bottom"/>
          </w:tcPr>
          <w:p>
            <w:pPr>
              <w:jc w:val="center"/>
              <w:ind w:left="1245"/>
              <w:spacing w:after="0" w:line="117" w:lineRule="exact"/>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300" w:type="dxa"/>
            <w:vAlign w:val="bottom"/>
          </w:tcPr>
          <w:p>
            <w:pPr>
              <w:jc w:val="center"/>
              <w:ind w:right="788"/>
              <w:spacing w:after="0" w:line="117" w:lineRule="exact"/>
              <w:rPr>
                <w:sz w:val="20"/>
                <w:szCs w:val="20"/>
                <w:color w:val="auto"/>
              </w:rPr>
            </w:pPr>
            <w:r>
              <w:rPr>
                <w:rFonts w:ascii="Times New Roman" w:cs="Times New Roman" w:eastAsia="Times New Roman" w:hAnsi="Times New Roman"/>
                <w:sz w:val="11"/>
                <w:szCs w:val="11"/>
                <w:b w:val="1"/>
                <w:bCs w:val="1"/>
                <w:color w:val="auto"/>
                <w:w w:val="98"/>
              </w:rPr>
              <w:t>(I.R.S. Employer</w:t>
            </w:r>
          </w:p>
        </w:tc>
        <w:tc>
          <w:tcPr>
            <w:tcW w:w="0" w:type="dxa"/>
            <w:vAlign w:val="bottom"/>
          </w:tcPr>
          <w:p>
            <w:pPr>
              <w:spacing w:after="0"/>
              <w:rPr>
                <w:sz w:val="1"/>
                <w:szCs w:val="1"/>
                <w:color w:val="auto"/>
              </w:rPr>
            </w:pPr>
          </w:p>
        </w:tc>
      </w:tr>
      <w:tr>
        <w:trPr>
          <w:trHeight w:val="142"/>
        </w:trPr>
        <w:tc>
          <w:tcPr>
            <w:tcW w:w="3300" w:type="dxa"/>
            <w:vAlign w:val="bottom"/>
          </w:tcPr>
          <w:p>
            <w:pPr>
              <w:jc w:val="center"/>
              <w:ind w:left="1245"/>
              <w:spacing w:after="0"/>
              <w:rPr>
                <w:sz w:val="20"/>
                <w:szCs w:val="20"/>
                <w:color w:val="auto"/>
              </w:rPr>
            </w:pPr>
            <w:r>
              <w:rPr>
                <w:rFonts w:ascii="Times New Roman" w:cs="Times New Roman" w:eastAsia="Times New Roman" w:hAnsi="Times New Roman"/>
                <w:sz w:val="11"/>
                <w:szCs w:val="11"/>
                <w:b w:val="1"/>
                <w:bCs w:val="1"/>
                <w:color w:val="auto"/>
                <w:w w:val="97"/>
              </w:rPr>
              <w:t>incorporation or organization)</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300" w:type="dxa"/>
            <w:vAlign w:val="bottom"/>
          </w:tcPr>
          <w:p>
            <w:pPr>
              <w:jc w:val="center"/>
              <w:ind w:right="768"/>
              <w:spacing w:after="0"/>
              <w:rPr>
                <w:sz w:val="20"/>
                <w:szCs w:val="20"/>
                <w:color w:val="auto"/>
              </w:rPr>
            </w:pPr>
            <w:r>
              <w:rPr>
                <w:rFonts w:ascii="Times New Roman" w:cs="Times New Roman" w:eastAsia="Times New Roman" w:hAnsi="Times New Roman"/>
                <w:sz w:val="11"/>
                <w:szCs w:val="11"/>
                <w:b w:val="1"/>
                <w:bCs w:val="1"/>
                <w:color w:val="auto"/>
                <w:w w:val="97"/>
              </w:rPr>
              <w:t>Identification No.)</w:t>
            </w:r>
          </w:p>
        </w:tc>
        <w:tc>
          <w:tcPr>
            <w:tcW w:w="0" w:type="dxa"/>
            <w:vAlign w:val="bottom"/>
          </w:tcPr>
          <w:p>
            <w:pPr>
              <w:spacing w:after="0"/>
              <w:rPr>
                <w:sz w:val="1"/>
                <w:szCs w:val="1"/>
                <w:color w:val="auto"/>
              </w:rPr>
            </w:pPr>
          </w:p>
        </w:tc>
      </w:tr>
      <w:tr>
        <w:trPr>
          <w:trHeight w:val="223"/>
        </w:trPr>
        <w:tc>
          <w:tcPr>
            <w:tcW w:w="3300" w:type="dxa"/>
            <w:vAlign w:val="bottom"/>
          </w:tcPr>
          <w:p>
            <w:pPr>
              <w:jc w:val="center"/>
              <w:ind w:left="1245"/>
              <w:spacing w:after="0"/>
              <w:rPr>
                <w:sz w:val="20"/>
                <w:szCs w:val="20"/>
                <w:color w:val="auto"/>
              </w:rPr>
            </w:pPr>
            <w:r>
              <w:rPr>
                <w:rFonts w:ascii="Times New Roman" w:cs="Times New Roman" w:eastAsia="Times New Roman" w:hAnsi="Times New Roman"/>
                <w:sz w:val="12"/>
                <w:szCs w:val="12"/>
                <w:b w:val="1"/>
                <w:bCs w:val="1"/>
                <w:color w:val="auto"/>
                <w:w w:val="99"/>
              </w:rPr>
              <w:t>135 Main Street, Suite 1000</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300" w:type="dxa"/>
            <w:vAlign w:val="bottom"/>
            <w:vMerge w:val="restart"/>
          </w:tcPr>
          <w:p>
            <w:pPr>
              <w:jc w:val="right"/>
              <w:ind w:right="1868"/>
              <w:spacing w:after="0"/>
              <w:rPr>
                <w:sz w:val="20"/>
                <w:szCs w:val="20"/>
                <w:color w:val="auto"/>
              </w:rPr>
            </w:pPr>
            <w:r>
              <w:rPr>
                <w:rFonts w:ascii="Times New Roman" w:cs="Times New Roman" w:eastAsia="Times New Roman" w:hAnsi="Times New Roman"/>
                <w:sz w:val="12"/>
                <w:szCs w:val="12"/>
                <w:b w:val="1"/>
                <w:bCs w:val="1"/>
                <w:color w:val="auto"/>
              </w:rPr>
              <w:t>94105</w:t>
            </w:r>
          </w:p>
        </w:tc>
        <w:tc>
          <w:tcPr>
            <w:tcW w:w="0" w:type="dxa"/>
            <w:vAlign w:val="bottom"/>
          </w:tcPr>
          <w:p>
            <w:pPr>
              <w:spacing w:after="0"/>
              <w:rPr>
                <w:sz w:val="1"/>
                <w:szCs w:val="1"/>
                <w:color w:val="auto"/>
              </w:rPr>
            </w:pPr>
          </w:p>
        </w:tc>
      </w:tr>
      <w:tr>
        <w:trPr>
          <w:trHeight w:val="130"/>
        </w:trPr>
        <w:tc>
          <w:tcPr>
            <w:tcW w:w="3300" w:type="dxa"/>
            <w:vAlign w:val="bottom"/>
          </w:tcPr>
          <w:p>
            <w:pPr>
              <w:jc w:val="center"/>
              <w:ind w:left="1245"/>
              <w:spacing w:after="0" w:line="130" w:lineRule="exact"/>
              <w:rPr>
                <w:sz w:val="20"/>
                <w:szCs w:val="20"/>
                <w:color w:val="auto"/>
              </w:rPr>
            </w:pPr>
            <w:r>
              <w:rPr>
                <w:rFonts w:ascii="Times New Roman" w:cs="Times New Roman" w:eastAsia="Times New Roman" w:hAnsi="Times New Roman"/>
                <w:sz w:val="12"/>
                <w:szCs w:val="12"/>
                <w:b w:val="1"/>
                <w:bCs w:val="1"/>
                <w:color w:val="auto"/>
              </w:rPr>
              <w:t>San Francisco, California</w:t>
            </w: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00" w:type="dxa"/>
            <w:vAlign w:val="bottom"/>
          </w:tcPr>
          <w:p>
            <w:pPr>
              <w:jc w:val="center"/>
              <w:ind w:left="1245"/>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300" w:type="dxa"/>
            <w:vAlign w:val="bottom"/>
          </w:tcPr>
          <w:p>
            <w:pPr>
              <w:jc w:val="center"/>
              <w:ind w:right="768"/>
              <w:spacing w:after="0"/>
              <w:rPr>
                <w:sz w:val="20"/>
                <w:szCs w:val="20"/>
                <w:color w:val="auto"/>
              </w:rPr>
            </w:pPr>
            <w:r>
              <w:rPr>
                <w:rFonts w:ascii="Times New Roman" w:cs="Times New Roman" w:eastAsia="Times New Roman" w:hAnsi="Times New Roman"/>
                <w:sz w:val="11"/>
                <w:szCs w:val="11"/>
                <w:b w:val="1"/>
                <w:bCs w:val="1"/>
                <w:color w:val="auto"/>
              </w:rPr>
              <w:t>(Zip Code)</w:t>
            </w:r>
          </w:p>
        </w:tc>
        <w:tc>
          <w:tcPr>
            <w:tcW w:w="0" w:type="dxa"/>
            <w:vAlign w:val="bottom"/>
          </w:tcPr>
          <w:p>
            <w:pPr>
              <w:spacing w:after="0"/>
              <w:rPr>
                <w:sz w:val="1"/>
                <w:szCs w:val="1"/>
                <w:color w:val="auto"/>
              </w:rPr>
            </w:pPr>
          </w:p>
        </w:tc>
      </w:tr>
      <w:tr>
        <w:trPr>
          <w:trHeight w:val="274"/>
        </w:trPr>
        <w:tc>
          <w:tcPr>
            <w:tcW w:w="3300" w:type="dxa"/>
            <w:vAlign w:val="bottom"/>
          </w:tcPr>
          <w:p>
            <w:pPr>
              <w:spacing w:after="0"/>
              <w:rPr>
                <w:sz w:val="23"/>
                <w:szCs w:val="23"/>
                <w:color w:val="auto"/>
              </w:rPr>
            </w:pPr>
          </w:p>
        </w:tc>
        <w:tc>
          <w:tcPr>
            <w:tcW w:w="4700" w:type="dxa"/>
            <w:vAlign w:val="bottom"/>
            <w:gridSpan w:val="5"/>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 (650) 241-1221</w:t>
            </w:r>
          </w:p>
        </w:tc>
        <w:tc>
          <w:tcPr>
            <w:tcW w:w="3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3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80" w:type="dxa"/>
            <w:vAlign w:val="bottom"/>
            <w:gridSpan w:val="3"/>
          </w:tcPr>
          <w:p>
            <w:pPr>
              <w:jc w:val="center"/>
              <w:ind w:right="1040"/>
              <w:spacing w:after="0"/>
              <w:rPr>
                <w:sz w:val="20"/>
                <w:szCs w:val="20"/>
                <w:color w:val="auto"/>
              </w:rPr>
            </w:pPr>
            <w:r>
              <w:rPr>
                <w:rFonts w:ascii="Times New Roman" w:cs="Times New Roman" w:eastAsia="Times New Roman" w:hAnsi="Times New Roman"/>
                <w:sz w:val="12"/>
                <w:szCs w:val="12"/>
                <w:b w:val="1"/>
                <w:bCs w:val="1"/>
                <w:color w:val="auto"/>
                <w:w w:val="99"/>
              </w:rPr>
              <w:t>331 E. Evelyn Avenue, Mountain View, CA 94041</w:t>
            </w: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3300" w:type="dxa"/>
            <w:vAlign w:val="bottom"/>
          </w:tcPr>
          <w:p>
            <w:pPr>
              <w:spacing w:after="0"/>
              <w:rPr>
                <w:sz w:val="13"/>
                <w:szCs w:val="13"/>
                <w:color w:val="auto"/>
              </w:rPr>
            </w:pPr>
          </w:p>
        </w:tc>
        <w:tc>
          <w:tcPr>
            <w:tcW w:w="4700" w:type="dxa"/>
            <w:vAlign w:val="bottom"/>
            <w:gridSpan w:val="5"/>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(Former Name, Former Address and Former Fiscal Year, if Changed Since Last Report)</w:t>
            </w: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300" w:type="dxa"/>
            <w:vAlign w:val="bottom"/>
          </w:tcPr>
          <w:p>
            <w:pPr>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0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0"/>
                <w:szCs w:val="10"/>
                <w:b w:val="1"/>
                <w:bCs w:val="1"/>
                <w:color w:val="auto"/>
              </w:rPr>
              <w:t>Title of each class</w:t>
            </w:r>
          </w:p>
        </w:tc>
        <w:tc>
          <w:tcPr>
            <w:tcW w:w="9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Trading Symbol(s)</w:t>
            </w:r>
          </w:p>
        </w:tc>
        <w:tc>
          <w:tcPr>
            <w:tcW w:w="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tcPr>
          <w:p>
            <w:pPr>
              <w:jc w:val="center"/>
              <w:ind w:right="1228"/>
              <w:spacing w:after="0"/>
              <w:rPr>
                <w:sz w:val="20"/>
                <w:szCs w:val="20"/>
                <w:color w:val="auto"/>
              </w:rPr>
            </w:pPr>
            <w:r>
              <w:rPr>
                <w:rFonts w:ascii="Times New Roman" w:cs="Times New Roman" w:eastAsia="Times New Roman" w:hAnsi="Times New Roman"/>
                <w:sz w:val="10"/>
                <w:szCs w:val="10"/>
                <w:b w:val="1"/>
                <w:bCs w:val="1"/>
                <w:color w:val="auto"/>
                <w:w w:val="95"/>
              </w:rPr>
              <w:t>Name of each exchange on which registered</w:t>
            </w:r>
          </w:p>
        </w:tc>
        <w:tc>
          <w:tcPr>
            <w:tcW w:w="0" w:type="dxa"/>
            <w:vAlign w:val="bottom"/>
          </w:tcPr>
          <w:p>
            <w:pPr>
              <w:spacing w:after="0"/>
              <w:rPr>
                <w:sz w:val="1"/>
                <w:szCs w:val="1"/>
                <w:color w:val="auto"/>
              </w:rPr>
            </w:pPr>
          </w:p>
        </w:tc>
      </w:tr>
      <w:tr>
        <w:trPr>
          <w:trHeight w:val="74"/>
        </w:trPr>
        <w:tc>
          <w:tcPr>
            <w:tcW w:w="330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Common Stock, $0.001 par value per share</w:t>
            </w: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3680" w:type="dxa"/>
            <w:vAlign w:val="bottom"/>
            <w:gridSpan w:val="3"/>
            <w:vMerge w:val="restart"/>
          </w:tcPr>
          <w:p>
            <w:pPr>
              <w:jc w:val="center"/>
              <w:ind w:right="1320"/>
              <w:spacing w:after="0"/>
              <w:rPr>
                <w:sz w:val="20"/>
                <w:szCs w:val="20"/>
                <w:color w:val="auto"/>
              </w:rPr>
            </w:pPr>
            <w:r>
              <w:rPr>
                <w:rFonts w:ascii="Times New Roman" w:cs="Times New Roman" w:eastAsia="Times New Roman" w:hAnsi="Times New Roman"/>
                <w:sz w:val="10"/>
                <w:szCs w:val="10"/>
                <w:color w:val="auto"/>
                <w:w w:val="95"/>
              </w:rPr>
              <w:t>HTFL</w:t>
            </w:r>
          </w:p>
        </w:tc>
        <w:tc>
          <w:tcPr>
            <w:tcW w:w="3300" w:type="dxa"/>
            <w:vAlign w:val="bottom"/>
          </w:tcPr>
          <w:p>
            <w:pPr>
              <w:jc w:val="center"/>
              <w:ind w:right="1248"/>
              <w:spacing w:after="0" w:line="74" w:lineRule="exact"/>
              <w:rPr>
                <w:sz w:val="20"/>
                <w:szCs w:val="20"/>
                <w:color w:val="auto"/>
              </w:rPr>
            </w:pPr>
            <w:r>
              <w:rPr>
                <w:rFonts w:ascii="Times New Roman" w:cs="Times New Roman" w:eastAsia="Times New Roman" w:hAnsi="Times New Roman"/>
                <w:sz w:val="8"/>
                <w:szCs w:val="8"/>
                <w:color w:val="auto"/>
              </w:rPr>
              <w:t>The Nasdaq Stock Market LLC</w:t>
            </w:r>
          </w:p>
        </w:tc>
        <w:tc>
          <w:tcPr>
            <w:tcW w:w="0" w:type="dxa"/>
            <w:vAlign w:val="bottom"/>
          </w:tcPr>
          <w:p>
            <w:pPr>
              <w:spacing w:after="0"/>
              <w:rPr>
                <w:sz w:val="1"/>
                <w:szCs w:val="1"/>
                <w:color w:val="auto"/>
              </w:rPr>
            </w:pPr>
          </w:p>
        </w:tc>
      </w:tr>
      <w:tr>
        <w:trPr>
          <w:trHeight w:val="69"/>
        </w:trPr>
        <w:tc>
          <w:tcPr>
            <w:tcW w:w="330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3680" w:type="dxa"/>
            <w:vAlign w:val="bottom"/>
            <w:gridSpan w:val="3"/>
            <w:vMerge w:val="continue"/>
          </w:tcPr>
          <w:p>
            <w:pPr>
              <w:spacing w:after="0"/>
              <w:rPr>
                <w:sz w:val="6"/>
                <w:szCs w:val="6"/>
                <w:color w:val="auto"/>
              </w:rPr>
            </w:pPr>
          </w:p>
        </w:tc>
        <w:tc>
          <w:tcPr>
            <w:tcW w:w="3300" w:type="dxa"/>
            <w:vAlign w:val="bottom"/>
            <w:vMerge w:val="restart"/>
          </w:tcPr>
          <w:p>
            <w:pPr>
              <w:jc w:val="center"/>
              <w:ind w:right="1228"/>
              <w:spacing w:after="0"/>
              <w:rPr>
                <w:sz w:val="20"/>
                <w:szCs w:val="20"/>
                <w:color w:val="auto"/>
              </w:rPr>
            </w:pPr>
            <w:r>
              <w:rPr>
                <w:rFonts w:ascii="Times New Roman" w:cs="Times New Roman" w:eastAsia="Times New Roman" w:hAnsi="Times New Roman"/>
                <w:sz w:val="10"/>
                <w:szCs w:val="10"/>
                <w:color w:val="auto"/>
                <w:w w:val="94"/>
              </w:rPr>
              <w:t>(Nasdaq Global Select Market)</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2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right="300"/>
        <w:spacing w:after="0" w:line="248"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o</w:t>
      </w:r>
    </w:p>
    <w:p>
      <w:pPr>
        <w:spacing w:after="0" w:line="90" w:lineRule="exact"/>
        <w:rPr>
          <w:sz w:val="24"/>
          <w:szCs w:val="24"/>
          <w:color w:val="auto"/>
        </w:rPr>
      </w:pPr>
    </w:p>
    <w:p>
      <w:pPr>
        <w:spacing w:after="0" w:line="248"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o</w:t>
      </w:r>
    </w:p>
    <w:p>
      <w:pPr>
        <w:spacing w:after="0" w:line="90" w:lineRule="exact"/>
        <w:rPr>
          <w:sz w:val="24"/>
          <w:szCs w:val="24"/>
          <w:color w:val="auto"/>
        </w:rPr>
      </w:pPr>
    </w:p>
    <w:p>
      <w:pPr>
        <w:ind w:right="280"/>
        <w:spacing w:after="0" w:line="248"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222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460" w:type="dxa"/>
            <w:vAlign w:val="bottom"/>
          </w:tcPr>
          <w:p>
            <w:pPr>
              <w:ind w:left="1260"/>
              <w:spacing w:after="0"/>
              <w:rPr>
                <w:sz w:val="20"/>
                <w:szCs w:val="20"/>
                <w:color w:val="auto"/>
              </w:rPr>
            </w:pPr>
            <w:r>
              <w:rPr>
                <w:rFonts w:ascii="Wingdings" w:cs="Wingdings" w:eastAsia="Wingdings" w:hAnsi="Wingdings"/>
                <w:sz w:val="11"/>
                <w:szCs w:val="11"/>
                <w:b w:val="1"/>
                <w:bCs w:val="1"/>
                <w:color w:val="auto"/>
              </w:rPr>
              <w:t>o</w:t>
            </w:r>
          </w:p>
        </w:tc>
        <w:tc>
          <w:tcPr>
            <w:tcW w:w="4120" w:type="dxa"/>
            <w:vAlign w:val="bottom"/>
          </w:tcPr>
          <w:p>
            <w:pPr>
              <w:ind w:left="2080"/>
              <w:spacing w:after="0"/>
              <w:rPr>
                <w:sz w:val="20"/>
                <w:szCs w:val="20"/>
                <w:color w:val="auto"/>
              </w:rPr>
            </w:pPr>
            <w:r>
              <w:rPr>
                <w:rFonts w:ascii="Times New Roman" w:cs="Times New Roman" w:eastAsia="Times New Roman" w:hAnsi="Times New Roman"/>
                <w:sz w:val="11"/>
                <w:szCs w:val="11"/>
                <w:color w:val="auto"/>
              </w:rPr>
              <w:t>Accelerated filer</w:t>
            </w:r>
          </w:p>
        </w:tc>
        <w:tc>
          <w:tcPr>
            <w:tcW w:w="980" w:type="dxa"/>
            <w:vAlign w:val="bottom"/>
          </w:tcPr>
          <w:p>
            <w:pPr>
              <w:ind w:left="860"/>
              <w:spacing w:after="0"/>
              <w:rPr>
                <w:sz w:val="20"/>
                <w:szCs w:val="20"/>
                <w:color w:val="auto"/>
              </w:rPr>
            </w:pPr>
            <w:r>
              <w:rPr>
                <w:rFonts w:ascii="Wingdings" w:cs="Wingdings" w:eastAsia="Wingdings" w:hAnsi="Wingdings"/>
                <w:sz w:val="11"/>
                <w:szCs w:val="11"/>
                <w:b w:val="1"/>
                <w:bCs w:val="1"/>
                <w:color w:val="auto"/>
              </w:rPr>
              <w:t>o</w:t>
            </w:r>
          </w:p>
        </w:tc>
      </w:tr>
      <w:tr>
        <w:trPr>
          <w:trHeight w:val="117"/>
        </w:trPr>
        <w:tc>
          <w:tcPr>
            <w:tcW w:w="222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Non-accelerated filer</w:t>
            </w:r>
          </w:p>
        </w:tc>
        <w:tc>
          <w:tcPr>
            <w:tcW w:w="3460" w:type="dxa"/>
            <w:vAlign w:val="bottom"/>
          </w:tcPr>
          <w:p>
            <w:pPr>
              <w:ind w:left="1260"/>
              <w:spacing w:after="0" w:line="117" w:lineRule="exact"/>
              <w:rPr>
                <w:sz w:val="20"/>
                <w:szCs w:val="20"/>
                <w:color w:val="auto"/>
              </w:rPr>
            </w:pPr>
            <w:r>
              <w:rPr>
                <w:rFonts w:ascii="Wingdings" w:cs="Wingdings" w:eastAsia="Wingdings" w:hAnsi="Wingdings"/>
                <w:sz w:val="11"/>
                <w:szCs w:val="11"/>
                <w:b w:val="1"/>
                <w:bCs w:val="1"/>
                <w:color w:val="auto"/>
              </w:rPr>
              <w:t>x</w:t>
            </w:r>
          </w:p>
        </w:tc>
        <w:tc>
          <w:tcPr>
            <w:tcW w:w="4120" w:type="dxa"/>
            <w:vAlign w:val="bottom"/>
          </w:tcPr>
          <w:p>
            <w:pPr>
              <w:ind w:left="2080"/>
              <w:spacing w:after="0" w:line="117" w:lineRule="exact"/>
              <w:rPr>
                <w:sz w:val="20"/>
                <w:szCs w:val="20"/>
                <w:color w:val="auto"/>
              </w:rPr>
            </w:pPr>
            <w:r>
              <w:rPr>
                <w:rFonts w:ascii="Times New Roman" w:cs="Times New Roman" w:eastAsia="Times New Roman" w:hAnsi="Times New Roman"/>
                <w:sz w:val="11"/>
                <w:szCs w:val="11"/>
                <w:color w:val="auto"/>
              </w:rPr>
              <w:t>Smaller reporting company</w:t>
            </w:r>
          </w:p>
        </w:tc>
        <w:tc>
          <w:tcPr>
            <w:tcW w:w="980" w:type="dxa"/>
            <w:vAlign w:val="bottom"/>
          </w:tcPr>
          <w:p>
            <w:pPr>
              <w:ind w:left="860"/>
              <w:spacing w:after="0" w:line="117" w:lineRule="exact"/>
              <w:rPr>
                <w:sz w:val="20"/>
                <w:szCs w:val="20"/>
                <w:color w:val="auto"/>
              </w:rPr>
            </w:pPr>
            <w:r>
              <w:rPr>
                <w:rFonts w:ascii="Wingdings" w:cs="Wingdings" w:eastAsia="Wingdings" w:hAnsi="Wingdings"/>
                <w:sz w:val="11"/>
                <w:szCs w:val="11"/>
                <w:b w:val="1"/>
                <w:bCs w:val="1"/>
                <w:color w:val="auto"/>
              </w:rPr>
              <w:t>o</w:t>
            </w:r>
          </w:p>
        </w:tc>
      </w:tr>
      <w:tr>
        <w:trPr>
          <w:trHeight w:val="140"/>
        </w:trPr>
        <w:tc>
          <w:tcPr>
            <w:tcW w:w="22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120" w:type="dxa"/>
            <w:vAlign w:val="bottom"/>
          </w:tcPr>
          <w:p>
            <w:pPr>
              <w:ind w:left="2080"/>
              <w:spacing w:after="0"/>
              <w:rPr>
                <w:sz w:val="20"/>
                <w:szCs w:val="20"/>
                <w:color w:val="auto"/>
              </w:rPr>
            </w:pPr>
            <w:r>
              <w:rPr>
                <w:rFonts w:ascii="Times New Roman" w:cs="Times New Roman" w:eastAsia="Times New Roman" w:hAnsi="Times New Roman"/>
                <w:sz w:val="11"/>
                <w:szCs w:val="11"/>
                <w:color w:val="auto"/>
              </w:rPr>
              <w:t>Emerging growth company</w:t>
            </w:r>
          </w:p>
        </w:tc>
        <w:tc>
          <w:tcPr>
            <w:tcW w:w="980" w:type="dxa"/>
            <w:vAlign w:val="bottom"/>
          </w:tcPr>
          <w:p>
            <w:pPr>
              <w:ind w:left="860"/>
              <w:spacing w:after="0"/>
              <w:rPr>
                <w:sz w:val="20"/>
                <w:szCs w:val="20"/>
                <w:color w:val="auto"/>
              </w:rPr>
            </w:pPr>
            <w:r>
              <w:rPr>
                <w:rFonts w:ascii="Wingdings" w:cs="Wingdings" w:eastAsia="Wingdings" w:hAnsi="Wingdings"/>
                <w:sz w:val="11"/>
                <w:szCs w:val="11"/>
                <w:b w:val="1"/>
                <w:bCs w:val="1"/>
                <w:color w:val="auto"/>
                <w:w w:val="85"/>
              </w:rPr>
              <w:t>x</w:t>
            </w:r>
          </w:p>
        </w:tc>
      </w:tr>
    </w:tbl>
    <w:p>
      <w:pPr>
        <w:spacing w:after="0" w:line="103" w:lineRule="exact"/>
        <w:rPr>
          <w:sz w:val="24"/>
          <w:szCs w:val="24"/>
          <w:color w:val="auto"/>
        </w:rPr>
      </w:pPr>
    </w:p>
    <w:p>
      <w:pPr>
        <w:ind w:right="260"/>
        <w:spacing w:after="0" w:line="358" w:lineRule="auto"/>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Indicate by check mark whether the registrant is a shell company (as defined in Rule 12b-2 of the Act). Yes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x</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As of April 30, 2026, the number of outstanding shares of the registrant’s common stock, par value $0.001 per share, was 86,240,828.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142875</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165735</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381635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4"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4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Page</w:t>
            </w: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60" w:type="dxa"/>
            <w:vAlign w:val="bottom"/>
            <w:gridSpan w:val="8"/>
          </w:tcPr>
          <w:p>
            <w:pPr>
              <w:jc w:val="center"/>
              <w:ind w:right="2620"/>
              <w:spacing w:after="0"/>
              <w:rPr>
                <w:sz w:val="20"/>
                <w:szCs w:val="20"/>
                <w:color w:val="auto"/>
              </w:rPr>
            </w:pPr>
            <w:r>
              <w:rPr>
                <w:rFonts w:ascii="Times New Roman" w:cs="Times New Roman" w:eastAsia="Times New Roman" w:hAnsi="Times New Roman"/>
                <w:sz w:val="11"/>
                <w:szCs w:val="11"/>
                <w:color w:val="0000FF"/>
                <w:w w:val="98"/>
              </w:rPr>
              <w:t>Part I. Financial Information</w:t>
            </w:r>
          </w:p>
        </w:tc>
        <w:tc>
          <w:tcPr>
            <w:tcW w:w="2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214"/>
        </w:trPr>
        <w:tc>
          <w:tcPr>
            <w:tcW w:w="1580" w:type="dxa"/>
            <w:vAlign w:val="bottom"/>
            <w:gridSpan w:val="3"/>
          </w:tcPr>
          <w:p>
            <w:pPr>
              <w:spacing w:after="0"/>
              <w:rPr>
                <w:sz w:val="20"/>
                <w:szCs w:val="20"/>
                <w:color w:val="auto"/>
              </w:rPr>
            </w:pPr>
            <w:r>
              <w:rPr>
                <w:rFonts w:ascii="Times New Roman" w:cs="Times New Roman" w:eastAsia="Times New Roman" w:hAnsi="Times New Roman"/>
                <w:sz w:val="11"/>
                <w:szCs w:val="11"/>
                <w:color w:val="0000FF"/>
              </w:rPr>
              <w:t>Item 1.</w:t>
            </w:r>
          </w:p>
        </w:tc>
        <w:tc>
          <w:tcPr>
            <w:tcW w:w="2900" w:type="dxa"/>
            <w:vAlign w:val="bottom"/>
            <w:gridSpan w:val="12"/>
          </w:tcPr>
          <w:p>
            <w:pPr>
              <w:spacing w:after="0"/>
              <w:rPr>
                <w:sz w:val="20"/>
                <w:szCs w:val="20"/>
                <w:color w:val="auto"/>
              </w:rPr>
            </w:pPr>
            <w:r>
              <w:rPr>
                <w:rFonts w:ascii="Times New Roman" w:cs="Times New Roman" w:eastAsia="Times New Roman" w:hAnsi="Times New Roman"/>
                <w:sz w:val="11"/>
                <w:szCs w:val="11"/>
                <w:color w:val="0000FF"/>
              </w:rPr>
              <w:t>Condensed Consolidated Financial Statements (unaudited)</w:t>
            </w:r>
          </w:p>
        </w:tc>
        <w:tc>
          <w:tcPr>
            <w:tcW w:w="1240" w:type="dxa"/>
            <w:vAlign w:val="bottom"/>
            <w:tcBorders>
              <w:top w:val="single" w:sz="8" w:color="0000FF"/>
            </w:tcBorders>
            <w:gridSpan w:val="5"/>
          </w:tcPr>
          <w:p>
            <w:pPr>
              <w:spacing w:after="0"/>
              <w:rPr>
                <w:sz w:val="18"/>
                <w:szCs w:val="18"/>
                <w:color w:val="auto"/>
              </w:rPr>
            </w:pPr>
          </w:p>
        </w:tc>
        <w:tc>
          <w:tcPr>
            <w:tcW w:w="2920" w:type="dxa"/>
            <w:vAlign w:val="bottom"/>
            <w:gridSpan w:val="2"/>
          </w:tcPr>
          <w:p>
            <w:pPr>
              <w:spacing w:after="0"/>
              <w:rPr>
                <w:sz w:val="18"/>
                <w:szCs w:val="18"/>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97"/>
        </w:trPr>
        <w:tc>
          <w:tcPr>
            <w:tcW w:w="300" w:type="dxa"/>
            <w:vAlign w:val="bottom"/>
            <w:tcBorders>
              <w:top w:val="single" w:sz="8" w:color="0000FF"/>
            </w:tcBorders>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520" w:type="dxa"/>
            <w:vAlign w:val="bottom"/>
            <w:tcBorders>
              <w:top w:val="single" w:sz="8" w:color="0000FF"/>
            </w:tcBorders>
            <w:gridSpan w:val="10"/>
          </w:tcPr>
          <w:p>
            <w:pPr>
              <w:spacing w:after="0" w:line="97" w:lineRule="exact"/>
              <w:rPr>
                <w:sz w:val="20"/>
                <w:szCs w:val="20"/>
                <w:color w:val="auto"/>
              </w:rPr>
            </w:pPr>
            <w:r>
              <w:rPr>
                <w:rFonts w:ascii="Times New Roman" w:cs="Times New Roman" w:eastAsia="Times New Roman" w:hAnsi="Times New Roman"/>
                <w:sz w:val="11"/>
                <w:szCs w:val="11"/>
                <w:color w:val="0000FF"/>
              </w:rPr>
              <w:t>Condensed Consolidated Balance Sheets</w:t>
            </w:r>
          </w:p>
        </w:tc>
        <w:tc>
          <w:tcPr>
            <w:tcW w:w="8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gridSpan w:val="2"/>
          </w:tcPr>
          <w:p>
            <w:pPr>
              <w:spacing w:after="0"/>
              <w:rPr>
                <w:sz w:val="8"/>
                <w:szCs w:val="8"/>
                <w:color w:val="auto"/>
              </w:rPr>
            </w:pPr>
          </w:p>
        </w:tc>
        <w:tc>
          <w:tcPr>
            <w:tcW w:w="2040" w:type="dxa"/>
            <w:vAlign w:val="bottom"/>
          </w:tcPr>
          <w:p>
            <w:pPr>
              <w:spacing w:after="0"/>
              <w:rPr>
                <w:sz w:val="8"/>
                <w:szCs w:val="8"/>
                <w:color w:val="auto"/>
              </w:rPr>
            </w:pPr>
          </w:p>
        </w:tc>
        <w:tc>
          <w:tcPr>
            <w:tcW w:w="2640" w:type="dxa"/>
            <w:vAlign w:val="bottom"/>
          </w:tcPr>
          <w:p>
            <w:pPr>
              <w:jc w:val="right"/>
              <w:spacing w:after="0" w:line="97" w:lineRule="exact"/>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97"/>
        </w:trPr>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760" w:type="dxa"/>
            <w:vAlign w:val="bottom"/>
            <w:tcBorders>
              <w:top w:val="single" w:sz="8" w:color="0000FF"/>
              <w:bottom w:val="single" w:sz="8" w:color="0000FF"/>
            </w:tcBorders>
            <w:gridSpan w:val="7"/>
          </w:tcPr>
          <w:p>
            <w:pPr>
              <w:spacing w:after="0" w:line="97" w:lineRule="exact"/>
              <w:rPr>
                <w:sz w:val="20"/>
                <w:szCs w:val="20"/>
                <w:color w:val="auto"/>
              </w:rPr>
            </w:pPr>
            <w:r>
              <w:rPr>
                <w:rFonts w:ascii="Times New Roman" w:cs="Times New Roman" w:eastAsia="Times New Roman" w:hAnsi="Times New Roman"/>
                <w:sz w:val="11"/>
                <w:szCs w:val="11"/>
                <w:color w:val="0000FF"/>
              </w:rPr>
              <w:t>Condensed Consolidated Statements of</w:t>
            </w:r>
          </w:p>
        </w:tc>
        <w:tc>
          <w:tcPr>
            <w:tcW w:w="1560" w:type="dxa"/>
            <w:vAlign w:val="bottom"/>
            <w:tcBorders>
              <w:bottom w:val="single" w:sz="8" w:color="0000FF"/>
            </w:tcBorders>
            <w:gridSpan w:val="7"/>
          </w:tcPr>
          <w:p>
            <w:pPr>
              <w:spacing w:after="0" w:line="97" w:lineRule="exact"/>
              <w:rPr>
                <w:sz w:val="20"/>
                <w:szCs w:val="20"/>
                <w:color w:val="auto"/>
              </w:rPr>
            </w:pPr>
            <w:r>
              <w:rPr>
                <w:rFonts w:ascii="Times New Roman" w:cs="Times New Roman" w:eastAsia="Times New Roman" w:hAnsi="Times New Roman"/>
                <w:sz w:val="11"/>
                <w:szCs w:val="11"/>
                <w:color w:val="0000FF"/>
                <w:w w:val="94"/>
              </w:rPr>
              <w:t>Operations and Comprehensive Loss</w:t>
            </w:r>
          </w:p>
        </w:tc>
        <w:tc>
          <w:tcPr>
            <w:tcW w:w="3740" w:type="dxa"/>
            <w:vAlign w:val="bottom"/>
            <w:gridSpan w:val="5"/>
          </w:tcPr>
          <w:p>
            <w:pPr>
              <w:spacing w:after="0"/>
              <w:rPr>
                <w:sz w:val="8"/>
                <w:szCs w:val="8"/>
                <w:color w:val="auto"/>
              </w:rPr>
            </w:pPr>
          </w:p>
        </w:tc>
        <w:tc>
          <w:tcPr>
            <w:tcW w:w="2640" w:type="dxa"/>
            <w:vAlign w:val="bottom"/>
          </w:tcPr>
          <w:p>
            <w:pPr>
              <w:jc w:val="right"/>
              <w:spacing w:after="0" w:line="97" w:lineRule="exact"/>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97"/>
        </w:trPr>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060" w:type="dxa"/>
            <w:vAlign w:val="bottom"/>
            <w:gridSpan w:val="19"/>
          </w:tcPr>
          <w:p>
            <w:pPr>
              <w:spacing w:after="0" w:line="97" w:lineRule="exact"/>
              <w:rPr>
                <w:sz w:val="20"/>
                <w:szCs w:val="20"/>
                <w:color w:val="auto"/>
              </w:rPr>
            </w:pPr>
            <w:r>
              <w:rPr>
                <w:rFonts w:ascii="Times New Roman" w:cs="Times New Roman" w:eastAsia="Times New Roman" w:hAnsi="Times New Roman"/>
                <w:sz w:val="11"/>
                <w:szCs w:val="11"/>
                <w:color w:val="0000FF"/>
              </w:rPr>
              <w:t>Condensed Consolidated Statements of Redeemable Convertible Preferred Stock and Stockholders’ Equity (Deficit)</w:t>
            </w:r>
          </w:p>
        </w:tc>
        <w:tc>
          <w:tcPr>
            <w:tcW w:w="2640" w:type="dxa"/>
            <w:vAlign w:val="bottom"/>
          </w:tcPr>
          <w:p>
            <w:pPr>
              <w:jc w:val="right"/>
              <w:spacing w:after="0" w:line="97" w:lineRule="exact"/>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97"/>
        </w:trPr>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020" w:type="dxa"/>
            <w:vAlign w:val="bottom"/>
            <w:tcBorders>
              <w:top w:val="single" w:sz="8" w:color="0000FF"/>
            </w:tcBorders>
            <w:gridSpan w:val="18"/>
          </w:tcPr>
          <w:p>
            <w:pPr>
              <w:spacing w:after="0" w:line="97" w:lineRule="exact"/>
              <w:rPr>
                <w:sz w:val="20"/>
                <w:szCs w:val="20"/>
                <w:color w:val="auto"/>
              </w:rPr>
            </w:pPr>
            <w:r>
              <w:rPr>
                <w:rFonts w:ascii="Times New Roman" w:cs="Times New Roman" w:eastAsia="Times New Roman" w:hAnsi="Times New Roman"/>
                <w:sz w:val="11"/>
                <w:szCs w:val="11"/>
                <w:color w:val="0000FF"/>
              </w:rPr>
              <w:t>Condensed Consolidated Statements of Cash Flows</w:t>
            </w:r>
          </w:p>
        </w:tc>
        <w:tc>
          <w:tcPr>
            <w:tcW w:w="2040" w:type="dxa"/>
            <w:vAlign w:val="bottom"/>
          </w:tcPr>
          <w:p>
            <w:pPr>
              <w:spacing w:after="0"/>
              <w:rPr>
                <w:sz w:val="8"/>
                <w:szCs w:val="8"/>
                <w:color w:val="auto"/>
              </w:rPr>
            </w:pPr>
          </w:p>
        </w:tc>
        <w:tc>
          <w:tcPr>
            <w:tcW w:w="2640" w:type="dxa"/>
            <w:vAlign w:val="bottom"/>
          </w:tcPr>
          <w:p>
            <w:pPr>
              <w:jc w:val="right"/>
              <w:spacing w:after="0" w:line="97" w:lineRule="exact"/>
              <w:rPr>
                <w:sz w:val="20"/>
                <w:szCs w:val="20"/>
                <w:color w:val="auto"/>
              </w:rPr>
            </w:pPr>
            <w:r>
              <w:rPr>
                <w:rFonts w:ascii="Times New Roman" w:cs="Times New Roman" w:eastAsia="Times New Roman" w:hAnsi="Times New Roman"/>
                <w:sz w:val="11"/>
                <w:szCs w:val="11"/>
                <w:color w:val="auto"/>
              </w:rPr>
              <w:t>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2640" w:type="dxa"/>
            <w:vAlign w:val="bottom"/>
            <w:vMerge w:val="restart"/>
          </w:tcPr>
          <w:p>
            <w:pPr>
              <w:jc w:val="right"/>
              <w:spacing w:after="0" w:line="117" w:lineRule="exact"/>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line="20" w:lineRule="exact"/>
              <w:rPr>
                <w:sz w:val="1"/>
                <w:szCs w:val="1"/>
                <w:color w:val="auto"/>
              </w:rPr>
            </w:pPr>
          </w:p>
        </w:tc>
      </w:tr>
      <w:tr>
        <w:trPr>
          <w:trHeight w:val="97"/>
        </w:trPr>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0" w:type="dxa"/>
            <w:vAlign w:val="bottom"/>
            <w:tcBorders>
              <w:bottom w:val="single" w:sz="8" w:color="0000FF"/>
            </w:tcBorders>
            <w:gridSpan w:val="9"/>
          </w:tcPr>
          <w:p>
            <w:pPr>
              <w:spacing w:after="0" w:line="97" w:lineRule="exact"/>
              <w:rPr>
                <w:sz w:val="20"/>
                <w:szCs w:val="20"/>
                <w:color w:val="auto"/>
              </w:rPr>
            </w:pPr>
            <w:r>
              <w:rPr>
                <w:rFonts w:ascii="Times New Roman" w:cs="Times New Roman" w:eastAsia="Times New Roman" w:hAnsi="Times New Roman"/>
                <w:sz w:val="11"/>
                <w:szCs w:val="11"/>
                <w:color w:val="0000FF"/>
                <w:w w:val="97"/>
              </w:rPr>
              <w:t>Notes to Condensed Consolidated Financial Statements</w:t>
            </w:r>
          </w:p>
        </w:tc>
        <w:tc>
          <w:tcPr>
            <w:tcW w:w="4660" w:type="dxa"/>
            <w:vAlign w:val="bottom"/>
            <w:gridSpan w:val="10"/>
          </w:tcPr>
          <w:p>
            <w:pPr>
              <w:spacing w:after="0"/>
              <w:rPr>
                <w:sz w:val="8"/>
                <w:szCs w:val="8"/>
                <w:color w:val="auto"/>
              </w:rPr>
            </w:pP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1580" w:type="dxa"/>
            <w:vAlign w:val="bottom"/>
            <w:gridSpan w:val="3"/>
          </w:tcPr>
          <w:p>
            <w:pPr>
              <w:spacing w:after="0"/>
              <w:rPr>
                <w:sz w:val="20"/>
                <w:szCs w:val="20"/>
                <w:color w:val="auto"/>
              </w:rPr>
            </w:pPr>
            <w:r>
              <w:rPr>
                <w:rFonts w:ascii="Times New Roman" w:cs="Times New Roman" w:eastAsia="Times New Roman" w:hAnsi="Times New Roman"/>
                <w:sz w:val="11"/>
                <w:szCs w:val="11"/>
                <w:color w:val="0000FF"/>
              </w:rPr>
              <w:t>Item 2.</w:t>
            </w:r>
          </w:p>
        </w:tc>
        <w:tc>
          <w:tcPr>
            <w:tcW w:w="7060" w:type="dxa"/>
            <w:vAlign w:val="bottom"/>
            <w:gridSpan w:val="19"/>
          </w:tcPr>
          <w:p>
            <w:pPr>
              <w:spacing w:after="0"/>
              <w:rPr>
                <w:sz w:val="20"/>
                <w:szCs w:val="20"/>
                <w:color w:val="auto"/>
              </w:rPr>
            </w:pPr>
            <w:r>
              <w:rPr>
                <w:rFonts w:ascii="Times New Roman" w:cs="Times New Roman" w:eastAsia="Times New Roman" w:hAnsi="Times New Roman"/>
                <w:sz w:val="11"/>
                <w:szCs w:val="11"/>
                <w:color w:val="0000FF"/>
              </w:rPr>
              <w:t>Management’s Discussion and Analysis of Financial Condition and Results of Operations</w:t>
            </w:r>
          </w:p>
        </w:tc>
        <w:tc>
          <w:tcPr>
            <w:tcW w:w="2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580" w:type="dxa"/>
            <w:vAlign w:val="bottom"/>
            <w:gridSpan w:val="3"/>
          </w:tcPr>
          <w:p>
            <w:pPr>
              <w:spacing w:after="0"/>
              <w:rPr>
                <w:sz w:val="20"/>
                <w:szCs w:val="20"/>
                <w:color w:val="auto"/>
              </w:rPr>
            </w:pPr>
            <w:r>
              <w:rPr>
                <w:rFonts w:ascii="Times New Roman" w:cs="Times New Roman" w:eastAsia="Times New Roman" w:hAnsi="Times New Roman"/>
                <w:sz w:val="11"/>
                <w:szCs w:val="11"/>
                <w:color w:val="0000FF"/>
              </w:rPr>
              <w:t>Item 3.</w:t>
            </w:r>
          </w:p>
        </w:tc>
        <w:tc>
          <w:tcPr>
            <w:tcW w:w="7060" w:type="dxa"/>
            <w:vAlign w:val="bottom"/>
            <w:gridSpan w:val="19"/>
          </w:tcPr>
          <w:p>
            <w:pPr>
              <w:spacing w:after="0"/>
              <w:rPr>
                <w:sz w:val="20"/>
                <w:szCs w:val="20"/>
                <w:color w:val="auto"/>
              </w:rPr>
            </w:pPr>
            <w:r>
              <w:rPr>
                <w:rFonts w:ascii="Times New Roman" w:cs="Times New Roman" w:eastAsia="Times New Roman" w:hAnsi="Times New Roman"/>
                <w:sz w:val="11"/>
                <w:szCs w:val="11"/>
                <w:color w:val="0000FF"/>
              </w:rPr>
              <w:t>Quantitative and Qualitative Disclosures About Market Risk</w:t>
            </w:r>
          </w:p>
        </w:tc>
        <w:tc>
          <w:tcPr>
            <w:tcW w:w="2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360" w:type="dxa"/>
            <w:vAlign w:val="bottom"/>
            <w:tcBorders>
              <w:left w:val="single" w:sz="8" w:color="0000FF"/>
            </w:tcBorders>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580" w:type="dxa"/>
            <w:vAlign w:val="bottom"/>
            <w:gridSpan w:val="3"/>
          </w:tcPr>
          <w:p>
            <w:pPr>
              <w:spacing w:after="0"/>
              <w:rPr>
                <w:sz w:val="20"/>
                <w:szCs w:val="20"/>
                <w:color w:val="auto"/>
              </w:rPr>
            </w:pPr>
            <w:r>
              <w:rPr>
                <w:rFonts w:ascii="Times New Roman" w:cs="Times New Roman" w:eastAsia="Times New Roman" w:hAnsi="Times New Roman"/>
                <w:sz w:val="11"/>
                <w:szCs w:val="11"/>
                <w:color w:val="0000FF"/>
              </w:rPr>
              <w:t>Item 4.</w:t>
            </w:r>
          </w:p>
        </w:tc>
        <w:tc>
          <w:tcPr>
            <w:tcW w:w="7060" w:type="dxa"/>
            <w:vAlign w:val="bottom"/>
            <w:gridSpan w:val="19"/>
          </w:tcPr>
          <w:p>
            <w:pPr>
              <w:spacing w:after="0"/>
              <w:rPr>
                <w:sz w:val="20"/>
                <w:szCs w:val="20"/>
                <w:color w:val="auto"/>
              </w:rPr>
            </w:pPr>
            <w:r>
              <w:rPr>
                <w:rFonts w:ascii="Times New Roman" w:cs="Times New Roman" w:eastAsia="Times New Roman" w:hAnsi="Times New Roman"/>
                <w:sz w:val="11"/>
                <w:szCs w:val="11"/>
                <w:color w:val="0000FF"/>
              </w:rPr>
              <w:t>Controls and Procedures</w:t>
            </w:r>
          </w:p>
        </w:tc>
        <w:tc>
          <w:tcPr>
            <w:tcW w:w="2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0" w:type="dxa"/>
            <w:vAlign w:val="bottom"/>
          </w:tcPr>
          <w:p>
            <w:pPr>
              <w:spacing w:after="0"/>
              <w:rPr>
                <w:sz w:val="1"/>
                <w:szCs w:val="1"/>
                <w:color w:val="auto"/>
              </w:rPr>
            </w:pPr>
          </w:p>
        </w:tc>
      </w:tr>
      <w:tr>
        <w:trPr>
          <w:trHeight w:val="214"/>
        </w:trPr>
        <w:tc>
          <w:tcPr>
            <w:tcW w:w="3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1"/>
                <w:szCs w:val="11"/>
                <w:color w:val="0000FF"/>
                <w:w w:val="98"/>
              </w:rPr>
              <w:t>Part II. Other Information</w:t>
            </w:r>
          </w:p>
        </w:tc>
        <w:tc>
          <w:tcPr>
            <w:tcW w:w="2980" w:type="dxa"/>
            <w:vAlign w:val="bottom"/>
            <w:gridSpan w:val="3"/>
          </w:tcPr>
          <w:p>
            <w:pPr>
              <w:spacing w:after="0"/>
              <w:rPr>
                <w:sz w:val="18"/>
                <w:szCs w:val="18"/>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0" w:type="dxa"/>
            <w:vAlign w:val="bottom"/>
          </w:tcPr>
          <w:p>
            <w:pPr>
              <w:spacing w:after="0"/>
              <w:rPr>
                <w:sz w:val="1"/>
                <w:szCs w:val="1"/>
                <w:color w:val="auto"/>
              </w:rPr>
            </w:pPr>
          </w:p>
        </w:tc>
      </w:tr>
      <w:tr>
        <w:trPr>
          <w:trHeight w:val="214"/>
        </w:trPr>
        <w:tc>
          <w:tcPr>
            <w:tcW w:w="1580" w:type="dxa"/>
            <w:vAlign w:val="bottom"/>
            <w:gridSpan w:val="3"/>
          </w:tcPr>
          <w:p>
            <w:pPr>
              <w:spacing w:after="0"/>
              <w:rPr>
                <w:sz w:val="20"/>
                <w:szCs w:val="20"/>
                <w:color w:val="auto"/>
              </w:rPr>
            </w:pPr>
            <w:r>
              <w:rPr>
                <w:rFonts w:ascii="Times New Roman" w:cs="Times New Roman" w:eastAsia="Times New Roman" w:hAnsi="Times New Roman"/>
                <w:sz w:val="11"/>
                <w:szCs w:val="11"/>
                <w:color w:val="0000FF"/>
              </w:rPr>
              <w:t>Item 1.</w:t>
            </w:r>
          </w:p>
        </w:tc>
        <w:tc>
          <w:tcPr>
            <w:tcW w:w="7060" w:type="dxa"/>
            <w:vAlign w:val="bottom"/>
            <w:gridSpan w:val="19"/>
          </w:tcPr>
          <w:p>
            <w:pPr>
              <w:spacing w:after="0"/>
              <w:rPr>
                <w:sz w:val="20"/>
                <w:szCs w:val="20"/>
                <w:color w:val="auto"/>
              </w:rPr>
            </w:pPr>
            <w:r>
              <w:rPr>
                <w:rFonts w:ascii="Times New Roman" w:cs="Times New Roman" w:eastAsia="Times New Roman" w:hAnsi="Times New Roman"/>
                <w:sz w:val="11"/>
                <w:szCs w:val="11"/>
                <w:color w:val="0000FF"/>
              </w:rPr>
              <w:t>Legal Proceedings</w:t>
            </w:r>
          </w:p>
        </w:tc>
        <w:tc>
          <w:tcPr>
            <w:tcW w:w="2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4460" w:type="dxa"/>
            <w:vAlign w:val="bottom"/>
            <w:gridSpan w:val="8"/>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580" w:type="dxa"/>
            <w:vAlign w:val="bottom"/>
            <w:gridSpan w:val="3"/>
          </w:tcPr>
          <w:p>
            <w:pPr>
              <w:spacing w:after="0"/>
              <w:rPr>
                <w:sz w:val="20"/>
                <w:szCs w:val="20"/>
                <w:color w:val="auto"/>
              </w:rPr>
            </w:pPr>
            <w:r>
              <w:rPr>
                <w:rFonts w:ascii="Times New Roman" w:cs="Times New Roman" w:eastAsia="Times New Roman" w:hAnsi="Times New Roman"/>
                <w:sz w:val="11"/>
                <w:szCs w:val="11"/>
                <w:color w:val="0000FF"/>
              </w:rPr>
              <w:t>Item 1A.</w:t>
            </w:r>
          </w:p>
        </w:tc>
        <w:tc>
          <w:tcPr>
            <w:tcW w:w="7060" w:type="dxa"/>
            <w:vAlign w:val="bottom"/>
            <w:gridSpan w:val="19"/>
          </w:tcPr>
          <w:p>
            <w:pPr>
              <w:spacing w:after="0"/>
              <w:rPr>
                <w:sz w:val="20"/>
                <w:szCs w:val="20"/>
                <w:color w:val="auto"/>
              </w:rPr>
            </w:pPr>
            <w:r>
              <w:rPr>
                <w:rFonts w:ascii="Times New Roman" w:cs="Times New Roman" w:eastAsia="Times New Roman" w:hAnsi="Times New Roman"/>
                <w:sz w:val="11"/>
                <w:szCs w:val="11"/>
                <w:color w:val="0000FF"/>
              </w:rPr>
              <w:t>Risk Factors</w:t>
            </w:r>
          </w:p>
        </w:tc>
        <w:tc>
          <w:tcPr>
            <w:tcW w:w="2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0" w:type="dxa"/>
            <w:vAlign w:val="bottom"/>
          </w:tcPr>
          <w:p>
            <w:pPr>
              <w:spacing w:after="0"/>
              <w:rPr>
                <w:sz w:val="1"/>
                <w:szCs w:val="1"/>
                <w:color w:val="auto"/>
              </w:rPr>
            </w:pPr>
          </w:p>
        </w:tc>
      </w:tr>
      <w:tr>
        <w:trPr>
          <w:trHeight w:val="20"/>
        </w:trPr>
        <w:tc>
          <w:tcPr>
            <w:tcW w:w="380" w:type="dxa"/>
            <w:vAlign w:val="bottom"/>
            <w:gridSpan w:val="2"/>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4460" w:type="dxa"/>
            <w:vAlign w:val="bottom"/>
            <w:gridSpan w:val="8"/>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80" w:type="dxa"/>
            <w:vAlign w:val="bottom"/>
            <w:gridSpan w:val="2"/>
          </w:tcPr>
          <w:p>
            <w:pPr>
              <w:spacing w:after="0"/>
              <w:rPr>
                <w:sz w:val="20"/>
                <w:szCs w:val="20"/>
                <w:color w:val="auto"/>
              </w:rPr>
            </w:pPr>
            <w:r>
              <w:rPr>
                <w:rFonts w:ascii="Times New Roman" w:cs="Times New Roman" w:eastAsia="Times New Roman" w:hAnsi="Times New Roman"/>
                <w:sz w:val="11"/>
                <w:szCs w:val="11"/>
                <w:color w:val="0000FF"/>
              </w:rPr>
              <w:t>Item 2.</w:t>
            </w:r>
          </w:p>
        </w:tc>
        <w:tc>
          <w:tcPr>
            <w:tcW w:w="1200" w:type="dxa"/>
            <w:vAlign w:val="bottom"/>
          </w:tcPr>
          <w:p>
            <w:pPr>
              <w:spacing w:after="0"/>
              <w:rPr>
                <w:sz w:val="18"/>
                <w:szCs w:val="18"/>
                <w:color w:val="auto"/>
              </w:rPr>
            </w:pPr>
          </w:p>
        </w:tc>
        <w:tc>
          <w:tcPr>
            <w:tcW w:w="7060" w:type="dxa"/>
            <w:vAlign w:val="bottom"/>
            <w:gridSpan w:val="19"/>
          </w:tcPr>
          <w:p>
            <w:pPr>
              <w:spacing w:after="0"/>
              <w:rPr>
                <w:sz w:val="20"/>
                <w:szCs w:val="20"/>
                <w:color w:val="auto"/>
              </w:rPr>
            </w:pPr>
            <w:r>
              <w:rPr>
                <w:rFonts w:ascii="Times New Roman" w:cs="Times New Roman" w:eastAsia="Times New Roman" w:hAnsi="Times New Roman"/>
                <w:sz w:val="11"/>
                <w:szCs w:val="11"/>
                <w:color w:val="0000FF"/>
              </w:rPr>
              <w:t>Unregistered Sales of Equity Securities and Use of Proceeds</w:t>
            </w:r>
          </w:p>
        </w:tc>
        <w:tc>
          <w:tcPr>
            <w:tcW w:w="2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4460" w:type="dxa"/>
            <w:vAlign w:val="bottom"/>
            <w:gridSpan w:val="8"/>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580" w:type="dxa"/>
            <w:vAlign w:val="bottom"/>
            <w:gridSpan w:val="3"/>
          </w:tcPr>
          <w:p>
            <w:pPr>
              <w:spacing w:after="0"/>
              <w:rPr>
                <w:sz w:val="20"/>
                <w:szCs w:val="20"/>
                <w:color w:val="auto"/>
              </w:rPr>
            </w:pPr>
            <w:r>
              <w:rPr>
                <w:rFonts w:ascii="Times New Roman" w:cs="Times New Roman" w:eastAsia="Times New Roman" w:hAnsi="Times New Roman"/>
                <w:sz w:val="11"/>
                <w:szCs w:val="11"/>
                <w:color w:val="0000FF"/>
              </w:rPr>
              <w:t>Item 3.</w:t>
            </w:r>
          </w:p>
        </w:tc>
        <w:tc>
          <w:tcPr>
            <w:tcW w:w="7060" w:type="dxa"/>
            <w:vAlign w:val="bottom"/>
            <w:gridSpan w:val="19"/>
          </w:tcPr>
          <w:p>
            <w:pPr>
              <w:spacing w:after="0"/>
              <w:rPr>
                <w:sz w:val="20"/>
                <w:szCs w:val="20"/>
                <w:color w:val="auto"/>
              </w:rPr>
            </w:pPr>
            <w:r>
              <w:rPr>
                <w:rFonts w:ascii="Times New Roman" w:cs="Times New Roman" w:eastAsia="Times New Roman" w:hAnsi="Times New Roman"/>
                <w:sz w:val="11"/>
                <w:szCs w:val="11"/>
                <w:color w:val="0000FF"/>
              </w:rPr>
              <w:t>Defaults Upon Senior Securities</w:t>
            </w:r>
          </w:p>
        </w:tc>
        <w:tc>
          <w:tcPr>
            <w:tcW w:w="2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5660" w:type="dxa"/>
            <w:vAlign w:val="bottom"/>
            <w:gridSpan w:val="13"/>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580" w:type="dxa"/>
            <w:vAlign w:val="bottom"/>
            <w:gridSpan w:val="3"/>
          </w:tcPr>
          <w:p>
            <w:pPr>
              <w:spacing w:after="0"/>
              <w:rPr>
                <w:sz w:val="20"/>
                <w:szCs w:val="20"/>
                <w:color w:val="auto"/>
              </w:rPr>
            </w:pPr>
            <w:r>
              <w:rPr>
                <w:rFonts w:ascii="Times New Roman" w:cs="Times New Roman" w:eastAsia="Times New Roman" w:hAnsi="Times New Roman"/>
                <w:sz w:val="11"/>
                <w:szCs w:val="11"/>
                <w:color w:val="0000FF"/>
              </w:rPr>
              <w:t>Item 4.</w:t>
            </w:r>
          </w:p>
        </w:tc>
        <w:tc>
          <w:tcPr>
            <w:tcW w:w="7060" w:type="dxa"/>
            <w:vAlign w:val="bottom"/>
            <w:gridSpan w:val="19"/>
          </w:tcPr>
          <w:p>
            <w:pPr>
              <w:spacing w:after="0"/>
              <w:rPr>
                <w:sz w:val="20"/>
                <w:szCs w:val="20"/>
                <w:color w:val="auto"/>
              </w:rPr>
            </w:pPr>
            <w:r>
              <w:rPr>
                <w:rFonts w:ascii="Times New Roman" w:cs="Times New Roman" w:eastAsia="Times New Roman" w:hAnsi="Times New Roman"/>
                <w:sz w:val="11"/>
                <w:szCs w:val="11"/>
                <w:color w:val="0000FF"/>
              </w:rPr>
              <w:t>Mine Safety Disclosures</w:t>
            </w:r>
          </w:p>
        </w:tc>
        <w:tc>
          <w:tcPr>
            <w:tcW w:w="2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00" w:type="dxa"/>
            <w:vAlign w:val="bottom"/>
            <w:gridSpan w:val="14"/>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580" w:type="dxa"/>
            <w:vAlign w:val="bottom"/>
            <w:gridSpan w:val="3"/>
          </w:tcPr>
          <w:p>
            <w:pPr>
              <w:spacing w:after="0"/>
              <w:rPr>
                <w:sz w:val="20"/>
                <w:szCs w:val="20"/>
                <w:color w:val="auto"/>
              </w:rPr>
            </w:pPr>
            <w:r>
              <w:rPr>
                <w:rFonts w:ascii="Times New Roman" w:cs="Times New Roman" w:eastAsia="Times New Roman" w:hAnsi="Times New Roman"/>
                <w:sz w:val="11"/>
                <w:szCs w:val="11"/>
                <w:color w:val="0000FF"/>
              </w:rPr>
              <w:t>Item 5.</w:t>
            </w:r>
          </w:p>
        </w:tc>
        <w:tc>
          <w:tcPr>
            <w:tcW w:w="7060" w:type="dxa"/>
            <w:vAlign w:val="bottom"/>
            <w:gridSpan w:val="19"/>
          </w:tcPr>
          <w:p>
            <w:pPr>
              <w:spacing w:after="0"/>
              <w:rPr>
                <w:sz w:val="20"/>
                <w:szCs w:val="20"/>
                <w:color w:val="auto"/>
              </w:rPr>
            </w:pPr>
            <w:r>
              <w:rPr>
                <w:rFonts w:ascii="Times New Roman" w:cs="Times New Roman" w:eastAsia="Times New Roman" w:hAnsi="Times New Roman"/>
                <w:sz w:val="11"/>
                <w:szCs w:val="11"/>
                <w:color w:val="0000FF"/>
              </w:rPr>
              <w:t>Other Information</w:t>
            </w:r>
          </w:p>
        </w:tc>
        <w:tc>
          <w:tcPr>
            <w:tcW w:w="2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80" w:type="dxa"/>
            <w:vAlign w:val="bottom"/>
            <w:gridSpan w:val="15"/>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580" w:type="dxa"/>
            <w:vAlign w:val="bottom"/>
            <w:gridSpan w:val="3"/>
          </w:tcPr>
          <w:p>
            <w:pPr>
              <w:spacing w:after="0"/>
              <w:rPr>
                <w:sz w:val="20"/>
                <w:szCs w:val="20"/>
                <w:color w:val="auto"/>
              </w:rPr>
            </w:pPr>
            <w:r>
              <w:rPr>
                <w:rFonts w:ascii="Times New Roman" w:cs="Times New Roman" w:eastAsia="Times New Roman" w:hAnsi="Times New Roman"/>
                <w:sz w:val="11"/>
                <w:szCs w:val="11"/>
                <w:color w:val="0000FF"/>
              </w:rPr>
              <w:t>Item 6.</w:t>
            </w:r>
          </w:p>
        </w:tc>
        <w:tc>
          <w:tcPr>
            <w:tcW w:w="7060" w:type="dxa"/>
            <w:vAlign w:val="bottom"/>
            <w:gridSpan w:val="19"/>
          </w:tcPr>
          <w:p>
            <w:pPr>
              <w:spacing w:after="0"/>
              <w:rPr>
                <w:sz w:val="20"/>
                <w:szCs w:val="20"/>
                <w:color w:val="auto"/>
              </w:rPr>
            </w:pPr>
            <w:r>
              <w:rPr>
                <w:rFonts w:ascii="Times New Roman" w:cs="Times New Roman" w:eastAsia="Times New Roman" w:hAnsi="Times New Roman"/>
                <w:sz w:val="11"/>
                <w:szCs w:val="11"/>
                <w:color w:val="0000FF"/>
              </w:rPr>
              <w:t>Exhibits</w:t>
            </w:r>
          </w:p>
        </w:tc>
        <w:tc>
          <w:tcPr>
            <w:tcW w:w="2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0" w:type="dxa"/>
            <w:vAlign w:val="bottom"/>
            <w:gridSpan w:val="16"/>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1"/>
                <w:szCs w:val="11"/>
                <w:color w:val="0000FF"/>
                <w:w w:val="93"/>
              </w:rPr>
              <w:t>SIGNATURES</w:t>
            </w:r>
          </w:p>
        </w:tc>
        <w:tc>
          <w:tcPr>
            <w:tcW w:w="6400" w:type="dxa"/>
            <w:vAlign w:val="bottom"/>
            <w:gridSpan w:val="16"/>
          </w:tcPr>
          <w:p>
            <w:pPr>
              <w:spacing w:after="0"/>
              <w:rPr>
                <w:sz w:val="18"/>
                <w:szCs w:val="18"/>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129540</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9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1"/>
          <w:szCs w:val="11"/>
          <w:color w:val="auto"/>
        </w:rPr>
        <w:t>This Quarterly Report on Form 10-Q contains express or implied forward-looking statements within the meaning of the Private Securities Litigation Reform Act of 1995 that involve substantial risks and uncertainties. We intend such forward-looking statements contained in this Quarterly Report on Form 10-Q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Quarterly Report on Form 10-Q, including statements regarding our strategy, future financial condition, future operations, projected costs, prospects, plans, objectives of management, expected market growth, plans for our current and future products, anticipated product launches, and the impact of macroeconomic conditions, industry, and business trends, are forward-looking statements. In some cases, you can identify forward-looking statements by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w:t>
      </w:r>
    </w:p>
    <w:p>
      <w:pPr>
        <w:spacing w:after="0" w:line="99"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2"/>
          <w:szCs w:val="12"/>
          <w:color w:val="auto"/>
        </w:rPr>
        <w:t>You should not rely 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financial condition, results of operations,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Forward-looking statements involve known and unknown risks and uncertainties and are subject to other important factors that may cause our actual results, performance or achievements to be materially different from any future results, performance or achievements expressed or implied by the forward-looking statements, including, but not limited to, we have incurred significant net losses since our inception, we expect to incur additional substantial losses in the foreseeable future and we may not be able to achieve or sustain profitability; our revenue is currently generated almost entirely from the sales of only one product, Heartflow FFRCT Analysis, and we are therefore highly dependent on the success of this product, which makes it difficult to evaluate our current business, predict our future prospects and forecast our financial performance and any growth; if healthcare providers are unwilling to change their standard practice regarding the evaluation of CAD, our business, financial condition, results of operations and prospects will be adversely affected; if third-party payors, including government payors, do not cover and provide adequate reimbursement for the Heartflow Platform, or if existing payment amounts are reduced or coding policies change, adoption of the Heartflow Platform by healthcare providers may be negatively impacted, and our business, financial condition, results of operations and prospects will be adversely affected; we face risks associated with a concentrated customer base; we face significant competition in an environment of rapid technological change, and there is a possibility that our competitors may develop products that are more effective, accurate, reliable, cost-effective or more advanced than ours, which may harm our financial condition, and if we are unable to compete successfully or our potential market share is reduced, we may be unable to increase or sustain our revenue or achieve profitability; the commercialization of Heartflow Plaque Analysis is nascent, and we may not be able to achieve or maintain sufficient market acceptance or the levels of utilization we expect from Heartflow Plaque Analysis or any other future product; we face risks associated with our use and development of AI models, which may result in operational challenges, legal liability, reputational concerns and competitive risks; if we fail to properly manage our future growth, our business could suffer; our business could be disrupted by catastrophic events; we depend on our information technology systems, and any failure of these systems could harm our business and adversely affect our business and operating results; our networks and those of our third-party service providers may become the target of bad actors or security breaches that we cannot anticipate or successfully defend, which could have an adverse impact on our business; we face extensive regulatory requirements to bring our products to market, and our failure to receive and maintain regulatory clearances or approvals of our current and future products in the United States or abroad or to comply with medical device regulatory requirements could adversely affect our business; if we are unable to obtain and maintain sufficient intellectual property rights, or the scope of our rights is not sufficiently broad, third parties could develop and commercialize technology and products similar or identical to ours, and our ability to successfully commercialize our technology and products may be adversely affected; and those factors discussed in Part I, Item 1A, “Risk Factors” in our Annual Report on Form 10-K filed with the U.S. Securities and Exchange Commission (“SEC”) on March 18, 2026, as such risks and uncertainties may be amended, supplemented or superseded from time to time by our subsequent periodic reports on Form 10-Q and Form 10-K we file with the SEC. We qualify all of our forward-looking statements by these cautionary statements. Moreover, we operate in a very competitive and rapidly changing environment. New risks and uncertainties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121920</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rPr>
          <w:sz w:val="20"/>
          <w:szCs w:val="20"/>
          <w:color w:val="auto"/>
        </w:rPr>
      </w:pPr>
      <w:r>
        <w:rPr>
          <w:rFonts w:ascii="Times New Roman" w:cs="Times New Roman" w:eastAsia="Times New Roman" w:hAnsi="Times New Roman"/>
          <w:sz w:val="12"/>
          <w:szCs w:val="12"/>
          <w:color w:val="auto"/>
        </w:rPr>
        <w:t>emerge from time to time, and it is not possible for us to predict all risks and uncertainties that could have an impact on the forward-looking statements contained in this Quarterly Report on Form 10-Q.</w:t>
      </w:r>
    </w:p>
    <w:p>
      <w:pPr>
        <w:spacing w:after="0" w:line="10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200" w:lineRule="exact"/>
        <w:rPr>
          <w:sz w:val="20"/>
          <w:szCs w:val="20"/>
          <w:color w:val="auto"/>
        </w:rPr>
      </w:pPr>
    </w:p>
    <w:p>
      <w:pPr>
        <w:spacing w:after="0" w:line="26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129540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60"/>
          </w:cols>
          <w:pgMar w:left="300" w:top="125" w:right="5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Condensed Consolidated Financial Statements (unaudited)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Heartflow,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jc w:val="center"/>
        <w:spacing w:after="0" w:line="219" w:lineRule="auto"/>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380" w:type="dxa"/>
            <w:vAlign w:val="bottom"/>
          </w:tcPr>
          <w:p>
            <w:pPr>
              <w:spacing w:after="0"/>
              <w:rPr>
                <w:sz w:val="11"/>
                <w:szCs w:val="11"/>
                <w:color w:val="auto"/>
              </w:rPr>
            </w:pPr>
          </w:p>
        </w:tc>
        <w:tc>
          <w:tcPr>
            <w:tcW w:w="118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jc w:val="right"/>
              <w:ind w:right="506"/>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7"/>
        </w:trPr>
        <w:tc>
          <w:tcPr>
            <w:tcW w:w="738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2026</w:t>
            </w:r>
          </w:p>
        </w:tc>
        <w:tc>
          <w:tcPr>
            <w:tcW w:w="560" w:type="dxa"/>
            <w:vAlign w:val="bottom"/>
            <w:tcBorders>
              <w:bottom w:val="single" w:sz="8" w:color="auto"/>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ind w:right="706"/>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06"/>
        </w:trPr>
        <w:tc>
          <w:tcPr>
            <w:tcW w:w="73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Assets</w:t>
            </w:r>
          </w:p>
        </w:tc>
        <w:tc>
          <w:tcPr>
            <w:tcW w:w="1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r>
      <w:tr>
        <w:trPr>
          <w:trHeight w:val="117"/>
        </w:trPr>
        <w:tc>
          <w:tcPr>
            <w:tcW w:w="738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Current assets</w:t>
            </w:r>
          </w:p>
        </w:tc>
        <w:tc>
          <w:tcPr>
            <w:tcW w:w="1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17"/>
        </w:trPr>
        <w:tc>
          <w:tcPr>
            <w:tcW w:w="7380" w:type="dxa"/>
            <w:vAlign w:val="bottom"/>
            <w:shd w:val="clear" w:color="auto" w:fill="CCEEFF"/>
          </w:tcPr>
          <w:p>
            <w:pPr>
              <w:ind w:left="140"/>
              <w:spacing w:after="0" w:line="117" w:lineRule="exact"/>
              <w:rPr>
                <w:sz w:val="20"/>
                <w:szCs w:val="20"/>
                <w:color w:val="auto"/>
              </w:rPr>
            </w:pPr>
            <w:r>
              <w:rPr>
                <w:rFonts w:ascii="Times New Roman" w:cs="Times New Roman" w:eastAsia="Times New Roman" w:hAnsi="Times New Roman"/>
                <w:sz w:val="11"/>
                <w:szCs w:val="11"/>
                <w:color w:val="auto"/>
              </w:rPr>
              <w:t>Cash and cash equivalents</w:t>
            </w:r>
          </w:p>
        </w:tc>
        <w:tc>
          <w:tcPr>
            <w:tcW w:w="1180" w:type="dxa"/>
            <w:vAlign w:val="bottom"/>
            <w:shd w:val="clear" w:color="auto" w:fill="CCEEFF"/>
          </w:tcPr>
          <w:p>
            <w:pPr>
              <w:jc w:val="right"/>
              <w:ind w:right="106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19,671</w:t>
            </w:r>
          </w:p>
        </w:tc>
        <w:tc>
          <w:tcPr>
            <w:tcW w:w="420" w:type="dxa"/>
            <w:vAlign w:val="bottom"/>
            <w:shd w:val="clear" w:color="auto" w:fill="CCEEFF"/>
          </w:tcPr>
          <w:p>
            <w:pPr>
              <w:spacing w:after="0"/>
              <w:rPr>
                <w:sz w:val="10"/>
                <w:szCs w:val="10"/>
                <w:color w:val="auto"/>
              </w:rPr>
            </w:pPr>
          </w:p>
        </w:tc>
        <w:tc>
          <w:tcPr>
            <w:tcW w:w="320" w:type="dxa"/>
            <w:vAlign w:val="bottom"/>
            <w:shd w:val="clear" w:color="auto" w:fill="CCEEFF"/>
          </w:tcPr>
          <w:p>
            <w:pPr>
              <w:jc w:val="right"/>
              <w:ind w:right="20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44,776</w:t>
            </w:r>
          </w:p>
        </w:tc>
      </w:tr>
      <w:tr>
        <w:trPr>
          <w:trHeight w:val="117"/>
        </w:trPr>
        <w:tc>
          <w:tcPr>
            <w:tcW w:w="7380" w:type="dxa"/>
            <w:vAlign w:val="bottom"/>
          </w:tcPr>
          <w:p>
            <w:pPr>
              <w:ind w:left="140"/>
              <w:spacing w:after="0" w:line="117" w:lineRule="exact"/>
              <w:rPr>
                <w:sz w:val="20"/>
                <w:szCs w:val="20"/>
                <w:color w:val="auto"/>
              </w:rPr>
            </w:pPr>
            <w:r>
              <w:rPr>
                <w:rFonts w:ascii="Times New Roman" w:cs="Times New Roman" w:eastAsia="Times New Roman" w:hAnsi="Times New Roman"/>
                <w:sz w:val="11"/>
                <w:szCs w:val="11"/>
                <w:color w:val="auto"/>
              </w:rPr>
              <w:t>Short-term investments</w:t>
            </w:r>
          </w:p>
        </w:tc>
        <w:tc>
          <w:tcPr>
            <w:tcW w:w="118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138,645</w:t>
            </w: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132,010</w:t>
            </w:r>
          </w:p>
        </w:tc>
      </w:tr>
      <w:tr>
        <w:trPr>
          <w:trHeight w:val="117"/>
        </w:trPr>
        <w:tc>
          <w:tcPr>
            <w:tcW w:w="7380" w:type="dxa"/>
            <w:vAlign w:val="bottom"/>
            <w:shd w:val="clear" w:color="auto" w:fill="CCEEFF"/>
          </w:tcPr>
          <w:p>
            <w:pPr>
              <w:ind w:left="140"/>
              <w:spacing w:after="0" w:line="117" w:lineRule="exact"/>
              <w:rPr>
                <w:sz w:val="20"/>
                <w:szCs w:val="20"/>
                <w:color w:val="auto"/>
              </w:rPr>
            </w:pPr>
            <w:r>
              <w:rPr>
                <w:rFonts w:ascii="Times New Roman" w:cs="Times New Roman" w:eastAsia="Times New Roman" w:hAnsi="Times New Roman"/>
                <w:sz w:val="11"/>
                <w:szCs w:val="11"/>
                <w:color w:val="auto"/>
              </w:rPr>
              <w:t>Accounts receivable, net of allowance for credit losses of $626 at March 31, 2026 and December 31, 2025</w:t>
            </w:r>
          </w:p>
        </w:tc>
        <w:tc>
          <w:tcPr>
            <w:tcW w:w="11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420"/>
              <w:spacing w:after="0" w:line="117" w:lineRule="exact"/>
              <w:rPr>
                <w:sz w:val="20"/>
                <w:szCs w:val="20"/>
                <w:color w:val="auto"/>
              </w:rPr>
            </w:pPr>
            <w:r>
              <w:rPr>
                <w:rFonts w:ascii="Times New Roman" w:cs="Times New Roman" w:eastAsia="Times New Roman" w:hAnsi="Times New Roman"/>
                <w:sz w:val="11"/>
                <w:szCs w:val="11"/>
                <w:color w:val="auto"/>
              </w:rPr>
              <w:t>35,527</w:t>
            </w:r>
          </w:p>
        </w:tc>
        <w:tc>
          <w:tcPr>
            <w:tcW w:w="320" w:type="dxa"/>
            <w:vAlign w:val="bottom"/>
            <w:shd w:val="clear" w:color="auto" w:fill="CCEEFF"/>
          </w:tcPr>
          <w:p>
            <w:pPr>
              <w:spacing w:after="0"/>
              <w:rPr>
                <w:sz w:val="10"/>
                <w:szCs w:val="10"/>
                <w:color w:val="auto"/>
              </w:rPr>
            </w:pPr>
          </w:p>
        </w:tc>
        <w:tc>
          <w:tcPr>
            <w:tcW w:w="14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29,343</w:t>
            </w:r>
          </w:p>
        </w:tc>
      </w:tr>
      <w:tr>
        <w:trPr>
          <w:trHeight w:val="117"/>
        </w:trPr>
        <w:tc>
          <w:tcPr>
            <w:tcW w:w="7380" w:type="dxa"/>
            <w:vAlign w:val="bottom"/>
            <w:tcBorders>
              <w:bottom w:val="single" w:sz="8" w:color="CCEEFF"/>
            </w:tcBorders>
          </w:tcPr>
          <w:p>
            <w:pPr>
              <w:ind w:left="140"/>
              <w:spacing w:after="0" w:line="117" w:lineRule="exact"/>
              <w:rPr>
                <w:sz w:val="20"/>
                <w:szCs w:val="20"/>
                <w:color w:val="auto"/>
              </w:rPr>
            </w:pPr>
            <w:r>
              <w:rPr>
                <w:rFonts w:ascii="Times New Roman" w:cs="Times New Roman" w:eastAsia="Times New Roman" w:hAnsi="Times New Roman"/>
                <w:sz w:val="11"/>
                <w:szCs w:val="11"/>
                <w:color w:val="auto"/>
              </w:rPr>
              <w:t>Prepaid expenses and other current assets</w:t>
            </w:r>
          </w:p>
        </w:tc>
        <w:tc>
          <w:tcPr>
            <w:tcW w:w="1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17,987</w:t>
            </w:r>
          </w:p>
        </w:tc>
        <w:tc>
          <w:tcPr>
            <w:tcW w:w="42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14,075</w:t>
            </w:r>
          </w:p>
        </w:tc>
      </w:tr>
      <w:tr>
        <w:trPr>
          <w:trHeight w:val="106"/>
        </w:trPr>
        <w:tc>
          <w:tcPr>
            <w:tcW w:w="7380" w:type="dxa"/>
            <w:vAlign w:val="bottom"/>
            <w:shd w:val="clear" w:color="auto" w:fill="CCEEFF"/>
          </w:tcPr>
          <w:p>
            <w:pPr>
              <w:ind w:left="200"/>
              <w:spacing w:after="0" w:line="106" w:lineRule="exact"/>
              <w:rPr>
                <w:sz w:val="20"/>
                <w:szCs w:val="20"/>
                <w:color w:val="auto"/>
              </w:rPr>
            </w:pPr>
            <w:r>
              <w:rPr>
                <w:rFonts w:ascii="Times New Roman" w:cs="Times New Roman" w:eastAsia="Times New Roman" w:hAnsi="Times New Roman"/>
                <w:sz w:val="11"/>
                <w:szCs w:val="11"/>
                <w:color w:val="auto"/>
              </w:rPr>
              <w:t>Total current assets</w:t>
            </w:r>
          </w:p>
        </w:tc>
        <w:tc>
          <w:tcPr>
            <w:tcW w:w="11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211,830</w:t>
            </w:r>
          </w:p>
        </w:tc>
        <w:tc>
          <w:tcPr>
            <w:tcW w:w="4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4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220,204</w:t>
            </w:r>
          </w:p>
        </w:tc>
      </w:tr>
      <w:tr>
        <w:trPr>
          <w:trHeight w:val="117"/>
        </w:trPr>
        <w:tc>
          <w:tcPr>
            <w:tcW w:w="738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Long-term investments</w:t>
            </w:r>
          </w:p>
        </w:tc>
        <w:tc>
          <w:tcPr>
            <w:tcW w:w="118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96,582</w:t>
            </w: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103,365</w:t>
            </w:r>
          </w:p>
        </w:tc>
      </w:tr>
      <w:tr>
        <w:trPr>
          <w:trHeight w:val="117"/>
        </w:trPr>
        <w:tc>
          <w:tcPr>
            <w:tcW w:w="73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Property and equipment, net</w:t>
            </w:r>
          </w:p>
        </w:tc>
        <w:tc>
          <w:tcPr>
            <w:tcW w:w="11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420"/>
              <w:spacing w:after="0" w:line="117" w:lineRule="exact"/>
              <w:rPr>
                <w:sz w:val="20"/>
                <w:szCs w:val="20"/>
                <w:color w:val="auto"/>
              </w:rPr>
            </w:pPr>
            <w:r>
              <w:rPr>
                <w:rFonts w:ascii="Times New Roman" w:cs="Times New Roman" w:eastAsia="Times New Roman" w:hAnsi="Times New Roman"/>
                <w:sz w:val="11"/>
                <w:szCs w:val="11"/>
                <w:color w:val="auto"/>
              </w:rPr>
              <w:t>9,829</w:t>
            </w:r>
          </w:p>
        </w:tc>
        <w:tc>
          <w:tcPr>
            <w:tcW w:w="320" w:type="dxa"/>
            <w:vAlign w:val="bottom"/>
            <w:shd w:val="clear" w:color="auto" w:fill="CCEEFF"/>
          </w:tcPr>
          <w:p>
            <w:pPr>
              <w:spacing w:after="0"/>
              <w:rPr>
                <w:sz w:val="10"/>
                <w:szCs w:val="10"/>
                <w:color w:val="auto"/>
              </w:rPr>
            </w:pPr>
          </w:p>
        </w:tc>
        <w:tc>
          <w:tcPr>
            <w:tcW w:w="14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8,587</w:t>
            </w:r>
          </w:p>
        </w:tc>
      </w:tr>
      <w:tr>
        <w:trPr>
          <w:trHeight w:val="117"/>
        </w:trPr>
        <w:tc>
          <w:tcPr>
            <w:tcW w:w="738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Operating lease right-of-use assets</w:t>
            </w:r>
          </w:p>
        </w:tc>
        <w:tc>
          <w:tcPr>
            <w:tcW w:w="1180" w:type="dxa"/>
            <w:vAlign w:val="bottom"/>
          </w:tcPr>
          <w:p>
            <w:pPr>
              <w:spacing w:after="0"/>
              <w:rPr>
                <w:sz w:val="10"/>
                <w:szCs w:val="10"/>
                <w:color w:val="auto"/>
              </w:rPr>
            </w:pPr>
          </w:p>
        </w:tc>
        <w:tc>
          <w:tcPr>
            <w:tcW w:w="980" w:type="dxa"/>
            <w:vAlign w:val="bottom"/>
            <w:gridSpan w:val="2"/>
          </w:tcPr>
          <w:p>
            <w:pPr>
              <w:jc w:val="right"/>
              <w:ind w:right="420"/>
              <w:spacing w:after="0" w:line="117" w:lineRule="exact"/>
              <w:rPr>
                <w:sz w:val="20"/>
                <w:szCs w:val="20"/>
                <w:color w:val="auto"/>
              </w:rPr>
            </w:pPr>
            <w:r>
              <w:rPr>
                <w:rFonts w:ascii="Times New Roman" w:cs="Times New Roman" w:eastAsia="Times New Roman" w:hAnsi="Times New Roman"/>
                <w:sz w:val="11"/>
                <w:szCs w:val="11"/>
                <w:color w:val="auto"/>
              </w:rPr>
              <w:t>14,407</w:t>
            </w:r>
          </w:p>
        </w:tc>
        <w:tc>
          <w:tcPr>
            <w:tcW w:w="320" w:type="dxa"/>
            <w:vAlign w:val="bottom"/>
          </w:tcPr>
          <w:p>
            <w:pPr>
              <w:spacing w:after="0"/>
              <w:rPr>
                <w:sz w:val="10"/>
                <w:szCs w:val="10"/>
                <w:color w:val="auto"/>
              </w:rPr>
            </w:pPr>
          </w:p>
        </w:tc>
        <w:tc>
          <w:tcPr>
            <w:tcW w:w="14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17,488</w:t>
            </w:r>
          </w:p>
        </w:tc>
      </w:tr>
      <w:tr>
        <w:trPr>
          <w:trHeight w:val="117"/>
        </w:trPr>
        <w:tc>
          <w:tcPr>
            <w:tcW w:w="73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Restricted cash, non-current</w:t>
            </w:r>
          </w:p>
        </w:tc>
        <w:tc>
          <w:tcPr>
            <w:tcW w:w="11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4,702</w:t>
            </w:r>
          </w:p>
        </w:tc>
        <w:tc>
          <w:tcPr>
            <w:tcW w:w="4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4,709</w:t>
            </w:r>
          </w:p>
        </w:tc>
      </w:tr>
      <w:tr>
        <w:trPr>
          <w:trHeight w:val="117"/>
        </w:trPr>
        <w:tc>
          <w:tcPr>
            <w:tcW w:w="738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Other non-current assets</w:t>
            </w:r>
          </w:p>
        </w:tc>
        <w:tc>
          <w:tcPr>
            <w:tcW w:w="1180" w:type="dxa"/>
            <w:vAlign w:val="bottom"/>
          </w:tcPr>
          <w:p>
            <w:pPr>
              <w:spacing w:after="0"/>
              <w:rPr>
                <w:sz w:val="10"/>
                <w:szCs w:val="10"/>
                <w:color w:val="auto"/>
              </w:rPr>
            </w:pPr>
          </w:p>
        </w:tc>
        <w:tc>
          <w:tcPr>
            <w:tcW w:w="980" w:type="dxa"/>
            <w:vAlign w:val="bottom"/>
            <w:gridSpan w:val="2"/>
          </w:tcPr>
          <w:p>
            <w:pPr>
              <w:jc w:val="right"/>
              <w:ind w:right="420"/>
              <w:spacing w:after="0" w:line="117" w:lineRule="exact"/>
              <w:rPr>
                <w:sz w:val="20"/>
                <w:szCs w:val="20"/>
                <w:color w:val="auto"/>
              </w:rPr>
            </w:pPr>
            <w:r>
              <w:rPr>
                <w:rFonts w:ascii="Times New Roman" w:cs="Times New Roman" w:eastAsia="Times New Roman" w:hAnsi="Times New Roman"/>
                <w:sz w:val="11"/>
                <w:szCs w:val="11"/>
                <w:color w:val="auto"/>
              </w:rPr>
              <w:t>6,675</w:t>
            </w:r>
          </w:p>
        </w:tc>
        <w:tc>
          <w:tcPr>
            <w:tcW w:w="320" w:type="dxa"/>
            <w:vAlign w:val="bottom"/>
          </w:tcPr>
          <w:p>
            <w:pPr>
              <w:spacing w:after="0"/>
              <w:rPr>
                <w:sz w:val="10"/>
                <w:szCs w:val="10"/>
                <w:color w:val="auto"/>
              </w:rPr>
            </w:pPr>
          </w:p>
        </w:tc>
        <w:tc>
          <w:tcPr>
            <w:tcW w:w="14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5,099</w:t>
            </w:r>
          </w:p>
        </w:tc>
      </w:tr>
      <w:tr>
        <w:trPr>
          <w:trHeight w:val="126"/>
        </w:trPr>
        <w:tc>
          <w:tcPr>
            <w:tcW w:w="7380" w:type="dxa"/>
            <w:vAlign w:val="bottom"/>
            <w:tcBorders>
              <w:top w:val="single" w:sz="8" w:color="CCEEFF"/>
              <w:bottom w:val="single" w:sz="8" w:color="CCEEFF"/>
            </w:tcBorders>
            <w:shd w:val="clear" w:color="auto" w:fill="CCEEFF"/>
          </w:tcPr>
          <w:p>
            <w:pPr>
              <w:ind w:left="280"/>
              <w:spacing w:after="0" w:line="106" w:lineRule="exact"/>
              <w:rPr>
                <w:sz w:val="20"/>
                <w:szCs w:val="20"/>
                <w:color w:val="auto"/>
              </w:rPr>
            </w:pPr>
            <w:r>
              <w:rPr>
                <w:rFonts w:ascii="Times New Roman" w:cs="Times New Roman" w:eastAsia="Times New Roman" w:hAnsi="Times New Roman"/>
                <w:sz w:val="11"/>
                <w:szCs w:val="11"/>
                <w:color w:val="auto"/>
              </w:rPr>
              <w:t>Total assets</w:t>
            </w:r>
          </w:p>
        </w:tc>
        <w:tc>
          <w:tcPr>
            <w:tcW w:w="1180" w:type="dxa"/>
            <w:vAlign w:val="bottom"/>
            <w:tcBorders>
              <w:top w:val="single" w:sz="8" w:color="auto"/>
              <w:bottom w:val="single" w:sz="8" w:color="auto"/>
            </w:tcBorders>
            <w:shd w:val="clear" w:color="auto" w:fill="CCEEFF"/>
          </w:tcPr>
          <w:p>
            <w:pPr>
              <w:jc w:val="right"/>
              <w:ind w:right="106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344,025</w:t>
            </w:r>
          </w:p>
        </w:tc>
        <w:tc>
          <w:tcPr>
            <w:tcW w:w="420" w:type="dxa"/>
            <w:vAlign w:val="bottom"/>
            <w:tcBorders>
              <w:top w:val="single" w:sz="8" w:color="CCEEFF"/>
              <w:bottom w:val="single" w:sz="8" w:color="CCEEFF"/>
            </w:tcBorders>
            <w:shd w:val="clear" w:color="auto" w:fill="CCEEFF"/>
          </w:tcPr>
          <w:p>
            <w:pPr>
              <w:spacing w:after="0"/>
              <w:rPr>
                <w:sz w:val="10"/>
                <w:szCs w:val="10"/>
                <w:color w:val="auto"/>
              </w:rPr>
            </w:pPr>
          </w:p>
        </w:tc>
        <w:tc>
          <w:tcPr>
            <w:tcW w:w="320" w:type="dxa"/>
            <w:vAlign w:val="bottom"/>
            <w:tcBorders>
              <w:top w:val="single" w:sz="8" w:color="auto"/>
              <w:bottom w:val="single" w:sz="8" w:color="auto"/>
            </w:tcBorders>
            <w:shd w:val="clear" w:color="auto" w:fill="CCEEFF"/>
          </w:tcPr>
          <w:p>
            <w:pPr>
              <w:jc w:val="right"/>
              <w:ind w:right="20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359,452</w:t>
            </w: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35"/>
        </w:trPr>
        <w:tc>
          <w:tcPr>
            <w:tcW w:w="7380" w:type="dxa"/>
            <w:vAlign w:val="bottom"/>
          </w:tcPr>
          <w:p>
            <w:pPr>
              <w:spacing w:after="0"/>
              <w:rPr>
                <w:sz w:val="20"/>
                <w:szCs w:val="20"/>
                <w:color w:val="auto"/>
              </w:rPr>
            </w:pPr>
            <w:r>
              <w:rPr>
                <w:rFonts w:ascii="Times New Roman" w:cs="Times New Roman" w:eastAsia="Times New Roman" w:hAnsi="Times New Roman"/>
                <w:sz w:val="11"/>
                <w:szCs w:val="11"/>
                <w:color w:val="auto"/>
              </w:rPr>
              <w:t>Current liabilities</w:t>
            </w:r>
          </w:p>
        </w:tc>
        <w:tc>
          <w:tcPr>
            <w:tcW w:w="1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17"/>
        </w:trPr>
        <w:tc>
          <w:tcPr>
            <w:tcW w:w="7380" w:type="dxa"/>
            <w:vAlign w:val="bottom"/>
            <w:shd w:val="clear" w:color="auto" w:fill="CCEEFF"/>
          </w:tcPr>
          <w:p>
            <w:pPr>
              <w:ind w:left="140"/>
              <w:spacing w:after="0" w:line="117" w:lineRule="exact"/>
              <w:rPr>
                <w:sz w:val="20"/>
                <w:szCs w:val="20"/>
                <w:color w:val="auto"/>
              </w:rPr>
            </w:pPr>
            <w:r>
              <w:rPr>
                <w:rFonts w:ascii="Times New Roman" w:cs="Times New Roman" w:eastAsia="Times New Roman" w:hAnsi="Times New Roman"/>
                <w:sz w:val="11"/>
                <w:szCs w:val="11"/>
                <w:color w:val="auto"/>
              </w:rPr>
              <w:t>Accounts payable</w:t>
            </w:r>
          </w:p>
        </w:tc>
        <w:tc>
          <w:tcPr>
            <w:tcW w:w="1180" w:type="dxa"/>
            <w:vAlign w:val="bottom"/>
            <w:shd w:val="clear" w:color="auto" w:fill="CCEEFF"/>
          </w:tcPr>
          <w:p>
            <w:pPr>
              <w:jc w:val="right"/>
              <w:ind w:right="106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420"/>
              <w:spacing w:after="0" w:line="117" w:lineRule="exact"/>
              <w:rPr>
                <w:sz w:val="20"/>
                <w:szCs w:val="20"/>
                <w:color w:val="auto"/>
              </w:rPr>
            </w:pPr>
            <w:r>
              <w:rPr>
                <w:rFonts w:ascii="Times New Roman" w:cs="Times New Roman" w:eastAsia="Times New Roman" w:hAnsi="Times New Roman"/>
                <w:sz w:val="11"/>
                <w:szCs w:val="11"/>
                <w:color w:val="auto"/>
              </w:rPr>
              <w:t>5,750</w:t>
            </w:r>
          </w:p>
        </w:tc>
        <w:tc>
          <w:tcPr>
            <w:tcW w:w="320" w:type="dxa"/>
            <w:vAlign w:val="bottom"/>
            <w:shd w:val="clear" w:color="auto" w:fill="CCEEFF"/>
          </w:tcPr>
          <w:p>
            <w:pPr>
              <w:jc w:val="right"/>
              <w:ind w:right="20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3,169</w:t>
            </w:r>
          </w:p>
        </w:tc>
      </w:tr>
      <w:tr>
        <w:trPr>
          <w:trHeight w:val="117"/>
        </w:trPr>
        <w:tc>
          <w:tcPr>
            <w:tcW w:w="7380" w:type="dxa"/>
            <w:vAlign w:val="bottom"/>
          </w:tcPr>
          <w:p>
            <w:pPr>
              <w:ind w:left="140"/>
              <w:spacing w:after="0" w:line="117" w:lineRule="exact"/>
              <w:rPr>
                <w:sz w:val="20"/>
                <w:szCs w:val="20"/>
                <w:color w:val="auto"/>
              </w:rPr>
            </w:pPr>
            <w:r>
              <w:rPr>
                <w:rFonts w:ascii="Times New Roman" w:cs="Times New Roman" w:eastAsia="Times New Roman" w:hAnsi="Times New Roman"/>
                <w:sz w:val="11"/>
                <w:szCs w:val="11"/>
                <w:color w:val="auto"/>
              </w:rPr>
              <w:t>Accrued expenses and other current liabilities</w:t>
            </w:r>
          </w:p>
        </w:tc>
        <w:tc>
          <w:tcPr>
            <w:tcW w:w="1180" w:type="dxa"/>
            <w:vAlign w:val="bottom"/>
          </w:tcPr>
          <w:p>
            <w:pPr>
              <w:spacing w:after="0"/>
              <w:rPr>
                <w:sz w:val="10"/>
                <w:szCs w:val="10"/>
                <w:color w:val="auto"/>
              </w:rPr>
            </w:pPr>
          </w:p>
        </w:tc>
        <w:tc>
          <w:tcPr>
            <w:tcW w:w="980" w:type="dxa"/>
            <w:vAlign w:val="bottom"/>
            <w:gridSpan w:val="2"/>
          </w:tcPr>
          <w:p>
            <w:pPr>
              <w:jc w:val="right"/>
              <w:ind w:right="420"/>
              <w:spacing w:after="0" w:line="117" w:lineRule="exact"/>
              <w:rPr>
                <w:sz w:val="20"/>
                <w:szCs w:val="20"/>
                <w:color w:val="auto"/>
              </w:rPr>
            </w:pPr>
            <w:r>
              <w:rPr>
                <w:rFonts w:ascii="Times New Roman" w:cs="Times New Roman" w:eastAsia="Times New Roman" w:hAnsi="Times New Roman"/>
                <w:sz w:val="11"/>
                <w:szCs w:val="11"/>
                <w:color w:val="auto"/>
              </w:rPr>
              <w:t>25,886</w:t>
            </w:r>
          </w:p>
        </w:tc>
        <w:tc>
          <w:tcPr>
            <w:tcW w:w="320" w:type="dxa"/>
            <w:vAlign w:val="bottom"/>
          </w:tcPr>
          <w:p>
            <w:pPr>
              <w:spacing w:after="0"/>
              <w:rPr>
                <w:sz w:val="10"/>
                <w:szCs w:val="10"/>
                <w:color w:val="auto"/>
              </w:rPr>
            </w:pPr>
          </w:p>
        </w:tc>
        <w:tc>
          <w:tcPr>
            <w:tcW w:w="14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33,279</w:t>
            </w:r>
          </w:p>
        </w:tc>
      </w:tr>
      <w:tr>
        <w:trPr>
          <w:trHeight w:val="117"/>
        </w:trPr>
        <w:tc>
          <w:tcPr>
            <w:tcW w:w="7380" w:type="dxa"/>
            <w:vAlign w:val="bottom"/>
            <w:shd w:val="clear" w:color="auto" w:fill="CCEEFF"/>
          </w:tcPr>
          <w:p>
            <w:pPr>
              <w:ind w:left="140"/>
              <w:spacing w:after="0" w:line="117" w:lineRule="exact"/>
              <w:rPr>
                <w:sz w:val="20"/>
                <w:szCs w:val="20"/>
                <w:color w:val="auto"/>
              </w:rPr>
            </w:pPr>
            <w:r>
              <w:rPr>
                <w:rFonts w:ascii="Times New Roman" w:cs="Times New Roman" w:eastAsia="Times New Roman" w:hAnsi="Times New Roman"/>
                <w:sz w:val="11"/>
                <w:szCs w:val="11"/>
                <w:color w:val="auto"/>
              </w:rPr>
              <w:t>Operating lease liabilities, current</w:t>
            </w:r>
          </w:p>
        </w:tc>
        <w:tc>
          <w:tcPr>
            <w:tcW w:w="118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6,382</w:t>
            </w:r>
          </w:p>
        </w:tc>
        <w:tc>
          <w:tcPr>
            <w:tcW w:w="42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144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5,922</w:t>
            </w:r>
          </w:p>
        </w:tc>
      </w:tr>
      <w:tr>
        <w:trPr>
          <w:trHeight w:val="106"/>
        </w:trPr>
        <w:tc>
          <w:tcPr>
            <w:tcW w:w="7380" w:type="dxa"/>
            <w:vAlign w:val="bottom"/>
          </w:tcPr>
          <w:p>
            <w:pPr>
              <w:ind w:left="200"/>
              <w:spacing w:after="0" w:line="106" w:lineRule="exact"/>
              <w:rPr>
                <w:sz w:val="20"/>
                <w:szCs w:val="20"/>
                <w:color w:val="auto"/>
              </w:rPr>
            </w:pPr>
            <w:r>
              <w:rPr>
                <w:rFonts w:ascii="Times New Roman" w:cs="Times New Roman" w:eastAsia="Times New Roman" w:hAnsi="Times New Roman"/>
                <w:sz w:val="11"/>
                <w:szCs w:val="11"/>
                <w:color w:val="auto"/>
              </w:rPr>
              <w:t>Total current liabilities</w:t>
            </w:r>
          </w:p>
        </w:tc>
        <w:tc>
          <w:tcPr>
            <w:tcW w:w="118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38,018</w:t>
            </w: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4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42,370</w:t>
            </w:r>
          </w:p>
        </w:tc>
      </w:tr>
      <w:tr>
        <w:trPr>
          <w:trHeight w:val="117"/>
        </w:trPr>
        <w:tc>
          <w:tcPr>
            <w:tcW w:w="73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Operating lease liabilities, non-current</w:t>
            </w:r>
          </w:p>
        </w:tc>
        <w:tc>
          <w:tcPr>
            <w:tcW w:w="11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19,967</w:t>
            </w:r>
          </w:p>
        </w:tc>
        <w:tc>
          <w:tcPr>
            <w:tcW w:w="4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16,132</w:t>
            </w:r>
          </w:p>
        </w:tc>
      </w:tr>
      <w:tr>
        <w:trPr>
          <w:trHeight w:val="117"/>
        </w:trPr>
        <w:tc>
          <w:tcPr>
            <w:tcW w:w="7380" w:type="dxa"/>
            <w:vAlign w:val="bottom"/>
            <w:tcBorders>
              <w:bottom w:val="single" w:sz="8" w:color="CCEEFF"/>
            </w:tcBorders>
          </w:tcPr>
          <w:p>
            <w:pPr>
              <w:spacing w:after="0" w:line="117" w:lineRule="exact"/>
              <w:rPr>
                <w:sz w:val="20"/>
                <w:szCs w:val="20"/>
                <w:color w:val="auto"/>
              </w:rPr>
            </w:pPr>
            <w:r>
              <w:rPr>
                <w:rFonts w:ascii="Times New Roman" w:cs="Times New Roman" w:eastAsia="Times New Roman" w:hAnsi="Times New Roman"/>
                <w:sz w:val="11"/>
                <w:szCs w:val="11"/>
                <w:color w:val="auto"/>
              </w:rPr>
              <w:t>Other non-current liabilities</w:t>
            </w:r>
          </w:p>
        </w:tc>
        <w:tc>
          <w:tcPr>
            <w:tcW w:w="1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322</w:t>
            </w:r>
          </w:p>
        </w:tc>
        <w:tc>
          <w:tcPr>
            <w:tcW w:w="42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303</w:t>
            </w:r>
          </w:p>
        </w:tc>
      </w:tr>
      <w:tr>
        <w:trPr>
          <w:trHeight w:val="106"/>
        </w:trPr>
        <w:tc>
          <w:tcPr>
            <w:tcW w:w="7380" w:type="dxa"/>
            <w:vAlign w:val="bottom"/>
            <w:shd w:val="clear" w:color="auto" w:fill="CCEEFF"/>
          </w:tcPr>
          <w:p>
            <w:pPr>
              <w:ind w:left="360"/>
              <w:spacing w:after="0" w:line="106" w:lineRule="exact"/>
              <w:rPr>
                <w:sz w:val="20"/>
                <w:szCs w:val="20"/>
                <w:color w:val="auto"/>
              </w:rPr>
            </w:pPr>
            <w:r>
              <w:rPr>
                <w:rFonts w:ascii="Times New Roman" w:cs="Times New Roman" w:eastAsia="Times New Roman" w:hAnsi="Times New Roman"/>
                <w:sz w:val="11"/>
                <w:szCs w:val="11"/>
                <w:color w:val="auto"/>
              </w:rPr>
              <w:t>Total liabilities</w:t>
            </w:r>
          </w:p>
        </w:tc>
        <w:tc>
          <w:tcPr>
            <w:tcW w:w="1180" w:type="dxa"/>
            <w:vAlign w:val="bottom"/>
            <w:tcBorders>
              <w:bottom w:val="single" w:sz="8" w:color="auto"/>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58,307</w:t>
            </w:r>
          </w:p>
        </w:tc>
        <w:tc>
          <w:tcPr>
            <w:tcW w:w="420" w:type="dxa"/>
            <w:vAlign w:val="bottom"/>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spacing w:after="0"/>
              <w:rPr>
                <w:sz w:val="9"/>
                <w:szCs w:val="9"/>
                <w:color w:val="auto"/>
              </w:rPr>
            </w:pPr>
          </w:p>
        </w:tc>
        <w:tc>
          <w:tcPr>
            <w:tcW w:w="144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58,805</w:t>
            </w:r>
          </w:p>
        </w:tc>
      </w:tr>
      <w:tr>
        <w:trPr>
          <w:trHeight w:val="115"/>
        </w:trPr>
        <w:tc>
          <w:tcPr>
            <w:tcW w:w="738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Commitments and contingencies (Note 7)</w:t>
            </w:r>
          </w:p>
        </w:tc>
        <w:tc>
          <w:tcPr>
            <w:tcW w:w="1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17"/>
        </w:trPr>
        <w:tc>
          <w:tcPr>
            <w:tcW w:w="73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Stockholders’ equity</w:t>
            </w:r>
          </w:p>
        </w:tc>
        <w:tc>
          <w:tcPr>
            <w:tcW w:w="1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r>
      <w:tr>
        <w:trPr>
          <w:trHeight w:val="99"/>
        </w:trPr>
        <w:tc>
          <w:tcPr>
            <w:tcW w:w="7380" w:type="dxa"/>
            <w:vAlign w:val="bottom"/>
          </w:tcPr>
          <w:p>
            <w:pPr>
              <w:spacing w:after="0" w:line="99" w:lineRule="exact"/>
              <w:rPr>
                <w:sz w:val="20"/>
                <w:szCs w:val="20"/>
                <w:color w:val="auto"/>
              </w:rPr>
            </w:pPr>
            <w:r>
              <w:rPr>
                <w:rFonts w:ascii="Times New Roman" w:cs="Times New Roman" w:eastAsia="Times New Roman" w:hAnsi="Times New Roman"/>
                <w:sz w:val="11"/>
                <w:szCs w:val="11"/>
                <w:color w:val="auto"/>
                <w:w w:val="98"/>
              </w:rPr>
              <w:t>Preferred stock, $0.001 par value; 50,000,000 shares authorized as of March 31, 2026 and December 31, 2025; no shares issued and outstanding as of March 31, 2026 and</w:t>
            </w:r>
          </w:p>
        </w:tc>
        <w:tc>
          <w:tcPr>
            <w:tcW w:w="1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135"/>
        </w:trPr>
        <w:tc>
          <w:tcPr>
            <w:tcW w:w="7380" w:type="dxa"/>
            <w:vAlign w:val="bottom"/>
          </w:tcPr>
          <w:p>
            <w:pPr>
              <w:spacing w:after="0"/>
              <w:rPr>
                <w:sz w:val="20"/>
                <w:szCs w:val="20"/>
                <w:color w:val="auto"/>
              </w:rPr>
            </w:pPr>
            <w:r>
              <w:rPr>
                <w:rFonts w:ascii="Times New Roman" w:cs="Times New Roman" w:eastAsia="Times New Roman" w:hAnsi="Times New Roman"/>
                <w:sz w:val="11"/>
                <w:szCs w:val="11"/>
                <w:color w:val="auto"/>
              </w:rPr>
              <w:t>December 31, 2025</w:t>
            </w:r>
          </w:p>
        </w:tc>
        <w:tc>
          <w:tcPr>
            <w:tcW w:w="1180" w:type="dxa"/>
            <w:vAlign w:val="bottom"/>
          </w:tcPr>
          <w:p>
            <w:pPr>
              <w:spacing w:after="0"/>
              <w:rPr>
                <w:sz w:val="11"/>
                <w:szCs w:val="11"/>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99"/>
        </w:trPr>
        <w:tc>
          <w:tcPr>
            <w:tcW w:w="738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Common stock, $0.001 par value; 250,000,000 shares authorized as of March 31, 2026 and December 31, 2025; 86,105,290 and 85,280,597 shares issued and</w:t>
            </w:r>
          </w:p>
        </w:tc>
        <w:tc>
          <w:tcPr>
            <w:tcW w:w="1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r>
      <w:tr>
        <w:trPr>
          <w:trHeight w:val="135"/>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outstanding as of March 31, 2026 and December 31, 2025, respectively</w:t>
            </w:r>
          </w:p>
        </w:tc>
        <w:tc>
          <w:tcPr>
            <w:tcW w:w="11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4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w:t>
            </w:r>
          </w:p>
        </w:tc>
      </w:tr>
      <w:tr>
        <w:trPr>
          <w:trHeight w:val="117"/>
        </w:trPr>
        <w:tc>
          <w:tcPr>
            <w:tcW w:w="738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Additional paid-in capital</w:t>
            </w:r>
          </w:p>
        </w:tc>
        <w:tc>
          <w:tcPr>
            <w:tcW w:w="118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1,401,447</w:t>
            </w: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1,388,737</w:t>
            </w:r>
          </w:p>
        </w:tc>
      </w:tr>
      <w:tr>
        <w:trPr>
          <w:trHeight w:val="117"/>
        </w:trPr>
        <w:tc>
          <w:tcPr>
            <w:tcW w:w="73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Accumulated other comprehensive loss</w:t>
            </w:r>
          </w:p>
        </w:tc>
        <w:tc>
          <w:tcPr>
            <w:tcW w:w="11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420"/>
              <w:spacing w:after="0" w:line="117" w:lineRule="exact"/>
              <w:rPr>
                <w:sz w:val="20"/>
                <w:szCs w:val="20"/>
                <w:color w:val="auto"/>
              </w:rPr>
            </w:pPr>
            <w:r>
              <w:rPr>
                <w:rFonts w:ascii="Times New Roman" w:cs="Times New Roman" w:eastAsia="Times New Roman" w:hAnsi="Times New Roman"/>
                <w:sz w:val="11"/>
                <w:szCs w:val="11"/>
                <w:color w:val="auto"/>
              </w:rPr>
              <w:t>(685)</w:t>
            </w:r>
          </w:p>
        </w:tc>
        <w:tc>
          <w:tcPr>
            <w:tcW w:w="320" w:type="dxa"/>
            <w:vAlign w:val="bottom"/>
            <w:shd w:val="clear" w:color="auto" w:fill="CCEEFF"/>
          </w:tcPr>
          <w:p>
            <w:pPr>
              <w:spacing w:after="0"/>
              <w:rPr>
                <w:sz w:val="10"/>
                <w:szCs w:val="10"/>
                <w:color w:val="auto"/>
              </w:rPr>
            </w:pPr>
          </w:p>
        </w:tc>
        <w:tc>
          <w:tcPr>
            <w:tcW w:w="14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(425)</w:t>
            </w:r>
          </w:p>
        </w:tc>
      </w:tr>
      <w:tr>
        <w:trPr>
          <w:trHeight w:val="117"/>
        </w:trPr>
        <w:tc>
          <w:tcPr>
            <w:tcW w:w="738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Accumulated deficit</w:t>
            </w:r>
          </w:p>
        </w:tc>
        <w:tc>
          <w:tcPr>
            <w:tcW w:w="1180" w:type="dxa"/>
            <w:vAlign w:val="bottom"/>
          </w:tcPr>
          <w:p>
            <w:pPr>
              <w:spacing w:after="0"/>
              <w:rPr>
                <w:sz w:val="10"/>
                <w:szCs w:val="10"/>
                <w:color w:val="auto"/>
              </w:rPr>
            </w:pPr>
          </w:p>
        </w:tc>
        <w:tc>
          <w:tcPr>
            <w:tcW w:w="980" w:type="dxa"/>
            <w:vAlign w:val="bottom"/>
            <w:gridSpan w:val="2"/>
          </w:tcPr>
          <w:p>
            <w:pPr>
              <w:jc w:val="right"/>
              <w:ind w:right="420"/>
              <w:spacing w:after="0" w:line="117" w:lineRule="exact"/>
              <w:rPr>
                <w:sz w:val="20"/>
                <w:szCs w:val="20"/>
                <w:color w:val="auto"/>
              </w:rPr>
            </w:pPr>
            <w:r>
              <w:rPr>
                <w:rFonts w:ascii="Times New Roman" w:cs="Times New Roman" w:eastAsia="Times New Roman" w:hAnsi="Times New Roman"/>
                <w:sz w:val="11"/>
                <w:szCs w:val="11"/>
                <w:color w:val="auto"/>
              </w:rPr>
              <w:t>(1,115,130)</w:t>
            </w:r>
          </w:p>
        </w:tc>
        <w:tc>
          <w:tcPr>
            <w:tcW w:w="320" w:type="dxa"/>
            <w:vAlign w:val="bottom"/>
          </w:tcPr>
          <w:p>
            <w:pPr>
              <w:spacing w:after="0"/>
              <w:rPr>
                <w:sz w:val="10"/>
                <w:szCs w:val="10"/>
                <w:color w:val="auto"/>
              </w:rPr>
            </w:pPr>
          </w:p>
        </w:tc>
        <w:tc>
          <w:tcPr>
            <w:tcW w:w="14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(1,087,750)</w:t>
            </w:r>
          </w:p>
        </w:tc>
      </w:tr>
      <w:tr>
        <w:trPr>
          <w:trHeight w:val="106"/>
        </w:trPr>
        <w:tc>
          <w:tcPr>
            <w:tcW w:w="7380" w:type="dxa"/>
            <w:vAlign w:val="bottom"/>
            <w:tcBorders>
              <w:top w:val="single" w:sz="8" w:color="CCEEFF"/>
            </w:tcBorders>
            <w:shd w:val="clear" w:color="auto" w:fill="CCEEFF"/>
          </w:tcPr>
          <w:p>
            <w:pPr>
              <w:ind w:left="200"/>
              <w:spacing w:after="0" w:line="106" w:lineRule="exact"/>
              <w:rPr>
                <w:sz w:val="20"/>
                <w:szCs w:val="20"/>
                <w:color w:val="auto"/>
              </w:rPr>
            </w:pPr>
            <w:r>
              <w:rPr>
                <w:rFonts w:ascii="Times New Roman" w:cs="Times New Roman" w:eastAsia="Times New Roman" w:hAnsi="Times New Roman"/>
                <w:sz w:val="11"/>
                <w:szCs w:val="11"/>
                <w:color w:val="auto"/>
              </w:rPr>
              <w:t>Total stockholders’ equity</w:t>
            </w:r>
          </w:p>
        </w:tc>
        <w:tc>
          <w:tcPr>
            <w:tcW w:w="1180" w:type="dxa"/>
            <w:vAlign w:val="bottom"/>
            <w:tcBorders>
              <w:top w:val="single" w:sz="8" w:color="auto"/>
              <w:bottom w:val="single" w:sz="8" w:color="auto"/>
            </w:tcBorders>
            <w:shd w:val="clear" w:color="auto" w:fill="CCEEFF"/>
          </w:tcPr>
          <w:p>
            <w:pPr>
              <w:spacing w:after="0"/>
              <w:rPr>
                <w:sz w:val="9"/>
                <w:szCs w:val="9"/>
                <w:color w:val="auto"/>
              </w:rPr>
            </w:pPr>
          </w:p>
        </w:tc>
        <w:tc>
          <w:tcPr>
            <w:tcW w:w="56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285,718</w:t>
            </w:r>
          </w:p>
        </w:tc>
        <w:tc>
          <w:tcPr>
            <w:tcW w:w="42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bottom w:val="single" w:sz="8" w:color="auto"/>
            </w:tcBorders>
            <w:shd w:val="clear" w:color="auto" w:fill="CCEEFF"/>
          </w:tcPr>
          <w:p>
            <w:pPr>
              <w:spacing w:after="0"/>
              <w:rPr>
                <w:sz w:val="9"/>
                <w:szCs w:val="9"/>
                <w:color w:val="auto"/>
              </w:rPr>
            </w:pPr>
          </w:p>
        </w:tc>
        <w:tc>
          <w:tcPr>
            <w:tcW w:w="144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300,647</w:t>
            </w:r>
          </w:p>
        </w:tc>
      </w:tr>
      <w:tr>
        <w:trPr>
          <w:trHeight w:val="113"/>
        </w:trPr>
        <w:tc>
          <w:tcPr>
            <w:tcW w:w="7380" w:type="dxa"/>
            <w:vAlign w:val="bottom"/>
          </w:tcPr>
          <w:p>
            <w:pPr>
              <w:ind w:left="360"/>
              <w:spacing w:after="0" w:line="106" w:lineRule="exact"/>
              <w:rPr>
                <w:sz w:val="20"/>
                <w:szCs w:val="20"/>
                <w:color w:val="auto"/>
              </w:rPr>
            </w:pPr>
            <w:r>
              <w:rPr>
                <w:rFonts w:ascii="Times New Roman" w:cs="Times New Roman" w:eastAsia="Times New Roman" w:hAnsi="Times New Roman"/>
                <w:sz w:val="11"/>
                <w:szCs w:val="11"/>
                <w:color w:val="auto"/>
              </w:rPr>
              <w:t>Total liabilities and stockholders’ equity</w:t>
            </w:r>
          </w:p>
        </w:tc>
        <w:tc>
          <w:tcPr>
            <w:tcW w:w="1180" w:type="dxa"/>
            <w:vAlign w:val="bottom"/>
            <w:tcBorders>
              <w:bottom w:val="single" w:sz="8" w:color="auto"/>
            </w:tcBorders>
          </w:tcPr>
          <w:p>
            <w:pPr>
              <w:jc w:val="right"/>
              <w:ind w:right="106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344,025</w:t>
            </w:r>
          </w:p>
        </w:tc>
        <w:tc>
          <w:tcPr>
            <w:tcW w:w="420" w:type="dxa"/>
            <w:vAlign w:val="bottom"/>
          </w:tcPr>
          <w:p>
            <w:pPr>
              <w:spacing w:after="0"/>
              <w:rPr>
                <w:sz w:val="9"/>
                <w:szCs w:val="9"/>
                <w:color w:val="auto"/>
              </w:rPr>
            </w:pPr>
          </w:p>
        </w:tc>
        <w:tc>
          <w:tcPr>
            <w:tcW w:w="320" w:type="dxa"/>
            <w:vAlign w:val="bottom"/>
            <w:tcBorders>
              <w:bottom w:val="single" w:sz="8" w:color="auto"/>
            </w:tcBorders>
          </w:tcPr>
          <w:p>
            <w:pPr>
              <w:jc w:val="right"/>
              <w:ind w:right="20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359,452</w:t>
            </w:r>
          </w:p>
        </w:tc>
      </w:tr>
    </w:tbl>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jc w:val="center"/>
        <w:spacing w:after="0" w:line="234" w:lineRule="auto"/>
        <w:rPr>
          <w:sz w:val="20"/>
          <w:szCs w:val="20"/>
          <w:color w:val="auto"/>
        </w:rPr>
      </w:pPr>
      <w:r>
        <w:rPr>
          <w:rFonts w:ascii="Times New Roman" w:cs="Times New Roman" w:eastAsia="Times New Roman" w:hAnsi="Times New Roman"/>
          <w:sz w:val="19"/>
          <w:szCs w:val="19"/>
          <w:b w:val="1"/>
          <w:bCs w:val="1"/>
          <w:color w:val="auto"/>
        </w:rPr>
        <w:t>Heartflow, Inc.</w:t>
      </w:r>
    </w:p>
    <w:p>
      <w:pPr>
        <w:jc w:val="center"/>
        <w:spacing w:after="0" w:line="220" w:lineRule="auto"/>
        <w:rPr>
          <w:sz w:val="20"/>
          <w:szCs w:val="20"/>
          <w:color w:val="auto"/>
        </w:rPr>
      </w:pPr>
      <w:r>
        <w:rPr>
          <w:rFonts w:ascii="Times New Roman" w:cs="Times New Roman" w:eastAsia="Times New Roman" w:hAnsi="Times New Roman"/>
          <w:sz w:val="14"/>
          <w:szCs w:val="14"/>
          <w:b w:val="1"/>
          <w:bCs w:val="1"/>
          <w:color w:val="auto"/>
        </w:rPr>
        <w:t>Condensed Consolidated Statements of Operations and Comprehensive Loss</w:t>
      </w:r>
    </w:p>
    <w:p>
      <w:pPr>
        <w:jc w:val="center"/>
        <w:spacing w:after="0" w:line="220" w:lineRule="auto"/>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gridSpan w:val="3"/>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84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jc w:val="right"/>
              <w:ind w:right="413"/>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0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7840" w:type="dxa"/>
            <w:vAlign w:val="bottom"/>
            <w:tcBorders>
              <w:bottom w:val="single" w:sz="8" w:color="CCEEFF"/>
            </w:tcBorders>
          </w:tcPr>
          <w:p>
            <w:pPr>
              <w:spacing w:after="0"/>
              <w:rPr>
                <w:sz w:val="9"/>
                <w:szCs w:val="9"/>
                <w:color w:val="auto"/>
              </w:rPr>
            </w:pPr>
          </w:p>
        </w:tc>
        <w:tc>
          <w:tcPr>
            <w:tcW w:w="940" w:type="dxa"/>
            <w:vAlign w:val="bottom"/>
            <w:tcBorders>
              <w:bottom w:val="single" w:sz="8" w:color="auto"/>
            </w:tcBorders>
          </w:tcPr>
          <w:p>
            <w:pPr>
              <w:jc w:val="right"/>
              <w:ind w:right="49"/>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580" w:type="dxa"/>
            <w:vAlign w:val="bottom"/>
            <w:tcBorders>
              <w:bottom w:val="single" w:sz="8" w:color="auto"/>
            </w:tcBorders>
          </w:tcPr>
          <w:p>
            <w:pPr>
              <w:spacing w:after="0"/>
              <w:rPr>
                <w:sz w:val="9"/>
                <w:szCs w:val="9"/>
                <w:color w:val="auto"/>
              </w:rPr>
            </w:pPr>
          </w:p>
        </w:tc>
        <w:tc>
          <w:tcPr>
            <w:tcW w:w="440" w:type="dxa"/>
            <w:vAlign w:val="bottom"/>
            <w:tcBorders>
              <w:bottom w:val="single" w:sz="8" w:color="CCEEFF"/>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jc w:val="right"/>
              <w:ind w:right="586"/>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84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Revenue</w:t>
            </w:r>
          </w:p>
        </w:tc>
        <w:tc>
          <w:tcPr>
            <w:tcW w:w="94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52,587</w:t>
            </w:r>
          </w:p>
        </w:tc>
        <w:tc>
          <w:tcPr>
            <w:tcW w:w="440" w:type="dxa"/>
            <w:vAlign w:val="bottom"/>
            <w:shd w:val="clear" w:color="auto" w:fill="CCEEFF"/>
          </w:tcPr>
          <w:p>
            <w:pPr>
              <w:spacing w:after="0"/>
              <w:rPr>
                <w:sz w:val="9"/>
                <w:szCs w:val="9"/>
                <w:color w:val="auto"/>
              </w:rPr>
            </w:pPr>
          </w:p>
        </w:tc>
        <w:tc>
          <w:tcPr>
            <w:tcW w:w="44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37,205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840" w:type="dxa"/>
            <w:vAlign w:val="bottom"/>
            <w:tcBorders>
              <w:bottom w:val="single" w:sz="8" w:color="CCEEFF"/>
            </w:tcBorders>
          </w:tcPr>
          <w:p>
            <w:pPr>
              <w:spacing w:after="0" w:line="117" w:lineRule="exact"/>
              <w:rPr>
                <w:sz w:val="20"/>
                <w:szCs w:val="20"/>
                <w:color w:val="auto"/>
              </w:rPr>
            </w:pPr>
            <w:r>
              <w:rPr>
                <w:rFonts w:ascii="Times New Roman" w:cs="Times New Roman" w:eastAsia="Times New Roman" w:hAnsi="Times New Roman"/>
                <w:sz w:val="11"/>
                <w:szCs w:val="11"/>
                <w:color w:val="auto"/>
              </w:rPr>
              <w:t>Cost of revenue</w:t>
            </w:r>
          </w:p>
        </w:tc>
        <w:tc>
          <w:tcPr>
            <w:tcW w:w="9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10,423</w:t>
            </w:r>
          </w:p>
        </w:tc>
        <w:tc>
          <w:tcPr>
            <w:tcW w:w="44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9,264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7840" w:type="dxa"/>
            <w:vAlign w:val="bottom"/>
            <w:shd w:val="clear" w:color="auto" w:fill="CCEEFF"/>
          </w:tcPr>
          <w:p>
            <w:pPr>
              <w:ind w:left="140"/>
              <w:spacing w:after="0" w:line="106" w:lineRule="exact"/>
              <w:rPr>
                <w:sz w:val="20"/>
                <w:szCs w:val="20"/>
                <w:color w:val="auto"/>
              </w:rPr>
            </w:pPr>
            <w:r>
              <w:rPr>
                <w:rFonts w:ascii="Times New Roman" w:cs="Times New Roman" w:eastAsia="Times New Roman" w:hAnsi="Times New Roman"/>
                <w:sz w:val="11"/>
                <w:szCs w:val="11"/>
                <w:color w:val="auto"/>
              </w:rPr>
              <w:t>Gross profit</w:t>
            </w:r>
          </w:p>
        </w:tc>
        <w:tc>
          <w:tcPr>
            <w:tcW w:w="94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42,164</w:t>
            </w:r>
          </w:p>
        </w:tc>
        <w:tc>
          <w:tcPr>
            <w:tcW w:w="4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6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27,941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8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Operating expenses:</w:t>
            </w:r>
          </w:p>
        </w:tc>
        <w:tc>
          <w:tcPr>
            <w:tcW w:w="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840" w:type="dxa"/>
            <w:vAlign w:val="bottom"/>
            <w:shd w:val="clear" w:color="auto" w:fill="CCEEFF"/>
          </w:tcPr>
          <w:p>
            <w:pPr>
              <w:ind w:left="60"/>
              <w:spacing w:after="0" w:line="117" w:lineRule="exact"/>
              <w:rPr>
                <w:sz w:val="20"/>
                <w:szCs w:val="20"/>
                <w:color w:val="auto"/>
              </w:rPr>
            </w:pPr>
            <w:r>
              <w:rPr>
                <w:rFonts w:ascii="Times New Roman" w:cs="Times New Roman" w:eastAsia="Times New Roman" w:hAnsi="Times New Roman"/>
                <w:sz w:val="11"/>
                <w:szCs w:val="11"/>
                <w:color w:val="auto"/>
              </w:rPr>
              <w:t>Research and development</w:t>
            </w:r>
          </w:p>
        </w:tc>
        <w:tc>
          <w:tcPr>
            <w:tcW w:w="9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21,620</w:t>
            </w:r>
          </w:p>
        </w:tc>
        <w:tc>
          <w:tcPr>
            <w:tcW w:w="4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13,924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840" w:type="dxa"/>
            <w:vAlign w:val="bottom"/>
          </w:tcPr>
          <w:p>
            <w:pPr>
              <w:ind w:left="60"/>
              <w:spacing w:after="0" w:line="117" w:lineRule="exact"/>
              <w:rPr>
                <w:sz w:val="20"/>
                <w:szCs w:val="20"/>
                <w:color w:val="auto"/>
              </w:rPr>
            </w:pPr>
            <w:r>
              <w:rPr>
                <w:rFonts w:ascii="Times New Roman" w:cs="Times New Roman" w:eastAsia="Times New Roman" w:hAnsi="Times New Roman"/>
                <w:sz w:val="11"/>
                <w:szCs w:val="11"/>
                <w:color w:val="auto"/>
              </w:rPr>
              <w:t>Selling, general and administrative</w:t>
            </w:r>
          </w:p>
        </w:tc>
        <w:tc>
          <w:tcPr>
            <w:tcW w:w="94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42,566</w:t>
            </w: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31,519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840" w:type="dxa"/>
            <w:vAlign w:val="bottom"/>
            <w:shd w:val="clear" w:color="auto" w:fill="CCEEFF"/>
          </w:tcPr>
          <w:p>
            <w:pPr>
              <w:ind w:left="60"/>
              <w:spacing w:after="0" w:line="117" w:lineRule="exact"/>
              <w:rPr>
                <w:sz w:val="20"/>
                <w:szCs w:val="20"/>
                <w:color w:val="auto"/>
              </w:rPr>
            </w:pPr>
            <w:r>
              <w:rPr>
                <w:rFonts w:ascii="Times New Roman" w:cs="Times New Roman" w:eastAsia="Times New Roman" w:hAnsi="Times New Roman"/>
                <w:sz w:val="11"/>
                <w:szCs w:val="11"/>
                <w:color w:val="auto"/>
              </w:rPr>
              <w:t>Asset impairment charge</w:t>
            </w:r>
          </w:p>
        </w:tc>
        <w:tc>
          <w:tcPr>
            <w:tcW w:w="94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7,482</w:t>
            </w:r>
          </w:p>
        </w:tc>
        <w:tc>
          <w:tcPr>
            <w:tcW w:w="440" w:type="dxa"/>
            <w:vAlign w:val="bottom"/>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7840" w:type="dxa"/>
            <w:vAlign w:val="bottom"/>
            <w:tcBorders>
              <w:bottom w:val="single" w:sz="8" w:color="CCEEFF"/>
            </w:tcBorders>
          </w:tcPr>
          <w:p>
            <w:pPr>
              <w:ind w:left="140"/>
              <w:spacing w:after="0" w:line="106" w:lineRule="exact"/>
              <w:rPr>
                <w:sz w:val="20"/>
                <w:szCs w:val="20"/>
                <w:color w:val="auto"/>
              </w:rPr>
            </w:pPr>
            <w:r>
              <w:rPr>
                <w:rFonts w:ascii="Times New Roman" w:cs="Times New Roman" w:eastAsia="Times New Roman" w:hAnsi="Times New Roman"/>
                <w:sz w:val="11"/>
                <w:szCs w:val="11"/>
                <w:color w:val="auto"/>
              </w:rPr>
              <w:t>Total operating expenses</w:t>
            </w:r>
          </w:p>
        </w:tc>
        <w:tc>
          <w:tcPr>
            <w:tcW w:w="9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71,668</w:t>
            </w:r>
          </w:p>
        </w:tc>
        <w:tc>
          <w:tcPr>
            <w:tcW w:w="440" w:type="dxa"/>
            <w:vAlign w:val="bottom"/>
            <w:tcBorders>
              <w:bottom w:val="single" w:sz="8" w:color="CCEEFF"/>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45,443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840" w:type="dxa"/>
            <w:vAlign w:val="bottom"/>
            <w:shd w:val="clear" w:color="auto" w:fill="CCEEFF"/>
          </w:tcPr>
          <w:p>
            <w:pPr>
              <w:ind w:left="200"/>
              <w:spacing w:after="0" w:line="106" w:lineRule="exact"/>
              <w:rPr>
                <w:sz w:val="20"/>
                <w:szCs w:val="20"/>
                <w:color w:val="auto"/>
              </w:rPr>
            </w:pPr>
            <w:r>
              <w:rPr>
                <w:rFonts w:ascii="Times New Roman" w:cs="Times New Roman" w:eastAsia="Times New Roman" w:hAnsi="Times New Roman"/>
                <w:sz w:val="11"/>
                <w:szCs w:val="11"/>
                <w:color w:val="auto"/>
              </w:rPr>
              <w:t>Loss from operations</w:t>
            </w:r>
          </w:p>
        </w:tc>
        <w:tc>
          <w:tcPr>
            <w:tcW w:w="94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(29,504)</w:t>
            </w:r>
          </w:p>
        </w:tc>
        <w:tc>
          <w:tcPr>
            <w:tcW w:w="4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6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(17,502)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8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Interest income</w:t>
            </w:r>
          </w:p>
        </w:tc>
        <w:tc>
          <w:tcPr>
            <w:tcW w:w="94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2,464</w:t>
            </w: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543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8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Interest expense</w:t>
            </w:r>
          </w:p>
        </w:tc>
        <w:tc>
          <w:tcPr>
            <w:tcW w:w="94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420"/>
              <w:spacing w:after="0" w:line="117" w:lineRule="exact"/>
              <w:rPr>
                <w:sz w:val="20"/>
                <w:szCs w:val="20"/>
                <w:color w:val="auto"/>
              </w:rPr>
            </w:pPr>
            <w:r>
              <w:rPr>
                <w:rFonts w:ascii="Times New Roman" w:cs="Times New Roman" w:eastAsia="Times New Roman" w:hAnsi="Times New Roman"/>
                <w:sz w:val="11"/>
                <w:szCs w:val="11"/>
                <w:color w:val="auto"/>
              </w:rPr>
              <w:t>(3)</w:t>
            </w:r>
          </w:p>
        </w:tc>
        <w:tc>
          <w:tcPr>
            <w:tcW w:w="44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(5,093)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8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Change in fair value of common stock warrant liability</w:t>
            </w:r>
          </w:p>
        </w:tc>
        <w:tc>
          <w:tcPr>
            <w:tcW w:w="940" w:type="dxa"/>
            <w:vAlign w:val="bottom"/>
          </w:tcPr>
          <w:p>
            <w:pPr>
              <w:spacing w:after="0"/>
              <w:rPr>
                <w:sz w:val="10"/>
                <w:szCs w:val="10"/>
                <w:color w:val="auto"/>
              </w:rPr>
            </w:pPr>
          </w:p>
        </w:tc>
        <w:tc>
          <w:tcPr>
            <w:tcW w:w="1020" w:type="dxa"/>
            <w:vAlign w:val="bottom"/>
            <w:gridSpan w:val="2"/>
          </w:tcPr>
          <w:p>
            <w:pPr>
              <w:jc w:val="right"/>
              <w:ind w:right="4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0"/>
                <w:szCs w:val="10"/>
                <w:color w:val="auto"/>
              </w:rPr>
            </w:pPr>
          </w:p>
        </w:tc>
        <w:tc>
          <w:tcPr>
            <w:tcW w:w="10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(1,606)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8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Change in fair value of derivative liability</w:t>
            </w:r>
          </w:p>
        </w:tc>
        <w:tc>
          <w:tcPr>
            <w:tcW w:w="94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4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(9,045)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8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Other income (expense), net</w:t>
            </w:r>
          </w:p>
        </w:tc>
        <w:tc>
          <w:tcPr>
            <w:tcW w:w="940" w:type="dxa"/>
            <w:vAlign w:val="bottom"/>
          </w:tcPr>
          <w:p>
            <w:pPr>
              <w:spacing w:after="0"/>
              <w:rPr>
                <w:sz w:val="10"/>
                <w:szCs w:val="10"/>
                <w:color w:val="auto"/>
              </w:rPr>
            </w:pPr>
          </w:p>
        </w:tc>
        <w:tc>
          <w:tcPr>
            <w:tcW w:w="1020" w:type="dxa"/>
            <w:vAlign w:val="bottom"/>
            <w:gridSpan w:val="2"/>
          </w:tcPr>
          <w:p>
            <w:pPr>
              <w:jc w:val="right"/>
              <w:ind w:right="420"/>
              <w:spacing w:after="0" w:line="117" w:lineRule="exact"/>
              <w:rPr>
                <w:sz w:val="20"/>
                <w:szCs w:val="20"/>
                <w:color w:val="auto"/>
              </w:rPr>
            </w:pPr>
            <w:r>
              <w:rPr>
                <w:rFonts w:ascii="Times New Roman" w:cs="Times New Roman" w:eastAsia="Times New Roman" w:hAnsi="Times New Roman"/>
                <w:sz w:val="11"/>
                <w:szCs w:val="11"/>
                <w:color w:val="auto"/>
              </w:rPr>
              <w:t>(314)</w:t>
            </w:r>
          </w:p>
        </w:tc>
        <w:tc>
          <w:tcPr>
            <w:tcW w:w="440" w:type="dxa"/>
            <w:vAlign w:val="bottom"/>
          </w:tcPr>
          <w:p>
            <w:pPr>
              <w:spacing w:after="0"/>
              <w:rPr>
                <w:sz w:val="10"/>
                <w:szCs w:val="10"/>
                <w:color w:val="auto"/>
              </w:rPr>
            </w:pPr>
          </w:p>
        </w:tc>
        <w:tc>
          <w:tcPr>
            <w:tcW w:w="10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358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7840" w:type="dxa"/>
            <w:vAlign w:val="bottom"/>
            <w:tcBorders>
              <w:top w:val="single" w:sz="8" w:color="CCEEFF"/>
            </w:tcBorders>
            <w:shd w:val="clear" w:color="auto" w:fill="CCEEFF"/>
          </w:tcPr>
          <w:p>
            <w:pPr>
              <w:ind w:left="140"/>
              <w:spacing w:after="0" w:line="106" w:lineRule="exact"/>
              <w:rPr>
                <w:sz w:val="20"/>
                <w:szCs w:val="20"/>
                <w:color w:val="auto"/>
              </w:rPr>
            </w:pPr>
            <w:r>
              <w:rPr>
                <w:rFonts w:ascii="Times New Roman" w:cs="Times New Roman" w:eastAsia="Times New Roman" w:hAnsi="Times New Roman"/>
                <w:sz w:val="11"/>
                <w:szCs w:val="11"/>
                <w:color w:val="auto"/>
              </w:rPr>
              <w:t>Loss before provision for income taxes</w:t>
            </w:r>
          </w:p>
        </w:tc>
        <w:tc>
          <w:tcPr>
            <w:tcW w:w="940" w:type="dxa"/>
            <w:vAlign w:val="bottom"/>
            <w:tcBorders>
              <w:top w:val="single" w:sz="8" w:color="auto"/>
              <w:bottom w:val="single" w:sz="8" w:color="auto"/>
            </w:tcBorders>
            <w:shd w:val="clear" w:color="auto" w:fill="CCEEFF"/>
          </w:tcPr>
          <w:p>
            <w:pPr>
              <w:spacing w:after="0"/>
              <w:rPr>
                <w:sz w:val="9"/>
                <w:szCs w:val="9"/>
                <w:color w:val="auto"/>
              </w:rPr>
            </w:pPr>
          </w:p>
        </w:tc>
        <w:tc>
          <w:tcPr>
            <w:tcW w:w="58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(27,357)</w:t>
            </w:r>
          </w:p>
        </w:tc>
        <w:tc>
          <w:tcPr>
            <w:tcW w:w="44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bottom w:val="single" w:sz="8" w:color="auto"/>
            </w:tcBorders>
            <w:shd w:val="clear" w:color="auto" w:fill="CCEEFF"/>
          </w:tcPr>
          <w:p>
            <w:pPr>
              <w:spacing w:after="0"/>
              <w:rPr>
                <w:sz w:val="9"/>
                <w:szCs w:val="9"/>
                <w:color w:val="auto"/>
              </w:rPr>
            </w:pPr>
          </w:p>
        </w:tc>
        <w:tc>
          <w:tcPr>
            <w:tcW w:w="106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(32,345)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840" w:type="dxa"/>
            <w:vAlign w:val="bottom"/>
            <w:tcBorders>
              <w:bottom w:val="single" w:sz="8" w:color="CCEEFF"/>
            </w:tcBorders>
          </w:tcPr>
          <w:p>
            <w:pPr>
              <w:spacing w:after="0" w:line="106" w:lineRule="exact"/>
              <w:rPr>
                <w:sz w:val="20"/>
                <w:szCs w:val="20"/>
                <w:color w:val="auto"/>
              </w:rPr>
            </w:pPr>
            <w:r>
              <w:rPr>
                <w:rFonts w:ascii="Times New Roman" w:cs="Times New Roman" w:eastAsia="Times New Roman" w:hAnsi="Times New Roman"/>
                <w:sz w:val="11"/>
                <w:szCs w:val="11"/>
                <w:color w:val="auto"/>
              </w:rPr>
              <w:t>Provision for income taxes</w:t>
            </w:r>
          </w:p>
        </w:tc>
        <w:tc>
          <w:tcPr>
            <w:tcW w:w="9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(23)</w:t>
            </w:r>
          </w:p>
        </w:tc>
        <w:tc>
          <w:tcPr>
            <w:tcW w:w="440" w:type="dxa"/>
            <w:vAlign w:val="bottom"/>
            <w:tcBorders>
              <w:bottom w:val="single" w:sz="8" w:color="CCEEFF"/>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7840" w:type="dxa"/>
            <w:vAlign w:val="bottom"/>
            <w:tcBorders>
              <w:bottom w:val="single" w:sz="8" w:color="CCEEFF"/>
            </w:tcBorders>
            <w:shd w:val="clear" w:color="auto" w:fill="CCEEFF"/>
          </w:tcPr>
          <w:p>
            <w:pPr>
              <w:ind w:left="140"/>
              <w:spacing w:after="0" w:line="106" w:lineRule="exact"/>
              <w:rPr>
                <w:sz w:val="20"/>
                <w:szCs w:val="20"/>
                <w:color w:val="auto"/>
              </w:rPr>
            </w:pPr>
            <w:r>
              <w:rPr>
                <w:rFonts w:ascii="Times New Roman" w:cs="Times New Roman" w:eastAsia="Times New Roman" w:hAnsi="Times New Roman"/>
                <w:sz w:val="11"/>
                <w:szCs w:val="11"/>
                <w:color w:val="auto"/>
              </w:rPr>
              <w:t>Net loss</w:t>
            </w:r>
          </w:p>
        </w:tc>
        <w:tc>
          <w:tcPr>
            <w:tcW w:w="94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(27,380)</w:t>
            </w:r>
          </w:p>
        </w:tc>
        <w:tc>
          <w:tcPr>
            <w:tcW w:w="44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(32,345)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7840" w:type="dxa"/>
            <w:vAlign w:val="bottom"/>
          </w:tcPr>
          <w:p>
            <w:pPr>
              <w:spacing w:after="0" w:line="104" w:lineRule="exact"/>
              <w:rPr>
                <w:sz w:val="20"/>
                <w:szCs w:val="20"/>
                <w:color w:val="auto"/>
              </w:rPr>
            </w:pPr>
            <w:r>
              <w:rPr>
                <w:rFonts w:ascii="Times New Roman" w:cs="Times New Roman" w:eastAsia="Times New Roman" w:hAnsi="Times New Roman"/>
                <w:sz w:val="11"/>
                <w:szCs w:val="11"/>
                <w:color w:val="auto"/>
              </w:rPr>
              <w:t>Comprehensive loss:</w:t>
            </w:r>
          </w:p>
        </w:tc>
        <w:tc>
          <w:tcPr>
            <w:tcW w:w="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8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Net loss</w:t>
            </w:r>
          </w:p>
        </w:tc>
        <w:tc>
          <w:tcPr>
            <w:tcW w:w="94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gridSpan w:val="2"/>
            <w:shd w:val="clear" w:color="auto" w:fill="CCEEFF"/>
          </w:tcPr>
          <w:p>
            <w:pPr>
              <w:jc w:val="right"/>
              <w:ind w:right="420"/>
              <w:spacing w:after="0" w:line="117" w:lineRule="exact"/>
              <w:rPr>
                <w:sz w:val="20"/>
                <w:szCs w:val="20"/>
                <w:color w:val="auto"/>
              </w:rPr>
            </w:pPr>
            <w:r>
              <w:rPr>
                <w:rFonts w:ascii="Times New Roman" w:cs="Times New Roman" w:eastAsia="Times New Roman" w:hAnsi="Times New Roman"/>
                <w:sz w:val="11"/>
                <w:szCs w:val="11"/>
                <w:color w:val="auto"/>
              </w:rPr>
              <w:t>(27,380)</w:t>
            </w:r>
          </w:p>
        </w:tc>
        <w:tc>
          <w:tcPr>
            <w:tcW w:w="44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(32,345)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8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Other comprehensive loss:</w:t>
            </w:r>
          </w:p>
        </w:tc>
        <w:tc>
          <w:tcPr>
            <w:tcW w:w="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840" w:type="dxa"/>
            <w:vAlign w:val="bottom"/>
            <w:shd w:val="clear" w:color="auto" w:fill="CCEEFF"/>
          </w:tcPr>
          <w:p>
            <w:pPr>
              <w:ind w:left="60"/>
              <w:spacing w:after="0" w:line="117" w:lineRule="exact"/>
              <w:rPr>
                <w:sz w:val="20"/>
                <w:szCs w:val="20"/>
                <w:color w:val="auto"/>
              </w:rPr>
            </w:pPr>
            <w:r>
              <w:rPr>
                <w:rFonts w:ascii="Times New Roman" w:cs="Times New Roman" w:eastAsia="Times New Roman" w:hAnsi="Times New Roman"/>
                <w:sz w:val="11"/>
                <w:szCs w:val="11"/>
                <w:color w:val="auto"/>
              </w:rPr>
              <w:t>Foreign currency translation gain (loss)</w:t>
            </w:r>
          </w:p>
        </w:tc>
        <w:tc>
          <w:tcPr>
            <w:tcW w:w="9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262</w:t>
            </w:r>
          </w:p>
        </w:tc>
        <w:tc>
          <w:tcPr>
            <w:tcW w:w="4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(236)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840" w:type="dxa"/>
            <w:vAlign w:val="bottom"/>
          </w:tcPr>
          <w:p>
            <w:pPr>
              <w:ind w:left="60"/>
              <w:spacing w:after="0" w:line="117" w:lineRule="exact"/>
              <w:rPr>
                <w:sz w:val="20"/>
                <w:szCs w:val="20"/>
                <w:color w:val="auto"/>
              </w:rPr>
            </w:pPr>
            <w:r>
              <w:rPr>
                <w:rFonts w:ascii="Times New Roman" w:cs="Times New Roman" w:eastAsia="Times New Roman" w:hAnsi="Times New Roman"/>
                <w:sz w:val="11"/>
                <w:szCs w:val="11"/>
                <w:color w:val="auto"/>
              </w:rPr>
              <w:t>Unrealized loss on investments, net</w:t>
            </w:r>
          </w:p>
        </w:tc>
        <w:tc>
          <w:tcPr>
            <w:tcW w:w="940" w:type="dxa"/>
            <w:vAlign w:val="bottom"/>
          </w:tcPr>
          <w:p>
            <w:pPr>
              <w:spacing w:after="0"/>
              <w:rPr>
                <w:sz w:val="10"/>
                <w:szCs w:val="10"/>
                <w:color w:val="auto"/>
              </w:rPr>
            </w:pPr>
          </w:p>
        </w:tc>
        <w:tc>
          <w:tcPr>
            <w:tcW w:w="1020" w:type="dxa"/>
            <w:vAlign w:val="bottom"/>
            <w:gridSpan w:val="2"/>
          </w:tcPr>
          <w:p>
            <w:pPr>
              <w:jc w:val="right"/>
              <w:ind w:right="420"/>
              <w:spacing w:after="0" w:line="117" w:lineRule="exact"/>
              <w:rPr>
                <w:sz w:val="20"/>
                <w:szCs w:val="20"/>
                <w:color w:val="auto"/>
              </w:rPr>
            </w:pPr>
            <w:r>
              <w:rPr>
                <w:rFonts w:ascii="Times New Roman" w:cs="Times New Roman" w:eastAsia="Times New Roman" w:hAnsi="Times New Roman"/>
                <w:sz w:val="11"/>
                <w:szCs w:val="11"/>
                <w:color w:val="auto"/>
              </w:rPr>
              <w:t>(522)</w:t>
            </w:r>
          </w:p>
        </w:tc>
        <w:tc>
          <w:tcPr>
            <w:tcW w:w="440" w:type="dxa"/>
            <w:vAlign w:val="bottom"/>
          </w:tcPr>
          <w:p>
            <w:pPr>
              <w:spacing w:after="0"/>
              <w:rPr>
                <w:sz w:val="10"/>
                <w:szCs w:val="10"/>
                <w:color w:val="auto"/>
              </w:rPr>
            </w:pPr>
          </w:p>
        </w:tc>
        <w:tc>
          <w:tcPr>
            <w:tcW w:w="10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840" w:type="dxa"/>
            <w:vAlign w:val="bottom"/>
            <w:tcBorders>
              <w:top w:val="single" w:sz="8" w:color="CCEEFF"/>
              <w:bottom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Total comprehensive loss</w:t>
            </w:r>
          </w:p>
        </w:tc>
        <w:tc>
          <w:tcPr>
            <w:tcW w:w="940" w:type="dxa"/>
            <w:vAlign w:val="bottom"/>
            <w:tcBorders>
              <w:top w:val="single" w:sz="8" w:color="auto"/>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(27,640)</w:t>
            </w:r>
          </w:p>
        </w:tc>
        <w:tc>
          <w:tcPr>
            <w:tcW w:w="440" w:type="dxa"/>
            <w:vAlign w:val="bottom"/>
            <w:tcBorders>
              <w:top w:val="single" w:sz="8" w:color="CCEEFF"/>
              <w:bottom w:val="single" w:sz="8" w:color="CCEEFF"/>
            </w:tcBorders>
            <w:shd w:val="clear" w:color="auto" w:fill="CCEEFF"/>
          </w:tcPr>
          <w:p>
            <w:pPr>
              <w:spacing w:after="0"/>
              <w:rPr>
                <w:sz w:val="9"/>
                <w:szCs w:val="9"/>
                <w:color w:val="auto"/>
              </w:rPr>
            </w:pPr>
          </w:p>
        </w:tc>
        <w:tc>
          <w:tcPr>
            <w:tcW w:w="440" w:type="dxa"/>
            <w:vAlign w:val="bottom"/>
            <w:tcBorders>
              <w:top w:val="single" w:sz="8" w:color="auto"/>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(32,581)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78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Net loss per share, basic and diluted</w:t>
            </w:r>
          </w:p>
        </w:tc>
        <w:tc>
          <w:tcPr>
            <w:tcW w:w="94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gridSpan w:val="2"/>
            <w:shd w:val="clear" w:color="auto" w:fill="CCEEFF"/>
          </w:tcPr>
          <w:p>
            <w:pPr>
              <w:jc w:val="right"/>
              <w:ind w:right="420"/>
              <w:spacing w:after="0" w:line="117" w:lineRule="exact"/>
              <w:rPr>
                <w:sz w:val="20"/>
                <w:szCs w:val="20"/>
                <w:color w:val="auto"/>
              </w:rPr>
            </w:pPr>
            <w:r>
              <w:rPr>
                <w:rFonts w:ascii="Times New Roman" w:cs="Times New Roman" w:eastAsia="Times New Roman" w:hAnsi="Times New Roman"/>
                <w:sz w:val="11"/>
                <w:szCs w:val="11"/>
                <w:color w:val="auto"/>
              </w:rPr>
              <w:t>(0.32)</w:t>
            </w:r>
          </w:p>
        </w:tc>
        <w:tc>
          <w:tcPr>
            <w:tcW w:w="44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(5.25)</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7840" w:type="dxa"/>
            <w:vAlign w:val="bottom"/>
            <w:tcBorders>
              <w:top w:val="single" w:sz="8" w:color="CCEEFF"/>
            </w:tcBorders>
          </w:tcPr>
          <w:p>
            <w:pPr>
              <w:spacing w:after="0" w:line="104" w:lineRule="exact"/>
              <w:rPr>
                <w:sz w:val="20"/>
                <w:szCs w:val="20"/>
                <w:color w:val="auto"/>
              </w:rPr>
            </w:pPr>
            <w:r>
              <w:rPr>
                <w:rFonts w:ascii="Times New Roman" w:cs="Times New Roman" w:eastAsia="Times New Roman" w:hAnsi="Times New Roman"/>
                <w:sz w:val="11"/>
                <w:szCs w:val="11"/>
                <w:color w:val="auto"/>
              </w:rPr>
              <w:t>Weighted-average shares used to compute net loss per share, basic and diluted</w:t>
            </w:r>
          </w:p>
        </w:tc>
        <w:tc>
          <w:tcPr>
            <w:tcW w:w="94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1"/>
                <w:szCs w:val="11"/>
                <w:color w:val="auto"/>
              </w:rPr>
              <w:t>85,639,675</w:t>
            </w:r>
          </w:p>
        </w:tc>
        <w:tc>
          <w:tcPr>
            <w:tcW w:w="440" w:type="dxa"/>
            <w:vAlign w:val="bottom"/>
            <w:tcBorders>
              <w:top w:val="single" w:sz="8" w:color="CCEEFF"/>
            </w:tcBorders>
          </w:tcPr>
          <w:p>
            <w:pPr>
              <w:spacing w:after="0"/>
              <w:rPr>
                <w:sz w:val="9"/>
                <w:szCs w:val="9"/>
                <w:color w:val="auto"/>
              </w:rPr>
            </w:pPr>
          </w:p>
        </w:tc>
        <w:tc>
          <w:tcPr>
            <w:tcW w:w="440" w:type="dxa"/>
            <w:vAlign w:val="bottom"/>
            <w:tcBorders>
              <w:top w:val="single" w:sz="8" w:color="auto"/>
              <w:bottom w:val="single" w:sz="8" w:color="auto"/>
            </w:tcBorders>
          </w:tcPr>
          <w:p>
            <w:pPr>
              <w:spacing w:after="0"/>
              <w:rPr>
                <w:sz w:val="9"/>
                <w:szCs w:val="9"/>
                <w:color w:val="auto"/>
              </w:rPr>
            </w:pPr>
          </w:p>
        </w:tc>
        <w:tc>
          <w:tcPr>
            <w:tcW w:w="1060" w:type="dxa"/>
            <w:vAlign w:val="bottom"/>
            <w:tcBorders>
              <w:top w:val="single" w:sz="8" w:color="auto"/>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1"/>
                <w:szCs w:val="11"/>
                <w:color w:val="auto"/>
              </w:rPr>
              <w:t>6,164,617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The accompanying notes are an integral part of these condensed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129540</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3"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Heartflow,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Redeemable Convertible Preferred Stock and Stockholders’ Equity (Deficit)</w:t>
      </w:r>
    </w:p>
    <w:p>
      <w:pPr>
        <w:jc w:val="center"/>
        <w:spacing w:after="0" w:line="234" w:lineRule="auto"/>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5"/>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80"/>
              <w:spacing w:after="0" w:line="117"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center"/>
              <w:ind w:right="306"/>
              <w:spacing w:after="0" w:line="117"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7"/>
        </w:trPr>
        <w:tc>
          <w:tcPr>
            <w:tcW w:w="3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7"/>
          </w:tcPr>
          <w:p>
            <w:pPr>
              <w:ind w:left="4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4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286"/>
              <w:spacing w:after="0"/>
              <w:rPr>
                <w:sz w:val="20"/>
                <w:szCs w:val="20"/>
                <w:color w:val="auto"/>
              </w:rPr>
            </w:pPr>
            <w:r>
              <w:rPr>
                <w:rFonts w:ascii="Times New Roman" w:cs="Times New Roman" w:eastAsia="Times New Roman" w:hAnsi="Times New Roman"/>
                <w:sz w:val="11"/>
                <w:szCs w:val="11"/>
                <w:b w:val="1"/>
                <w:bCs w:val="1"/>
                <w:color w:val="auto"/>
                <w:w w:val="96"/>
              </w:rPr>
              <w:t>Stockholders'</w:t>
            </w:r>
          </w:p>
        </w:tc>
        <w:tc>
          <w:tcPr>
            <w:tcW w:w="0" w:type="dxa"/>
            <w:vAlign w:val="bottom"/>
          </w:tcPr>
          <w:p>
            <w:pPr>
              <w:spacing w:after="0"/>
              <w:rPr>
                <w:sz w:val="1"/>
                <w:szCs w:val="1"/>
                <w:color w:val="auto"/>
              </w:rPr>
            </w:pPr>
          </w:p>
        </w:tc>
      </w:tr>
      <w:tr>
        <w:trPr>
          <w:trHeight w:val="106"/>
        </w:trPr>
        <w:tc>
          <w:tcPr>
            <w:tcW w:w="3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4"/>
          </w:tcPr>
          <w:p>
            <w:pPr>
              <w:ind w:left="60"/>
              <w:spacing w:after="0" w:line="106" w:lineRule="exact"/>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9"/>
                <w:szCs w:val="9"/>
                <w:color w:val="auto"/>
              </w:rPr>
            </w:pPr>
          </w:p>
        </w:tc>
        <w:tc>
          <w:tcPr>
            <w:tcW w:w="1000" w:type="dxa"/>
            <w:vAlign w:val="bottom"/>
            <w:gridSpan w:val="3"/>
          </w:tcPr>
          <w:p>
            <w:pPr>
              <w:jc w:val="right"/>
              <w:ind w:right="306"/>
              <w:spacing w:after="0" w:line="106" w:lineRule="exact"/>
              <w:rPr>
                <w:sz w:val="20"/>
                <w:szCs w:val="20"/>
                <w:color w:val="auto"/>
              </w:rPr>
            </w:pPr>
            <w:r>
              <w:rPr>
                <w:rFonts w:ascii="Times New Roman" w:cs="Times New Roman" w:eastAsia="Times New Roman" w:hAnsi="Times New Roman"/>
                <w:sz w:val="11"/>
                <w:szCs w:val="11"/>
                <w:b w:val="1"/>
                <w:bCs w:val="1"/>
                <w:color w:val="auto"/>
              </w:rPr>
              <w:t>Amount</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gridSpan w:val="3"/>
          </w:tcPr>
          <w:p>
            <w:pPr>
              <w:jc w:val="center"/>
              <w:ind w:right="380"/>
              <w:spacing w:after="0" w:line="106"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center"/>
              <w:ind w:right="280"/>
              <w:spacing w:after="0" w:line="106" w:lineRule="exact"/>
              <w:rPr>
                <w:sz w:val="20"/>
                <w:szCs w:val="20"/>
                <w:color w:val="auto"/>
              </w:rPr>
            </w:pPr>
            <w:r>
              <w:rPr>
                <w:rFonts w:ascii="Times New Roman" w:cs="Times New Roman" w:eastAsia="Times New Roman" w:hAnsi="Times New Roman"/>
                <w:sz w:val="11"/>
                <w:szCs w:val="11"/>
                <w:b w:val="1"/>
                <w:bCs w:val="1"/>
                <w:color w:val="auto"/>
                <w:w w:val="93"/>
              </w:rPr>
              <w:t>Loss</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gridSpan w:val="2"/>
          </w:tcPr>
          <w:p>
            <w:pPr>
              <w:jc w:val="right"/>
              <w:ind w:right="460"/>
              <w:spacing w:after="0" w:line="106" w:lineRule="exact"/>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jc w:val="center"/>
              <w:ind w:right="306"/>
              <w:spacing w:after="0" w:line="106"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06"/>
        </w:trPr>
        <w:tc>
          <w:tcPr>
            <w:tcW w:w="334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Balances as of December 31, 2025</w:t>
            </w:r>
          </w:p>
        </w:tc>
        <w:tc>
          <w:tcPr>
            <w:tcW w:w="70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85,280,597</w:t>
            </w:r>
          </w:p>
        </w:tc>
        <w:tc>
          <w:tcPr>
            <w:tcW w:w="80" w:type="dxa"/>
            <w:vAlign w:val="bottom"/>
            <w:tcBorders>
              <w:top w:val="single" w:sz="8" w:color="auto"/>
              <w:left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85</w:t>
            </w:r>
          </w:p>
        </w:tc>
        <w:tc>
          <w:tcPr>
            <w:tcW w:w="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ind w:right="6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1,388,737</w:t>
            </w: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(425)</w:t>
            </w: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5"/>
                <w:szCs w:val="5"/>
                <w:color w:val="auto"/>
                <w:w w:val="78"/>
              </w:rPr>
              <w:t>$</w:t>
            </w:r>
          </w:p>
        </w:tc>
        <w:tc>
          <w:tcPr>
            <w:tcW w:w="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(1,087,750)</w:t>
            </w: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1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300,647</w:t>
            </w:r>
          </w:p>
        </w:tc>
        <w:tc>
          <w:tcPr>
            <w:tcW w:w="0" w:type="dxa"/>
            <w:vAlign w:val="bottom"/>
          </w:tcPr>
          <w:p>
            <w:pPr>
              <w:spacing w:after="0"/>
              <w:rPr>
                <w:sz w:val="1"/>
                <w:szCs w:val="1"/>
                <w:color w:val="auto"/>
              </w:rPr>
            </w:pPr>
          </w:p>
        </w:tc>
      </w:tr>
      <w:tr>
        <w:trPr>
          <w:trHeight w:val="117"/>
        </w:trPr>
        <w:tc>
          <w:tcPr>
            <w:tcW w:w="33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592,387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jc w:val="center"/>
              <w:ind w:left="246"/>
              <w:spacing w:after="0" w:line="117" w:lineRule="exact"/>
              <w:rPr>
                <w:sz w:val="20"/>
                <w:szCs w:val="20"/>
                <w:color w:val="auto"/>
              </w:rPr>
            </w:pPr>
            <w:r>
              <w:rPr>
                <w:rFonts w:ascii="Times New Roman" w:cs="Times New Roman" w:eastAsia="Times New Roman" w:hAnsi="Times New Roman"/>
                <w:sz w:val="11"/>
                <w:szCs w:val="11"/>
                <w:color w:val="auto"/>
                <w:w w:val="71"/>
              </w:rPr>
              <w:t>1</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3,341</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3,342</w:t>
            </w:r>
          </w:p>
        </w:tc>
        <w:tc>
          <w:tcPr>
            <w:tcW w:w="0" w:type="dxa"/>
            <w:vAlign w:val="bottom"/>
          </w:tcPr>
          <w:p>
            <w:pPr>
              <w:spacing w:after="0"/>
              <w:rPr>
                <w:sz w:val="1"/>
                <w:szCs w:val="1"/>
                <w:color w:val="auto"/>
              </w:rPr>
            </w:pPr>
          </w:p>
        </w:tc>
      </w:tr>
      <w:tr>
        <w:trPr>
          <w:trHeight w:val="99"/>
        </w:trPr>
        <w:tc>
          <w:tcPr>
            <w:tcW w:w="4300" w:type="dxa"/>
            <w:vAlign w:val="bottom"/>
            <w:gridSpan w:val="4"/>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Issuance of common stock upon vesting of restricted stock units, net of shares withheld for</w:t>
            </w:r>
          </w:p>
        </w:tc>
        <w:tc>
          <w:tcPr>
            <w:tcW w:w="120" w:type="dxa"/>
            <w:vAlign w:val="bottom"/>
            <w:shd w:val="clear" w:color="auto" w:fill="CCEEFF"/>
          </w:tcPr>
          <w:p>
            <w:pPr>
              <w:spacing w:after="0"/>
              <w:rPr>
                <w:sz w:val="8"/>
                <w:szCs w:val="8"/>
                <w:color w:val="auto"/>
              </w:rPr>
            </w:pPr>
          </w:p>
        </w:tc>
        <w:tc>
          <w:tcPr>
            <w:tcW w:w="720" w:type="dxa"/>
            <w:vAlign w:val="bottom"/>
            <w:tcBorders>
              <w:right w:val="single" w:sz="8" w:color="CCEEFF"/>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taxes</w:t>
            </w: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28,740</w:t>
            </w:r>
          </w:p>
        </w:tc>
        <w:tc>
          <w:tcPr>
            <w:tcW w:w="80" w:type="dxa"/>
            <w:vAlign w:val="bottom"/>
            <w:tcBorders>
              <w:lef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center"/>
              <w:ind w:left="20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(473)</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(473)</w:t>
            </w:r>
          </w:p>
        </w:tc>
        <w:tc>
          <w:tcPr>
            <w:tcW w:w="0" w:type="dxa"/>
            <w:vAlign w:val="bottom"/>
          </w:tcPr>
          <w:p>
            <w:pPr>
              <w:spacing w:after="0"/>
              <w:rPr>
                <w:sz w:val="1"/>
                <w:szCs w:val="1"/>
                <w:color w:val="auto"/>
              </w:rPr>
            </w:pPr>
          </w:p>
        </w:tc>
      </w:tr>
      <w:tr>
        <w:trPr>
          <w:trHeight w:val="117"/>
        </w:trPr>
        <w:tc>
          <w:tcPr>
            <w:tcW w:w="33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Issuance of common stock under employee stock purchase plan</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203,566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gridSpan w:val="2"/>
          </w:tcPr>
          <w:p>
            <w:pPr>
              <w:jc w:val="center"/>
              <w:ind w:left="206"/>
              <w:spacing w:after="0" w:line="117"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3,288</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3,288</w:t>
            </w:r>
          </w:p>
        </w:tc>
        <w:tc>
          <w:tcPr>
            <w:tcW w:w="0" w:type="dxa"/>
            <w:vAlign w:val="bottom"/>
          </w:tcPr>
          <w:p>
            <w:pPr>
              <w:spacing w:after="0"/>
              <w:rPr>
                <w:sz w:val="1"/>
                <w:szCs w:val="1"/>
                <w:color w:val="auto"/>
              </w:rPr>
            </w:pPr>
          </w:p>
        </w:tc>
      </w:tr>
      <w:tr>
        <w:trPr>
          <w:trHeight w:val="117"/>
        </w:trPr>
        <w:tc>
          <w:tcPr>
            <w:tcW w:w="33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160" w:type="dxa"/>
            <w:vAlign w:val="bottom"/>
            <w:gridSpan w:val="3"/>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center"/>
              <w:ind w:left="206"/>
              <w:spacing w:after="0" w:line="117"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6,554</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6,554</w:t>
            </w:r>
          </w:p>
        </w:tc>
        <w:tc>
          <w:tcPr>
            <w:tcW w:w="0" w:type="dxa"/>
            <w:vAlign w:val="bottom"/>
          </w:tcPr>
          <w:p>
            <w:pPr>
              <w:spacing w:after="0"/>
              <w:rPr>
                <w:sz w:val="1"/>
                <w:szCs w:val="1"/>
                <w:color w:val="auto"/>
              </w:rPr>
            </w:pPr>
          </w:p>
        </w:tc>
      </w:tr>
      <w:tr>
        <w:trPr>
          <w:trHeight w:val="117"/>
        </w:trPr>
        <w:tc>
          <w:tcPr>
            <w:tcW w:w="33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Unrealized loss on investments, net</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gridSpan w:val="3"/>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gridSpan w:val="2"/>
          </w:tcPr>
          <w:p>
            <w:pPr>
              <w:jc w:val="center"/>
              <w:ind w:left="206"/>
              <w:spacing w:after="0" w:line="117"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(522)</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(522)</w:t>
            </w:r>
          </w:p>
        </w:tc>
        <w:tc>
          <w:tcPr>
            <w:tcW w:w="0" w:type="dxa"/>
            <w:vAlign w:val="bottom"/>
          </w:tcPr>
          <w:p>
            <w:pPr>
              <w:spacing w:after="0"/>
              <w:rPr>
                <w:sz w:val="1"/>
                <w:szCs w:val="1"/>
                <w:color w:val="auto"/>
              </w:rPr>
            </w:pPr>
          </w:p>
        </w:tc>
      </w:tr>
      <w:tr>
        <w:trPr>
          <w:trHeight w:val="117"/>
        </w:trPr>
        <w:tc>
          <w:tcPr>
            <w:tcW w:w="33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Foreign currency translation gain</w:t>
            </w: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160" w:type="dxa"/>
            <w:vAlign w:val="bottom"/>
            <w:gridSpan w:val="3"/>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center"/>
              <w:ind w:left="206"/>
              <w:spacing w:after="0" w:line="117"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262</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262</w:t>
            </w:r>
          </w:p>
        </w:tc>
        <w:tc>
          <w:tcPr>
            <w:tcW w:w="0" w:type="dxa"/>
            <w:vAlign w:val="bottom"/>
          </w:tcPr>
          <w:p>
            <w:pPr>
              <w:spacing w:after="0"/>
              <w:rPr>
                <w:sz w:val="1"/>
                <w:szCs w:val="1"/>
                <w:color w:val="auto"/>
              </w:rPr>
            </w:pPr>
          </w:p>
        </w:tc>
      </w:tr>
      <w:tr>
        <w:trPr>
          <w:trHeight w:val="117"/>
        </w:trPr>
        <w:tc>
          <w:tcPr>
            <w:tcW w:w="33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Net loss</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gridSpan w:val="3"/>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gridSpan w:val="2"/>
          </w:tcPr>
          <w:p>
            <w:pPr>
              <w:jc w:val="center"/>
              <w:ind w:left="206"/>
              <w:spacing w:after="0" w:line="117"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(27,380)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(27,380)</w:t>
            </w:r>
          </w:p>
        </w:tc>
        <w:tc>
          <w:tcPr>
            <w:tcW w:w="0" w:type="dxa"/>
            <w:vAlign w:val="bottom"/>
          </w:tcPr>
          <w:p>
            <w:pPr>
              <w:spacing w:after="0"/>
              <w:rPr>
                <w:sz w:val="1"/>
                <w:szCs w:val="1"/>
                <w:color w:val="auto"/>
              </w:rPr>
            </w:pPr>
          </w:p>
        </w:tc>
      </w:tr>
      <w:tr>
        <w:trPr>
          <w:trHeight w:val="113"/>
        </w:trPr>
        <w:tc>
          <w:tcPr>
            <w:tcW w:w="3340" w:type="dxa"/>
            <w:vAlign w:val="bottom"/>
            <w:tcBorders>
              <w:top w:val="single" w:sz="8" w:color="CCEEFF"/>
              <w:bottom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Balances as of March 31, 2026</w:t>
            </w:r>
          </w:p>
        </w:tc>
        <w:tc>
          <w:tcPr>
            <w:tcW w:w="700" w:type="dxa"/>
            <w:vAlign w:val="bottom"/>
            <w:tcBorders>
              <w:top w:val="single" w:sz="8" w:color="CCEEFF"/>
              <w:bottom w:val="single" w:sz="8" w:color="CCEEFF"/>
            </w:tcBorders>
            <w:shd w:val="clear" w:color="auto" w:fill="CCEEFF"/>
          </w:tcPr>
          <w:p>
            <w:pPr>
              <w:spacing w:after="0"/>
              <w:rPr>
                <w:sz w:val="9"/>
                <w:szCs w:val="9"/>
                <w:color w:val="auto"/>
              </w:rPr>
            </w:pPr>
          </w:p>
        </w:tc>
        <w:tc>
          <w:tcPr>
            <w:tcW w:w="240" w:type="dxa"/>
            <w:vAlign w:val="bottom"/>
            <w:tcBorders>
              <w:top w:val="single" w:sz="8" w:color="auto"/>
              <w:bottom w:val="single" w:sz="8" w:color="auto"/>
            </w:tcBorders>
            <w:shd w:val="clear" w:color="auto" w:fill="CCEEFF"/>
          </w:tcPr>
          <w:p>
            <w:pPr>
              <w:spacing w:after="0"/>
              <w:rPr>
                <w:sz w:val="9"/>
                <w:szCs w:val="9"/>
                <w:color w:val="auto"/>
              </w:rPr>
            </w:pPr>
          </w:p>
        </w:tc>
        <w:tc>
          <w:tcPr>
            <w:tcW w:w="20" w:type="dxa"/>
            <w:vAlign w:val="bottom"/>
            <w:tcBorders>
              <w:top w:val="single" w:sz="8" w:color="auto"/>
              <w:bottom w:val="single" w:sz="8" w:color="auto"/>
            </w:tcBorders>
            <w:shd w:val="clear" w:color="auto" w:fill="CCEEFF"/>
          </w:tcPr>
          <w:p>
            <w:pPr>
              <w:spacing w:after="0"/>
              <w:rPr>
                <w:sz w:val="9"/>
                <w:szCs w:val="9"/>
                <w:color w:val="auto"/>
              </w:rPr>
            </w:pPr>
          </w:p>
        </w:tc>
        <w:tc>
          <w:tcPr>
            <w:tcW w:w="120" w:type="dxa"/>
            <w:vAlign w:val="bottom"/>
            <w:tcBorders>
              <w:top w:val="single" w:sz="8" w:color="auto"/>
              <w:bottom w:val="single" w:sz="8" w:color="auto"/>
            </w:tcBorders>
            <w:shd w:val="clear" w:color="auto" w:fill="CCEEFF"/>
          </w:tcPr>
          <w:p>
            <w:pPr>
              <w:spacing w:after="0"/>
              <w:rPr>
                <w:sz w:val="9"/>
                <w:szCs w:val="9"/>
                <w:color w:val="auto"/>
              </w:rPr>
            </w:pPr>
          </w:p>
        </w:tc>
        <w:tc>
          <w:tcPr>
            <w:tcW w:w="740" w:type="dxa"/>
            <w:vAlign w:val="bottom"/>
            <w:tcBorders>
              <w:top w:val="single" w:sz="8" w:color="auto"/>
              <w:bottom w:val="single" w:sz="8" w:color="auto"/>
            </w:tcBorders>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86,105,290</w:t>
            </w:r>
          </w:p>
        </w:tc>
        <w:tc>
          <w:tcPr>
            <w:tcW w:w="80" w:type="dxa"/>
            <w:vAlign w:val="bottom"/>
            <w:tcBorders>
              <w:top w:val="single" w:sz="8" w:color="auto"/>
              <w:left w:val="single" w:sz="8" w:color="CCEEFF"/>
              <w:bottom w:val="single" w:sz="8" w:color="auto"/>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top w:val="single" w:sz="8" w:color="auto"/>
              <w:bottom w:val="single" w:sz="8" w:color="auto"/>
            </w:tcBorders>
            <w:shd w:val="clear" w:color="auto" w:fill="CCEEFF"/>
          </w:tcPr>
          <w:p>
            <w:pPr>
              <w:spacing w:after="0"/>
              <w:rPr>
                <w:sz w:val="9"/>
                <w:szCs w:val="9"/>
                <w:color w:val="auto"/>
              </w:rPr>
            </w:pPr>
          </w:p>
        </w:tc>
        <w:tc>
          <w:tcPr>
            <w:tcW w:w="20" w:type="dxa"/>
            <w:vAlign w:val="bottom"/>
            <w:tcBorders>
              <w:top w:val="single" w:sz="8" w:color="auto"/>
              <w:bottom w:val="single" w:sz="8" w:color="auto"/>
            </w:tcBorders>
            <w:shd w:val="clear" w:color="auto" w:fill="CCEEFF"/>
          </w:tcPr>
          <w:p>
            <w:pPr>
              <w:spacing w:after="0"/>
              <w:rPr>
                <w:sz w:val="9"/>
                <w:szCs w:val="9"/>
                <w:color w:val="auto"/>
              </w:rPr>
            </w:pPr>
          </w:p>
        </w:tc>
        <w:tc>
          <w:tcPr>
            <w:tcW w:w="42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86</w:t>
            </w: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180" w:type="dxa"/>
            <w:vAlign w:val="bottom"/>
            <w:tcBorders>
              <w:top w:val="single" w:sz="8" w:color="auto"/>
              <w:bottom w:val="single" w:sz="8" w:color="auto"/>
            </w:tcBorders>
            <w:shd w:val="clear" w:color="auto" w:fill="CCEEFF"/>
          </w:tcPr>
          <w:p>
            <w:pPr>
              <w:jc w:val="right"/>
              <w:ind w:right="6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bottom w:val="single" w:sz="8" w:color="auto"/>
            </w:tcBorders>
            <w:shd w:val="clear" w:color="auto" w:fill="CCEEFF"/>
          </w:tcPr>
          <w:p>
            <w:pPr>
              <w:spacing w:after="0"/>
              <w:rPr>
                <w:sz w:val="9"/>
                <w:szCs w:val="9"/>
                <w:color w:val="auto"/>
              </w:rPr>
            </w:pPr>
          </w:p>
        </w:tc>
        <w:tc>
          <w:tcPr>
            <w:tcW w:w="20" w:type="dxa"/>
            <w:vAlign w:val="bottom"/>
            <w:tcBorders>
              <w:top w:val="single" w:sz="8" w:color="auto"/>
              <w:bottom w:val="single" w:sz="8" w:color="auto"/>
            </w:tcBorders>
            <w:shd w:val="clear" w:color="auto" w:fill="CCEEFF"/>
          </w:tcPr>
          <w:p>
            <w:pPr>
              <w:spacing w:after="0"/>
              <w:rPr>
                <w:sz w:val="9"/>
                <w:szCs w:val="9"/>
                <w:color w:val="auto"/>
              </w:rPr>
            </w:pPr>
          </w:p>
        </w:tc>
        <w:tc>
          <w:tcPr>
            <w:tcW w:w="120" w:type="dxa"/>
            <w:vAlign w:val="bottom"/>
            <w:tcBorders>
              <w:top w:val="single" w:sz="8" w:color="auto"/>
              <w:bottom w:val="single" w:sz="8" w:color="auto"/>
            </w:tcBorders>
            <w:shd w:val="clear" w:color="auto" w:fill="CCEEFF"/>
          </w:tcPr>
          <w:p>
            <w:pPr>
              <w:spacing w:after="0"/>
              <w:rPr>
                <w:sz w:val="9"/>
                <w:szCs w:val="9"/>
                <w:color w:val="auto"/>
              </w:rPr>
            </w:pPr>
          </w:p>
        </w:tc>
        <w:tc>
          <w:tcPr>
            <w:tcW w:w="62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1,401,447</w:t>
            </w: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top w:val="single" w:sz="8" w:color="auto"/>
              <w:bottom w:val="single" w:sz="8" w:color="auto"/>
            </w:tcBorders>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spacing w:after="0"/>
              <w:rPr>
                <w:sz w:val="9"/>
                <w:szCs w:val="9"/>
                <w:color w:val="auto"/>
              </w:rPr>
            </w:pPr>
          </w:p>
        </w:tc>
        <w:tc>
          <w:tcPr>
            <w:tcW w:w="98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(685)</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1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5"/>
                <w:szCs w:val="5"/>
                <w:color w:val="auto"/>
                <w:w w:val="78"/>
              </w:rPr>
              <w:t>$</w:t>
            </w:r>
          </w:p>
        </w:tc>
        <w:tc>
          <w:tcPr>
            <w:tcW w:w="20" w:type="dxa"/>
            <w:vAlign w:val="bottom"/>
            <w:tcBorders>
              <w:top w:val="single" w:sz="8" w:color="auto"/>
              <w:bottom w:val="single" w:sz="8" w:color="auto"/>
            </w:tcBorders>
            <w:shd w:val="clear" w:color="auto" w:fill="CCEEFF"/>
          </w:tcPr>
          <w:p>
            <w:pPr>
              <w:spacing w:after="0"/>
              <w:rPr>
                <w:sz w:val="9"/>
                <w:szCs w:val="9"/>
                <w:color w:val="auto"/>
              </w:rPr>
            </w:pPr>
          </w:p>
        </w:tc>
        <w:tc>
          <w:tcPr>
            <w:tcW w:w="40" w:type="dxa"/>
            <w:vAlign w:val="bottom"/>
            <w:tcBorders>
              <w:top w:val="single" w:sz="8" w:color="auto"/>
              <w:bottom w:val="single" w:sz="8" w:color="auto"/>
            </w:tcBorders>
            <w:shd w:val="clear" w:color="auto" w:fill="CCEEFF"/>
          </w:tcPr>
          <w:p>
            <w:pPr>
              <w:spacing w:after="0"/>
              <w:rPr>
                <w:sz w:val="9"/>
                <w:szCs w:val="9"/>
                <w:color w:val="auto"/>
              </w:rPr>
            </w:pPr>
          </w:p>
        </w:tc>
        <w:tc>
          <w:tcPr>
            <w:tcW w:w="86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(1,115,130)</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140" w:type="dxa"/>
            <w:vAlign w:val="bottom"/>
            <w:tcBorders>
              <w:top w:val="single" w:sz="8" w:color="auto"/>
              <w:bottom w:val="single" w:sz="8" w:color="auto"/>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spacing w:after="0"/>
              <w:rPr>
                <w:sz w:val="9"/>
                <w:szCs w:val="9"/>
                <w:color w:val="auto"/>
              </w:rPr>
            </w:pPr>
          </w:p>
        </w:tc>
        <w:tc>
          <w:tcPr>
            <w:tcW w:w="100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285,718</w:t>
            </w:r>
          </w:p>
        </w:tc>
        <w:tc>
          <w:tcPr>
            <w:tcW w:w="0" w:type="dxa"/>
            <w:vAlign w:val="bottom"/>
          </w:tcPr>
          <w:p>
            <w:pPr>
              <w:spacing w:after="0"/>
              <w:rPr>
                <w:sz w:val="1"/>
                <w:szCs w:val="1"/>
                <w:color w:val="auto"/>
              </w:rPr>
            </w:pPr>
          </w:p>
        </w:tc>
      </w:tr>
      <w:tr>
        <w:trPr>
          <w:trHeight w:val="180"/>
        </w:trPr>
        <w:tc>
          <w:tcPr>
            <w:tcW w:w="3340" w:type="dxa"/>
            <w:vAlign w:val="bottom"/>
          </w:tcPr>
          <w:p>
            <w:pPr>
              <w:spacing w:after="0"/>
              <w:rPr>
                <w:sz w:val="15"/>
                <w:szCs w:val="15"/>
                <w:color w:val="auto"/>
              </w:rPr>
            </w:pPr>
          </w:p>
        </w:tc>
        <w:tc>
          <w:tcPr>
            <w:tcW w:w="1800" w:type="dxa"/>
            <w:vAlign w:val="bottom"/>
            <w:gridSpan w:val="5"/>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Redeemable Convertible</w:t>
            </w:r>
          </w:p>
        </w:tc>
        <w:tc>
          <w:tcPr>
            <w:tcW w:w="20" w:type="dxa"/>
            <w:vAlign w:val="bottom"/>
          </w:tcPr>
          <w:p>
            <w:pPr>
              <w:spacing w:after="0"/>
              <w:rPr>
                <w:sz w:val="15"/>
                <w:szCs w:val="15"/>
                <w:color w:val="auto"/>
              </w:rPr>
            </w:pPr>
          </w:p>
        </w:tc>
        <w:tc>
          <w:tcPr>
            <w:tcW w:w="140" w:type="dxa"/>
            <w:vAlign w:val="bottom"/>
            <w:gridSpan w:val="2"/>
            <w:vMerge w:val="restart"/>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restart"/>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6"/>
              </w:rPr>
              <w:t>Accumulated Other</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97"/>
        </w:trPr>
        <w:tc>
          <w:tcPr>
            <w:tcW w:w="3340" w:type="dxa"/>
            <w:vAlign w:val="bottom"/>
          </w:tcPr>
          <w:p>
            <w:pPr>
              <w:spacing w:after="0"/>
              <w:rPr>
                <w:sz w:val="8"/>
                <w:szCs w:val="8"/>
                <w:color w:val="auto"/>
              </w:rPr>
            </w:pPr>
          </w:p>
        </w:tc>
        <w:tc>
          <w:tcPr>
            <w:tcW w:w="1800" w:type="dxa"/>
            <w:vAlign w:val="bottom"/>
            <w:gridSpan w:val="5"/>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340" w:type="dxa"/>
            <w:vAlign w:val="bottom"/>
          </w:tcPr>
          <w:p>
            <w:pPr>
              <w:spacing w:after="0"/>
              <w:rPr>
                <w:sz w:val="11"/>
                <w:szCs w:val="11"/>
                <w:color w:val="auto"/>
              </w:rPr>
            </w:pPr>
          </w:p>
        </w:tc>
        <w:tc>
          <w:tcPr>
            <w:tcW w:w="1800" w:type="dxa"/>
            <w:vAlign w:val="bottom"/>
            <w:gridSpan w:val="5"/>
          </w:tcPr>
          <w:p>
            <w:pPr>
              <w:ind w:left="50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20" w:type="dxa"/>
            <w:vAlign w:val="bottom"/>
            <w:shd w:val="clear" w:color="auto" w:fill="000000"/>
          </w:tcPr>
          <w:p>
            <w:pPr>
              <w:spacing w:after="0"/>
              <w:rPr>
                <w:sz w:val="11"/>
                <w:szCs w:val="11"/>
                <w:color w:val="auto"/>
              </w:rPr>
            </w:pPr>
          </w:p>
        </w:tc>
        <w:tc>
          <w:tcPr>
            <w:tcW w:w="14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Paid-in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5"/>
              </w:rPr>
              <w:t>Comprehensive</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9"/>
              </w:rPr>
              <w:t>Stockholders'</w:t>
            </w:r>
          </w:p>
        </w:tc>
        <w:tc>
          <w:tcPr>
            <w:tcW w:w="0" w:type="dxa"/>
            <w:vAlign w:val="bottom"/>
          </w:tcPr>
          <w:p>
            <w:pPr>
              <w:spacing w:after="0"/>
              <w:rPr>
                <w:sz w:val="1"/>
                <w:szCs w:val="1"/>
                <w:color w:val="auto"/>
              </w:rPr>
            </w:pPr>
          </w:p>
        </w:tc>
      </w:tr>
      <w:tr>
        <w:trPr>
          <w:trHeight w:val="106"/>
        </w:trPr>
        <w:tc>
          <w:tcPr>
            <w:tcW w:w="3340" w:type="dxa"/>
            <w:vAlign w:val="bottom"/>
          </w:tcPr>
          <w:p>
            <w:pPr>
              <w:spacing w:after="0"/>
              <w:rPr>
                <w:sz w:val="9"/>
                <w:szCs w:val="9"/>
                <w:color w:val="auto"/>
              </w:rPr>
            </w:pPr>
          </w:p>
        </w:tc>
        <w:tc>
          <w:tcPr>
            <w:tcW w:w="960" w:type="dxa"/>
            <w:vAlign w:val="bottom"/>
            <w:tcBorders>
              <w:top w:val="single" w:sz="8" w:color="auto"/>
            </w:tcBorders>
            <w:gridSpan w:val="3"/>
          </w:tcPr>
          <w:p>
            <w:pPr>
              <w:ind w:left="300"/>
              <w:spacing w:after="0" w:line="106" w:lineRule="exact"/>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ind w:left="80"/>
              <w:spacing w:after="0" w:line="106" w:lineRule="exact"/>
              <w:rPr>
                <w:sz w:val="20"/>
                <w:szCs w:val="20"/>
                <w:color w:val="auto"/>
              </w:rPr>
            </w:pPr>
            <w:r>
              <w:rPr>
                <w:rFonts w:ascii="Times New Roman" w:cs="Times New Roman" w:eastAsia="Times New Roman" w:hAnsi="Times New Roman"/>
                <w:sz w:val="11"/>
                <w:szCs w:val="11"/>
                <w:b w:val="1"/>
                <w:bCs w:val="1"/>
                <w:color w:val="auto"/>
              </w:rPr>
              <w:t>Amount</w:t>
            </w:r>
          </w:p>
        </w:tc>
        <w:tc>
          <w:tcPr>
            <w:tcW w:w="20" w:type="dxa"/>
            <w:vAlign w:val="bottom"/>
            <w:tcBorders>
              <w:top w:val="single" w:sz="8" w:color="auto"/>
            </w:tcBorders>
            <w:shd w:val="clear" w:color="auto" w:fill="000000"/>
          </w:tcPr>
          <w:p>
            <w:pPr>
              <w:spacing w:after="0"/>
              <w:rPr>
                <w:sz w:val="9"/>
                <w:szCs w:val="9"/>
                <w:color w:val="auto"/>
              </w:rPr>
            </w:pPr>
          </w:p>
        </w:tc>
        <w:tc>
          <w:tcPr>
            <w:tcW w:w="140" w:type="dxa"/>
            <w:vAlign w:val="bottom"/>
            <w:tcBorders>
              <w:top w:val="single" w:sz="8" w:color="auto"/>
            </w:tcBorders>
            <w:gridSpan w:val="2"/>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gridSpan w:val="2"/>
          </w:tcPr>
          <w:p>
            <w:pPr>
              <w:jc w:val="right"/>
              <w:ind w:right="220"/>
              <w:spacing w:after="0" w:line="106" w:lineRule="exact"/>
              <w:rPr>
                <w:sz w:val="20"/>
                <w:szCs w:val="20"/>
                <w:color w:val="auto"/>
              </w:rPr>
            </w:pPr>
            <w:r>
              <w:rPr>
                <w:rFonts w:ascii="Times New Roman" w:cs="Times New Roman" w:eastAsia="Times New Roman" w:hAnsi="Times New Roman"/>
                <w:sz w:val="11"/>
                <w:szCs w:val="11"/>
                <w:b w:val="1"/>
                <w:bCs w:val="1"/>
                <w:color w:val="auto"/>
              </w:rPr>
              <w:t>Shares</w:t>
            </w:r>
          </w:p>
        </w:tc>
        <w:tc>
          <w:tcPr>
            <w:tcW w:w="640" w:type="dxa"/>
            <w:vAlign w:val="bottom"/>
            <w:tcBorders>
              <w:top w:val="single" w:sz="8" w:color="auto"/>
            </w:tcBorders>
            <w:gridSpan w:val="3"/>
          </w:tcPr>
          <w:p>
            <w:pPr>
              <w:jc w:val="right"/>
              <w:ind w:right="6"/>
              <w:spacing w:after="0" w:line="106" w:lineRule="exact"/>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Capital</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center"/>
              <w:ind w:left="6"/>
              <w:spacing w:after="0" w:line="106" w:lineRule="exact"/>
              <w:rPr>
                <w:sz w:val="20"/>
                <w:szCs w:val="20"/>
                <w:color w:val="auto"/>
              </w:rPr>
            </w:pPr>
            <w:r>
              <w:rPr>
                <w:rFonts w:ascii="Times New Roman" w:cs="Times New Roman" w:eastAsia="Times New Roman" w:hAnsi="Times New Roman"/>
                <w:sz w:val="11"/>
                <w:szCs w:val="11"/>
                <w:b w:val="1"/>
                <w:bCs w:val="1"/>
                <w:color w:val="auto"/>
              </w:rPr>
              <w:t>Loss</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gridSpan w:val="2"/>
          </w:tcPr>
          <w:p>
            <w:pPr>
              <w:jc w:val="right"/>
              <w:ind w:right="280"/>
              <w:spacing w:after="0" w:line="106" w:lineRule="exact"/>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jc w:val="center"/>
              <w:ind w:right="46"/>
              <w:spacing w:after="0" w:line="106" w:lineRule="exact"/>
              <w:rPr>
                <w:sz w:val="20"/>
                <w:szCs w:val="20"/>
                <w:color w:val="auto"/>
              </w:rPr>
            </w:pPr>
            <w:r>
              <w:rPr>
                <w:rFonts w:ascii="Times New Roman" w:cs="Times New Roman" w:eastAsia="Times New Roman" w:hAnsi="Times New Roman"/>
                <w:sz w:val="11"/>
                <w:szCs w:val="11"/>
                <w:b w:val="1"/>
                <w:bCs w:val="1"/>
                <w:color w:val="auto"/>
                <w:w w:val="96"/>
              </w:rPr>
              <w:t>Deficit</w:t>
            </w:r>
          </w:p>
        </w:tc>
        <w:tc>
          <w:tcPr>
            <w:tcW w:w="0" w:type="dxa"/>
            <w:vAlign w:val="bottom"/>
          </w:tcPr>
          <w:p>
            <w:pPr>
              <w:spacing w:after="0"/>
              <w:rPr>
                <w:sz w:val="1"/>
                <w:szCs w:val="1"/>
                <w:color w:val="auto"/>
              </w:rPr>
            </w:pPr>
          </w:p>
        </w:tc>
      </w:tr>
      <w:tr>
        <w:trPr>
          <w:trHeight w:val="106"/>
        </w:trPr>
        <w:tc>
          <w:tcPr>
            <w:tcW w:w="334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Balances as of December 31, 2024</w:t>
            </w:r>
          </w:p>
        </w:tc>
        <w:tc>
          <w:tcPr>
            <w:tcW w:w="940" w:type="dxa"/>
            <w:vAlign w:val="bottom"/>
            <w:tcBorders>
              <w:top w:val="single" w:sz="8" w:color="auto"/>
            </w:tcBorders>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122,231,454</w:t>
            </w: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right w:val="single" w:sz="8" w:color="CCEEFF"/>
            </w:tcBorders>
            <w:shd w:val="clear" w:color="auto" w:fill="CCEEFF"/>
          </w:tcPr>
          <w:p>
            <w:pPr>
              <w:ind w:left="280"/>
              <w:spacing w:after="0" w:line="106" w:lineRule="exact"/>
              <w:rPr>
                <w:sz w:val="20"/>
                <w:szCs w:val="20"/>
                <w:color w:val="auto"/>
              </w:rPr>
            </w:pPr>
            <w:r>
              <w:rPr>
                <w:rFonts w:ascii="Times New Roman" w:cs="Times New Roman" w:eastAsia="Times New Roman" w:hAnsi="Times New Roman"/>
                <w:sz w:val="11"/>
                <w:szCs w:val="11"/>
                <w:color w:val="auto"/>
              </w:rPr>
              <w:t>768,566</w:t>
            </w:r>
          </w:p>
        </w:tc>
        <w:tc>
          <w:tcPr>
            <w:tcW w:w="20" w:type="dxa"/>
            <w:vAlign w:val="bottom"/>
            <w:tcBorders>
              <w:top w:val="single" w:sz="8" w:color="auto"/>
            </w:tcBorders>
            <w:shd w:val="clear" w:color="auto" w:fill="000000"/>
          </w:tcPr>
          <w:p>
            <w:pPr>
              <w:spacing w:after="0"/>
              <w:rPr>
                <w:sz w:val="9"/>
                <w:szCs w:val="9"/>
                <w:color w:val="auto"/>
              </w:rPr>
            </w:pPr>
          </w:p>
        </w:tc>
        <w:tc>
          <w:tcPr>
            <w:tcW w:w="80" w:type="dxa"/>
            <w:vAlign w:val="bottom"/>
            <w:tcBorders>
              <w:top w:val="single" w:sz="8" w:color="auto"/>
              <w:left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6,122,048</w:t>
            </w:r>
          </w:p>
        </w:tc>
        <w:tc>
          <w:tcPr>
            <w:tcW w:w="2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jc w:val="right"/>
              <w:ind w:right="30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6</w:t>
            </w: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tcBorders>
            <w:gridSpan w:val="4"/>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112,241</w:t>
            </w: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gridSpan w:val="3"/>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(772)</w:t>
            </w: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top w:val="single" w:sz="8" w:color="auto"/>
            </w:tcBorders>
            <w:gridSpan w:val="3"/>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(970,959)</w:t>
            </w: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(859,484)</w:t>
            </w:r>
          </w:p>
        </w:tc>
        <w:tc>
          <w:tcPr>
            <w:tcW w:w="0" w:type="dxa"/>
            <w:vAlign w:val="bottom"/>
          </w:tcPr>
          <w:p>
            <w:pPr>
              <w:spacing w:after="0"/>
              <w:rPr>
                <w:sz w:val="1"/>
                <w:szCs w:val="1"/>
                <w:color w:val="auto"/>
              </w:rPr>
            </w:pPr>
          </w:p>
        </w:tc>
      </w:tr>
      <w:tr>
        <w:trPr>
          <w:trHeight w:val="117"/>
        </w:trPr>
        <w:tc>
          <w:tcPr>
            <w:tcW w:w="33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700" w:type="dxa"/>
            <w:vAlign w:val="bottom"/>
          </w:tcPr>
          <w:p>
            <w:pPr>
              <w:spacing w:after="0"/>
              <w:rPr>
                <w:sz w:val="10"/>
                <w:szCs w:val="10"/>
                <w:color w:val="auto"/>
              </w:rPr>
            </w:pPr>
          </w:p>
        </w:tc>
        <w:tc>
          <w:tcPr>
            <w:tcW w:w="260" w:type="dxa"/>
            <w:vAlign w:val="bottom"/>
            <w:gridSpan w:val="2"/>
          </w:tcPr>
          <w:p>
            <w:pPr>
              <w:ind w:left="1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20" w:type="dxa"/>
            <w:vAlign w:val="bottom"/>
          </w:tcPr>
          <w:p>
            <w:pPr>
              <w:ind w:left="5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000000"/>
          </w:tcPr>
          <w:p>
            <w:pPr>
              <w:spacing w:after="0"/>
              <w:rPr>
                <w:sz w:val="10"/>
                <w:szCs w:val="10"/>
                <w:color w:val="auto"/>
              </w:rPr>
            </w:pPr>
          </w:p>
        </w:tc>
        <w:tc>
          <w:tcPr>
            <w:tcW w:w="1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130,813</w:t>
            </w: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80" w:type="dxa"/>
            <w:vAlign w:val="bottom"/>
            <w:gridSpan w:val="5"/>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578</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80" w:type="dxa"/>
            <w:vAlign w:val="bottom"/>
          </w:tcPr>
          <w:p>
            <w:pPr>
              <w:spacing w:after="0"/>
              <w:rPr>
                <w:sz w:val="10"/>
                <w:szCs w:val="10"/>
                <w:color w:val="auto"/>
              </w:rPr>
            </w:pPr>
          </w:p>
        </w:tc>
        <w:tc>
          <w:tcPr>
            <w:tcW w:w="10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578</w:t>
            </w:r>
          </w:p>
        </w:tc>
        <w:tc>
          <w:tcPr>
            <w:tcW w:w="0" w:type="dxa"/>
            <w:vAlign w:val="bottom"/>
          </w:tcPr>
          <w:p>
            <w:pPr>
              <w:spacing w:after="0"/>
              <w:rPr>
                <w:sz w:val="1"/>
                <w:szCs w:val="1"/>
                <w:color w:val="auto"/>
              </w:rPr>
            </w:pPr>
          </w:p>
        </w:tc>
      </w:tr>
      <w:tr>
        <w:trPr>
          <w:trHeight w:val="117"/>
        </w:trPr>
        <w:tc>
          <w:tcPr>
            <w:tcW w:w="33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700" w:type="dxa"/>
            <w:vAlign w:val="bottom"/>
            <w:shd w:val="clear" w:color="auto" w:fill="CCEEFF"/>
          </w:tcPr>
          <w:p>
            <w:pPr>
              <w:spacing w:after="0"/>
              <w:rPr>
                <w:sz w:val="10"/>
                <w:szCs w:val="10"/>
                <w:color w:val="auto"/>
              </w:rPr>
            </w:pPr>
          </w:p>
        </w:tc>
        <w:tc>
          <w:tcPr>
            <w:tcW w:w="260" w:type="dxa"/>
            <w:vAlign w:val="bottom"/>
            <w:gridSpan w:val="2"/>
            <w:shd w:val="clear" w:color="auto" w:fill="CCEEFF"/>
          </w:tcPr>
          <w:p>
            <w:pPr>
              <w:ind w:left="1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ind w:left="5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000000"/>
          </w:tcPr>
          <w:p>
            <w:pPr>
              <w:spacing w:after="0"/>
              <w:rPr>
                <w:sz w:val="10"/>
                <w:szCs w:val="10"/>
                <w:color w:val="auto"/>
              </w:rPr>
            </w:pPr>
          </w:p>
        </w:tc>
        <w:tc>
          <w:tcPr>
            <w:tcW w:w="140" w:type="dxa"/>
            <w:vAlign w:val="bottom"/>
            <w:tcBorders>
              <w:left w:val="single" w:sz="8" w:color="CCEEFF"/>
            </w:tcBorders>
            <w:gridSpan w:val="2"/>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80" w:type="dxa"/>
            <w:vAlign w:val="bottom"/>
            <w:gridSpan w:val="5"/>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2,492</w:t>
            </w: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2,492</w:t>
            </w:r>
          </w:p>
        </w:tc>
        <w:tc>
          <w:tcPr>
            <w:tcW w:w="0" w:type="dxa"/>
            <w:vAlign w:val="bottom"/>
          </w:tcPr>
          <w:p>
            <w:pPr>
              <w:spacing w:after="0"/>
              <w:rPr>
                <w:sz w:val="1"/>
                <w:szCs w:val="1"/>
                <w:color w:val="auto"/>
              </w:rPr>
            </w:pPr>
          </w:p>
        </w:tc>
      </w:tr>
      <w:tr>
        <w:trPr>
          <w:trHeight w:val="117"/>
        </w:trPr>
        <w:tc>
          <w:tcPr>
            <w:tcW w:w="33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Foreign currency translation loss</w:t>
            </w:r>
          </w:p>
        </w:tc>
        <w:tc>
          <w:tcPr>
            <w:tcW w:w="700" w:type="dxa"/>
            <w:vAlign w:val="bottom"/>
          </w:tcPr>
          <w:p>
            <w:pPr>
              <w:spacing w:after="0"/>
              <w:rPr>
                <w:sz w:val="10"/>
                <w:szCs w:val="10"/>
                <w:color w:val="auto"/>
              </w:rPr>
            </w:pPr>
          </w:p>
        </w:tc>
        <w:tc>
          <w:tcPr>
            <w:tcW w:w="260" w:type="dxa"/>
            <w:vAlign w:val="bottom"/>
            <w:gridSpan w:val="2"/>
          </w:tcPr>
          <w:p>
            <w:pPr>
              <w:ind w:left="1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20" w:type="dxa"/>
            <w:vAlign w:val="bottom"/>
          </w:tcPr>
          <w:p>
            <w:pPr>
              <w:ind w:left="5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000000"/>
          </w:tcPr>
          <w:p>
            <w:pPr>
              <w:spacing w:after="0"/>
              <w:rPr>
                <w:sz w:val="10"/>
                <w:szCs w:val="10"/>
                <w:color w:val="auto"/>
              </w:rPr>
            </w:pPr>
          </w:p>
        </w:tc>
        <w:tc>
          <w:tcPr>
            <w:tcW w:w="1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0"/>
                <w:szCs w:val="10"/>
                <w:color w:val="auto"/>
              </w:rPr>
            </w:pPr>
          </w:p>
        </w:tc>
        <w:tc>
          <w:tcPr>
            <w:tcW w:w="1220" w:type="dxa"/>
            <w:vAlign w:val="bottom"/>
            <w:gridSpan w:val="4"/>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(236)</w:t>
            </w: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80" w:type="dxa"/>
            <w:vAlign w:val="bottom"/>
          </w:tcPr>
          <w:p>
            <w:pPr>
              <w:spacing w:after="0"/>
              <w:rPr>
                <w:sz w:val="10"/>
                <w:szCs w:val="10"/>
                <w:color w:val="auto"/>
              </w:rPr>
            </w:pPr>
          </w:p>
        </w:tc>
        <w:tc>
          <w:tcPr>
            <w:tcW w:w="10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(236)</w:t>
            </w:r>
          </w:p>
        </w:tc>
        <w:tc>
          <w:tcPr>
            <w:tcW w:w="0" w:type="dxa"/>
            <w:vAlign w:val="bottom"/>
          </w:tcPr>
          <w:p>
            <w:pPr>
              <w:spacing w:after="0"/>
              <w:rPr>
                <w:sz w:val="1"/>
                <w:szCs w:val="1"/>
                <w:color w:val="auto"/>
              </w:rPr>
            </w:pPr>
          </w:p>
        </w:tc>
      </w:tr>
      <w:tr>
        <w:trPr>
          <w:trHeight w:val="117"/>
        </w:trPr>
        <w:tc>
          <w:tcPr>
            <w:tcW w:w="33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Net loss</w:t>
            </w:r>
          </w:p>
        </w:tc>
        <w:tc>
          <w:tcPr>
            <w:tcW w:w="700" w:type="dxa"/>
            <w:vAlign w:val="bottom"/>
            <w:shd w:val="clear" w:color="auto" w:fill="CCEEFF"/>
          </w:tcPr>
          <w:p>
            <w:pPr>
              <w:spacing w:after="0"/>
              <w:rPr>
                <w:sz w:val="10"/>
                <w:szCs w:val="10"/>
                <w:color w:val="auto"/>
              </w:rPr>
            </w:pPr>
          </w:p>
        </w:tc>
        <w:tc>
          <w:tcPr>
            <w:tcW w:w="260" w:type="dxa"/>
            <w:vAlign w:val="bottom"/>
            <w:gridSpan w:val="2"/>
            <w:shd w:val="clear" w:color="auto" w:fill="CCEEFF"/>
          </w:tcPr>
          <w:p>
            <w:pPr>
              <w:ind w:left="1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ind w:left="5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000000"/>
          </w:tcPr>
          <w:p>
            <w:pPr>
              <w:spacing w:after="0"/>
              <w:rPr>
                <w:sz w:val="10"/>
                <w:szCs w:val="10"/>
                <w:color w:val="auto"/>
              </w:rPr>
            </w:pPr>
          </w:p>
        </w:tc>
        <w:tc>
          <w:tcPr>
            <w:tcW w:w="140" w:type="dxa"/>
            <w:vAlign w:val="bottom"/>
            <w:tcBorders>
              <w:left w:val="single" w:sz="8" w:color="CCEEFF"/>
            </w:tcBorders>
            <w:gridSpan w:val="2"/>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gridSpan w:val="3"/>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0"/>
                <w:szCs w:val="10"/>
                <w:color w:val="auto"/>
              </w:rPr>
            </w:pPr>
          </w:p>
        </w:tc>
        <w:tc>
          <w:tcPr>
            <w:tcW w:w="1180" w:type="dxa"/>
            <w:vAlign w:val="bottom"/>
            <w:gridSpan w:val="4"/>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(32,345)</w:t>
            </w: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(32,345)</w:t>
            </w:r>
          </w:p>
        </w:tc>
        <w:tc>
          <w:tcPr>
            <w:tcW w:w="0" w:type="dxa"/>
            <w:vAlign w:val="bottom"/>
          </w:tcPr>
          <w:p>
            <w:pPr>
              <w:spacing w:after="0"/>
              <w:rPr>
                <w:sz w:val="1"/>
                <w:szCs w:val="1"/>
                <w:color w:val="auto"/>
              </w:rPr>
            </w:pPr>
          </w:p>
        </w:tc>
      </w:tr>
      <w:tr>
        <w:trPr>
          <w:trHeight w:val="113"/>
        </w:trPr>
        <w:tc>
          <w:tcPr>
            <w:tcW w:w="3340" w:type="dxa"/>
            <w:vAlign w:val="bottom"/>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Balances as of March 31, 2025</w:t>
            </w:r>
          </w:p>
        </w:tc>
        <w:tc>
          <w:tcPr>
            <w:tcW w:w="940" w:type="dxa"/>
            <w:vAlign w:val="bottom"/>
            <w:tcBorders>
              <w:top w:val="single" w:sz="8" w:color="auto"/>
              <w:bottom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color w:val="auto"/>
              </w:rPr>
              <w:t>122,231,454</w:t>
            </w:r>
          </w:p>
        </w:tc>
        <w:tc>
          <w:tcPr>
            <w:tcW w:w="2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bottom w:val="single" w:sz="8" w:color="auto"/>
            </w:tcBorders>
          </w:tcPr>
          <w:p>
            <w:pPr>
              <w:ind w:left="280"/>
              <w:spacing w:after="0" w:line="106" w:lineRule="exact"/>
              <w:rPr>
                <w:sz w:val="20"/>
                <w:szCs w:val="20"/>
                <w:color w:val="auto"/>
              </w:rPr>
            </w:pPr>
            <w:r>
              <w:rPr>
                <w:rFonts w:ascii="Times New Roman" w:cs="Times New Roman" w:eastAsia="Times New Roman" w:hAnsi="Times New Roman"/>
                <w:sz w:val="11"/>
                <w:szCs w:val="11"/>
                <w:color w:val="auto"/>
              </w:rPr>
              <w:t>768,566</w:t>
            </w:r>
          </w:p>
        </w:tc>
        <w:tc>
          <w:tcPr>
            <w:tcW w:w="20" w:type="dxa"/>
            <w:vAlign w:val="bottom"/>
            <w:tcBorders>
              <w:top w:val="single" w:sz="8" w:color="auto"/>
              <w:bottom w:val="single" w:sz="8" w:color="auto"/>
            </w:tcBorders>
            <w:shd w:val="clear" w:color="auto" w:fill="000000"/>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6,252,861</w:t>
            </w:r>
          </w:p>
        </w:tc>
        <w:tc>
          <w:tcPr>
            <w:tcW w:w="20" w:type="dxa"/>
            <w:vAlign w:val="bottom"/>
          </w:tcPr>
          <w:p>
            <w:pPr>
              <w:spacing w:after="0"/>
              <w:rPr>
                <w:sz w:val="9"/>
                <w:szCs w:val="9"/>
                <w:color w:val="auto"/>
              </w:rPr>
            </w:pPr>
          </w:p>
        </w:tc>
        <w:tc>
          <w:tcPr>
            <w:tcW w:w="420" w:type="dxa"/>
            <w:vAlign w:val="bottom"/>
            <w:tcBorders>
              <w:top w:val="single" w:sz="8" w:color="auto"/>
              <w:bottom w:val="single" w:sz="8" w:color="auto"/>
            </w:tcBorders>
          </w:tcPr>
          <w:p>
            <w:pPr>
              <w:jc w:val="right"/>
              <w:ind w:right="30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top w:val="single" w:sz="8" w:color="auto"/>
              <w:bottom w:val="single" w:sz="8" w:color="auto"/>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16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6</w:t>
            </w:r>
          </w:p>
        </w:tc>
        <w:tc>
          <w:tcPr>
            <w:tcW w:w="2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bottom w:val="single" w:sz="8" w:color="auto"/>
            </w:tcBorders>
            <w:gridSpan w:val="4"/>
          </w:tcPr>
          <w:p>
            <w:pPr>
              <w:jc w:val="right"/>
              <w:spacing w:after="0" w:line="106" w:lineRule="exact"/>
              <w:rPr>
                <w:sz w:val="20"/>
                <w:szCs w:val="20"/>
                <w:color w:val="auto"/>
              </w:rPr>
            </w:pPr>
            <w:r>
              <w:rPr>
                <w:rFonts w:ascii="Times New Roman" w:cs="Times New Roman" w:eastAsia="Times New Roman" w:hAnsi="Times New Roman"/>
                <w:sz w:val="11"/>
                <w:szCs w:val="11"/>
                <w:color w:val="auto"/>
              </w:rPr>
              <w:t>115,311</w:t>
            </w:r>
          </w:p>
        </w:tc>
        <w:tc>
          <w:tcPr>
            <w:tcW w:w="2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gridSpan w:val="3"/>
          </w:tcPr>
          <w:p>
            <w:pPr>
              <w:jc w:val="right"/>
              <w:spacing w:after="0" w:line="106" w:lineRule="exact"/>
              <w:rPr>
                <w:sz w:val="20"/>
                <w:szCs w:val="20"/>
                <w:color w:val="auto"/>
              </w:rPr>
            </w:pPr>
            <w:r>
              <w:rPr>
                <w:rFonts w:ascii="Times New Roman" w:cs="Times New Roman" w:eastAsia="Times New Roman" w:hAnsi="Times New Roman"/>
                <w:sz w:val="11"/>
                <w:szCs w:val="11"/>
                <w:color w:val="auto"/>
              </w:rPr>
              <w:t>(1,008)</w:t>
            </w:r>
          </w:p>
        </w:tc>
        <w:tc>
          <w:tcPr>
            <w:tcW w:w="20" w:type="dxa"/>
            <w:vAlign w:val="bottom"/>
          </w:tcPr>
          <w:p>
            <w:pPr>
              <w:spacing w:after="0"/>
              <w:rPr>
                <w:sz w:val="9"/>
                <w:szCs w:val="9"/>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top w:val="single" w:sz="8" w:color="auto"/>
              <w:bottom w:val="single" w:sz="8" w:color="auto"/>
            </w:tcBorders>
            <w:gridSpan w:val="3"/>
          </w:tcPr>
          <w:p>
            <w:pPr>
              <w:jc w:val="right"/>
              <w:spacing w:after="0" w:line="106" w:lineRule="exact"/>
              <w:rPr>
                <w:sz w:val="20"/>
                <w:szCs w:val="20"/>
                <w:color w:val="auto"/>
              </w:rPr>
            </w:pPr>
            <w:r>
              <w:rPr>
                <w:rFonts w:ascii="Times New Roman" w:cs="Times New Roman" w:eastAsia="Times New Roman" w:hAnsi="Times New Roman"/>
                <w:sz w:val="11"/>
                <w:szCs w:val="11"/>
                <w:color w:val="auto"/>
              </w:rPr>
              <w:t>(1,003,304)</w:t>
            </w:r>
          </w:p>
        </w:tc>
        <w:tc>
          <w:tcPr>
            <w:tcW w:w="14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(888,995)</w:t>
            </w:r>
          </w:p>
        </w:tc>
        <w:tc>
          <w:tcPr>
            <w:tcW w:w="0" w:type="dxa"/>
            <w:vAlign w:val="bottom"/>
          </w:tcPr>
          <w:p>
            <w:pPr>
              <w:spacing w:after="0"/>
              <w:rPr>
                <w:sz w:val="1"/>
                <w:szCs w:val="1"/>
                <w:color w:val="auto"/>
              </w:rPr>
            </w:pPr>
          </w:p>
        </w:tc>
      </w:tr>
    </w:tbl>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The accompanying notes are an integral part of these condensed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Heartflow,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jc w:val="center"/>
        <w:spacing w:after="0" w:line="234" w:lineRule="auto"/>
        <w:rPr>
          <w:sz w:val="20"/>
          <w:szCs w:val="20"/>
          <w:color w:val="auto"/>
        </w:rPr>
      </w:pPr>
      <w:r>
        <w:rPr>
          <w:rFonts w:ascii="Times New Roman" w:cs="Times New Roman" w:eastAsia="Times New Roman" w:hAnsi="Times New Roman"/>
          <w:sz w:val="12"/>
          <w:szCs w:val="12"/>
          <w:b w:val="1"/>
          <w:bCs w:val="1"/>
          <w:color w:val="auto"/>
        </w:rPr>
        <w:t>(in thousands)</w:t>
      </w: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8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180" w:type="dxa"/>
            <w:vAlign w:val="bottom"/>
          </w:tcPr>
          <w:p>
            <w:pPr>
              <w:spacing w:after="0"/>
              <w:rPr>
                <w:sz w:val="11"/>
                <w:szCs w:val="11"/>
                <w:color w:val="auto"/>
              </w:rPr>
            </w:pPr>
          </w:p>
        </w:tc>
      </w:tr>
      <w:tr>
        <w:trPr>
          <w:trHeight w:val="137"/>
        </w:trPr>
        <w:tc>
          <w:tcPr>
            <w:tcW w:w="750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r>
        <w:trPr>
          <w:trHeight w:val="106"/>
        </w:trPr>
        <w:tc>
          <w:tcPr>
            <w:tcW w:w="7500" w:type="dxa"/>
            <w:vAlign w:val="bottom"/>
            <w:tcBorders>
              <w:bottom w:val="single" w:sz="8" w:color="CCEEFF"/>
            </w:tcBorders>
          </w:tcPr>
          <w:p>
            <w:pPr>
              <w:spacing w:after="0"/>
              <w:rPr>
                <w:sz w:val="9"/>
                <w:szCs w:val="9"/>
                <w:color w:val="auto"/>
              </w:rPr>
            </w:pPr>
          </w:p>
        </w:tc>
        <w:tc>
          <w:tcPr>
            <w:tcW w:w="1140" w:type="dxa"/>
            <w:vAlign w:val="bottom"/>
            <w:tcBorders>
              <w:bottom w:val="single" w:sz="8" w:color="auto"/>
            </w:tcBorders>
          </w:tcPr>
          <w:p>
            <w:pPr>
              <w:jc w:val="right"/>
              <w:ind w:right="126"/>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540" w:type="dxa"/>
            <w:vAlign w:val="bottom"/>
            <w:tcBorders>
              <w:bottom w:val="single" w:sz="8" w:color="auto"/>
            </w:tcBorders>
          </w:tcPr>
          <w:p>
            <w:pPr>
              <w:spacing w:after="0"/>
              <w:rPr>
                <w:sz w:val="9"/>
                <w:szCs w:val="9"/>
                <w:color w:val="auto"/>
              </w:rPr>
            </w:pPr>
          </w:p>
        </w:tc>
        <w:tc>
          <w:tcPr>
            <w:tcW w:w="460" w:type="dxa"/>
            <w:vAlign w:val="bottom"/>
            <w:tcBorders>
              <w:bottom w:val="single" w:sz="8" w:color="CCEEFF"/>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jc w:val="right"/>
              <w:ind w:right="666"/>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r>
      <w:tr>
        <w:trPr>
          <w:trHeight w:val="106"/>
        </w:trPr>
        <w:tc>
          <w:tcPr>
            <w:tcW w:w="75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1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r>
      <w:tr>
        <w:trPr>
          <w:trHeight w:val="117"/>
        </w:trPr>
        <w:tc>
          <w:tcPr>
            <w:tcW w:w="750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Net loss</w:t>
            </w:r>
          </w:p>
        </w:tc>
        <w:tc>
          <w:tcPr>
            <w:tcW w:w="1140" w:type="dxa"/>
            <w:vAlign w:val="bottom"/>
          </w:tcPr>
          <w:p>
            <w:pPr>
              <w:jc w:val="right"/>
              <w:ind w:right="102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440"/>
              <w:spacing w:after="0" w:line="117" w:lineRule="exact"/>
              <w:rPr>
                <w:sz w:val="20"/>
                <w:szCs w:val="20"/>
                <w:color w:val="auto"/>
              </w:rPr>
            </w:pPr>
            <w:r>
              <w:rPr>
                <w:rFonts w:ascii="Times New Roman" w:cs="Times New Roman" w:eastAsia="Times New Roman" w:hAnsi="Times New Roman"/>
                <w:sz w:val="11"/>
                <w:szCs w:val="11"/>
                <w:color w:val="auto"/>
              </w:rPr>
              <w:t>(27,380)</w:t>
            </w:r>
          </w:p>
        </w:tc>
        <w:tc>
          <w:tcPr>
            <w:tcW w:w="480" w:type="dxa"/>
            <w:vAlign w:val="bottom"/>
          </w:tcPr>
          <w:p>
            <w:pPr>
              <w:jc w:val="right"/>
              <w:ind w:right="36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(32,345)</w:t>
            </w:r>
          </w:p>
        </w:tc>
      </w:tr>
      <w:tr>
        <w:trPr>
          <w:trHeight w:val="117"/>
        </w:trPr>
        <w:tc>
          <w:tcPr>
            <w:tcW w:w="7500" w:type="dxa"/>
            <w:vAlign w:val="bottom"/>
            <w:shd w:val="clear" w:color="auto" w:fill="CCEEFF"/>
          </w:tcPr>
          <w:p>
            <w:pPr>
              <w:ind w:left="60"/>
              <w:spacing w:after="0" w:line="117" w:lineRule="exact"/>
              <w:rPr>
                <w:sz w:val="20"/>
                <w:szCs w:val="20"/>
                <w:color w:val="auto"/>
              </w:rPr>
            </w:pPr>
            <w:r>
              <w:rPr>
                <w:rFonts w:ascii="Times New Roman" w:cs="Times New Roman" w:eastAsia="Times New Roman" w:hAnsi="Times New Roman"/>
                <w:sz w:val="11"/>
                <w:szCs w:val="11"/>
                <w:color w:val="auto"/>
              </w:rPr>
              <w:t>Adjustments to reconcile net loss to net cash used in operating activities:</w:t>
            </w:r>
          </w:p>
        </w:tc>
        <w:tc>
          <w:tcPr>
            <w:tcW w:w="1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117"/>
        </w:trPr>
        <w:tc>
          <w:tcPr>
            <w:tcW w:w="7500" w:type="dxa"/>
            <w:vAlign w:val="bottom"/>
          </w:tcPr>
          <w:p>
            <w:pPr>
              <w:ind w:left="60"/>
              <w:spacing w:after="0" w:line="117" w:lineRule="exact"/>
              <w:rPr>
                <w:sz w:val="20"/>
                <w:szCs w:val="20"/>
                <w:color w:val="auto"/>
              </w:rPr>
            </w:pPr>
            <w:r>
              <w:rPr>
                <w:rFonts w:ascii="Times New Roman" w:cs="Times New Roman" w:eastAsia="Times New Roman" w:hAnsi="Times New Roman"/>
                <w:sz w:val="11"/>
                <w:szCs w:val="11"/>
                <w:color w:val="auto"/>
              </w:rPr>
              <w:t>Depreciation and amortization</w:t>
            </w:r>
          </w:p>
        </w:tc>
        <w:tc>
          <w:tcPr>
            <w:tcW w:w="1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1,423</w:t>
            </w: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1,372</w:t>
            </w:r>
          </w:p>
        </w:tc>
      </w:tr>
      <w:tr>
        <w:trPr>
          <w:trHeight w:val="117"/>
        </w:trPr>
        <w:tc>
          <w:tcPr>
            <w:tcW w:w="7500" w:type="dxa"/>
            <w:vAlign w:val="bottom"/>
            <w:shd w:val="clear" w:color="auto" w:fill="CCEEFF"/>
          </w:tcPr>
          <w:p>
            <w:pPr>
              <w:ind w:left="60"/>
              <w:spacing w:after="0" w:line="117"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6,554</w:t>
            </w:r>
          </w:p>
        </w:tc>
        <w:tc>
          <w:tcPr>
            <w:tcW w:w="4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2,492</w:t>
            </w:r>
          </w:p>
        </w:tc>
      </w:tr>
      <w:tr>
        <w:trPr>
          <w:trHeight w:val="117"/>
        </w:trPr>
        <w:tc>
          <w:tcPr>
            <w:tcW w:w="7500" w:type="dxa"/>
            <w:vAlign w:val="bottom"/>
          </w:tcPr>
          <w:p>
            <w:pPr>
              <w:ind w:left="60"/>
              <w:spacing w:after="0" w:line="117" w:lineRule="exact"/>
              <w:rPr>
                <w:sz w:val="20"/>
                <w:szCs w:val="20"/>
                <w:color w:val="auto"/>
              </w:rPr>
            </w:pPr>
            <w:r>
              <w:rPr>
                <w:rFonts w:ascii="Times New Roman" w:cs="Times New Roman" w:eastAsia="Times New Roman" w:hAnsi="Times New Roman"/>
                <w:sz w:val="11"/>
                <w:szCs w:val="11"/>
                <w:color w:val="auto"/>
              </w:rPr>
              <w:t>Asset impairment charge</w:t>
            </w:r>
          </w:p>
        </w:tc>
        <w:tc>
          <w:tcPr>
            <w:tcW w:w="1140" w:type="dxa"/>
            <w:vAlign w:val="bottom"/>
          </w:tcPr>
          <w:p>
            <w:pPr>
              <w:spacing w:after="0"/>
              <w:rPr>
                <w:sz w:val="10"/>
                <w:szCs w:val="10"/>
                <w:color w:val="auto"/>
              </w:rPr>
            </w:pPr>
          </w:p>
        </w:tc>
        <w:tc>
          <w:tcPr>
            <w:tcW w:w="1000" w:type="dxa"/>
            <w:vAlign w:val="bottom"/>
            <w:gridSpan w:val="2"/>
          </w:tcPr>
          <w:p>
            <w:pPr>
              <w:jc w:val="right"/>
              <w:ind w:right="440"/>
              <w:spacing w:after="0" w:line="117" w:lineRule="exact"/>
              <w:rPr>
                <w:sz w:val="20"/>
                <w:szCs w:val="20"/>
                <w:color w:val="auto"/>
              </w:rPr>
            </w:pPr>
            <w:r>
              <w:rPr>
                <w:rFonts w:ascii="Times New Roman" w:cs="Times New Roman" w:eastAsia="Times New Roman" w:hAnsi="Times New Roman"/>
                <w:sz w:val="11"/>
                <w:szCs w:val="11"/>
                <w:color w:val="auto"/>
              </w:rPr>
              <w:t>7,482</w:t>
            </w:r>
          </w:p>
        </w:tc>
        <w:tc>
          <w:tcPr>
            <w:tcW w:w="480" w:type="dxa"/>
            <w:vAlign w:val="bottom"/>
          </w:tcPr>
          <w:p>
            <w:pPr>
              <w:spacing w:after="0"/>
              <w:rPr>
                <w:sz w:val="10"/>
                <w:szCs w:val="10"/>
                <w:color w:val="auto"/>
              </w:rPr>
            </w:pPr>
          </w:p>
        </w:tc>
        <w:tc>
          <w:tcPr>
            <w:tcW w:w="11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r>
      <w:tr>
        <w:trPr>
          <w:trHeight w:val="117"/>
        </w:trPr>
        <w:tc>
          <w:tcPr>
            <w:tcW w:w="7500" w:type="dxa"/>
            <w:vAlign w:val="bottom"/>
            <w:shd w:val="clear" w:color="auto" w:fill="CCEEFF"/>
          </w:tcPr>
          <w:p>
            <w:pPr>
              <w:ind w:left="60"/>
              <w:spacing w:after="0" w:line="117" w:lineRule="exact"/>
              <w:rPr>
                <w:sz w:val="20"/>
                <w:szCs w:val="20"/>
                <w:color w:val="auto"/>
              </w:rPr>
            </w:pPr>
            <w:r>
              <w:rPr>
                <w:rFonts w:ascii="Times New Roman" w:cs="Times New Roman" w:eastAsia="Times New Roman" w:hAnsi="Times New Roman"/>
                <w:sz w:val="11"/>
                <w:szCs w:val="11"/>
                <w:color w:val="auto"/>
              </w:rPr>
              <w:t>Amortization of debt discount and debt issuance costs</w:t>
            </w:r>
          </w:p>
        </w:tc>
        <w:tc>
          <w:tcPr>
            <w:tcW w:w="1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4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998</w:t>
            </w:r>
          </w:p>
        </w:tc>
      </w:tr>
      <w:tr>
        <w:trPr>
          <w:trHeight w:val="117"/>
        </w:trPr>
        <w:tc>
          <w:tcPr>
            <w:tcW w:w="7500" w:type="dxa"/>
            <w:vAlign w:val="bottom"/>
          </w:tcPr>
          <w:p>
            <w:pPr>
              <w:ind w:left="60"/>
              <w:spacing w:after="0" w:line="117" w:lineRule="exact"/>
              <w:rPr>
                <w:sz w:val="20"/>
                <w:szCs w:val="20"/>
                <w:color w:val="auto"/>
              </w:rPr>
            </w:pPr>
            <w:r>
              <w:rPr>
                <w:rFonts w:ascii="Times New Roman" w:cs="Times New Roman" w:eastAsia="Times New Roman" w:hAnsi="Times New Roman"/>
                <w:sz w:val="11"/>
                <w:szCs w:val="11"/>
                <w:color w:val="auto"/>
              </w:rPr>
              <w:t>Amortization of right-of-use asset</w:t>
            </w:r>
          </w:p>
        </w:tc>
        <w:tc>
          <w:tcPr>
            <w:tcW w:w="1140" w:type="dxa"/>
            <w:vAlign w:val="bottom"/>
          </w:tcPr>
          <w:p>
            <w:pPr>
              <w:spacing w:after="0"/>
              <w:rPr>
                <w:sz w:val="10"/>
                <w:szCs w:val="10"/>
                <w:color w:val="auto"/>
              </w:rPr>
            </w:pPr>
          </w:p>
        </w:tc>
        <w:tc>
          <w:tcPr>
            <w:tcW w:w="1000" w:type="dxa"/>
            <w:vAlign w:val="bottom"/>
            <w:gridSpan w:val="2"/>
          </w:tcPr>
          <w:p>
            <w:pPr>
              <w:jc w:val="right"/>
              <w:ind w:right="440"/>
              <w:spacing w:after="0" w:line="117" w:lineRule="exact"/>
              <w:rPr>
                <w:sz w:val="20"/>
                <w:szCs w:val="20"/>
                <w:color w:val="auto"/>
              </w:rPr>
            </w:pPr>
            <w:r>
              <w:rPr>
                <w:rFonts w:ascii="Times New Roman" w:cs="Times New Roman" w:eastAsia="Times New Roman" w:hAnsi="Times New Roman"/>
                <w:sz w:val="11"/>
                <w:szCs w:val="11"/>
                <w:color w:val="auto"/>
              </w:rPr>
              <w:t>1,011</w:t>
            </w:r>
          </w:p>
        </w:tc>
        <w:tc>
          <w:tcPr>
            <w:tcW w:w="480" w:type="dxa"/>
            <w:vAlign w:val="bottom"/>
          </w:tcPr>
          <w:p>
            <w:pPr>
              <w:spacing w:after="0"/>
              <w:rPr>
                <w:sz w:val="10"/>
                <w:szCs w:val="10"/>
                <w:color w:val="auto"/>
              </w:rPr>
            </w:pPr>
          </w:p>
        </w:tc>
        <w:tc>
          <w:tcPr>
            <w:tcW w:w="11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724</w:t>
            </w:r>
          </w:p>
        </w:tc>
      </w:tr>
      <w:tr>
        <w:trPr>
          <w:trHeight w:val="117"/>
        </w:trPr>
        <w:tc>
          <w:tcPr>
            <w:tcW w:w="7500" w:type="dxa"/>
            <w:vAlign w:val="bottom"/>
            <w:shd w:val="clear" w:color="auto" w:fill="CCEEFF"/>
          </w:tcPr>
          <w:p>
            <w:pPr>
              <w:ind w:left="60"/>
              <w:spacing w:after="0" w:line="117" w:lineRule="exact"/>
              <w:rPr>
                <w:sz w:val="20"/>
                <w:szCs w:val="20"/>
                <w:color w:val="auto"/>
              </w:rPr>
            </w:pPr>
            <w:r>
              <w:rPr>
                <w:rFonts w:ascii="Times New Roman" w:cs="Times New Roman" w:eastAsia="Times New Roman" w:hAnsi="Times New Roman"/>
                <w:sz w:val="11"/>
                <w:szCs w:val="11"/>
                <w:color w:val="auto"/>
              </w:rPr>
              <w:t>Accretion of discounts on investments, net</w:t>
            </w:r>
          </w:p>
        </w:tc>
        <w:tc>
          <w:tcPr>
            <w:tcW w:w="1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440"/>
              <w:spacing w:after="0" w:line="117" w:lineRule="exact"/>
              <w:rPr>
                <w:sz w:val="20"/>
                <w:szCs w:val="20"/>
                <w:color w:val="auto"/>
              </w:rPr>
            </w:pPr>
            <w:r>
              <w:rPr>
                <w:rFonts w:ascii="Times New Roman" w:cs="Times New Roman" w:eastAsia="Times New Roman" w:hAnsi="Times New Roman"/>
                <w:sz w:val="11"/>
                <w:szCs w:val="11"/>
                <w:color w:val="auto"/>
              </w:rPr>
              <w:t>(836)</w:t>
            </w:r>
          </w:p>
        </w:tc>
        <w:tc>
          <w:tcPr>
            <w:tcW w:w="48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r>
      <w:tr>
        <w:trPr>
          <w:trHeight w:val="117"/>
        </w:trPr>
        <w:tc>
          <w:tcPr>
            <w:tcW w:w="7500" w:type="dxa"/>
            <w:vAlign w:val="bottom"/>
          </w:tcPr>
          <w:p>
            <w:pPr>
              <w:ind w:left="60"/>
              <w:spacing w:after="0" w:line="117" w:lineRule="exact"/>
              <w:rPr>
                <w:sz w:val="20"/>
                <w:szCs w:val="20"/>
                <w:color w:val="auto"/>
              </w:rPr>
            </w:pPr>
            <w:r>
              <w:rPr>
                <w:rFonts w:ascii="Times New Roman" w:cs="Times New Roman" w:eastAsia="Times New Roman" w:hAnsi="Times New Roman"/>
                <w:sz w:val="11"/>
                <w:szCs w:val="11"/>
                <w:color w:val="auto"/>
              </w:rPr>
              <w:t>Change in fair value of common stock warrant liability</w:t>
            </w:r>
          </w:p>
        </w:tc>
        <w:tc>
          <w:tcPr>
            <w:tcW w:w="1140" w:type="dxa"/>
            <w:vAlign w:val="bottom"/>
          </w:tcPr>
          <w:p>
            <w:pPr>
              <w:spacing w:after="0"/>
              <w:rPr>
                <w:sz w:val="10"/>
                <w:szCs w:val="10"/>
                <w:color w:val="auto"/>
              </w:rPr>
            </w:pPr>
          </w:p>
        </w:tc>
        <w:tc>
          <w:tcPr>
            <w:tcW w:w="1000" w:type="dxa"/>
            <w:vAlign w:val="bottom"/>
            <w:gridSpan w:val="2"/>
          </w:tcPr>
          <w:p>
            <w:pPr>
              <w:jc w:val="right"/>
              <w:ind w:right="4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spacing w:after="0"/>
              <w:rPr>
                <w:sz w:val="10"/>
                <w:szCs w:val="10"/>
                <w:color w:val="auto"/>
              </w:rPr>
            </w:pPr>
          </w:p>
        </w:tc>
        <w:tc>
          <w:tcPr>
            <w:tcW w:w="11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1,606</w:t>
            </w:r>
          </w:p>
        </w:tc>
      </w:tr>
      <w:tr>
        <w:trPr>
          <w:trHeight w:val="117"/>
        </w:trPr>
        <w:tc>
          <w:tcPr>
            <w:tcW w:w="7500" w:type="dxa"/>
            <w:vAlign w:val="bottom"/>
            <w:shd w:val="clear" w:color="auto" w:fill="CCEEFF"/>
          </w:tcPr>
          <w:p>
            <w:pPr>
              <w:ind w:left="60"/>
              <w:spacing w:after="0" w:line="117" w:lineRule="exact"/>
              <w:rPr>
                <w:sz w:val="20"/>
                <w:szCs w:val="20"/>
                <w:color w:val="auto"/>
              </w:rPr>
            </w:pPr>
            <w:r>
              <w:rPr>
                <w:rFonts w:ascii="Times New Roman" w:cs="Times New Roman" w:eastAsia="Times New Roman" w:hAnsi="Times New Roman"/>
                <w:sz w:val="11"/>
                <w:szCs w:val="11"/>
                <w:color w:val="auto"/>
              </w:rPr>
              <w:t>Change in fair value of derivative liability</w:t>
            </w:r>
          </w:p>
        </w:tc>
        <w:tc>
          <w:tcPr>
            <w:tcW w:w="1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4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9,045</w:t>
            </w:r>
          </w:p>
        </w:tc>
      </w:tr>
      <w:tr>
        <w:trPr>
          <w:trHeight w:val="117"/>
        </w:trPr>
        <w:tc>
          <w:tcPr>
            <w:tcW w:w="7500" w:type="dxa"/>
            <w:vAlign w:val="bottom"/>
          </w:tcPr>
          <w:p>
            <w:pPr>
              <w:ind w:left="60"/>
              <w:spacing w:after="0" w:line="117" w:lineRule="exact"/>
              <w:rPr>
                <w:sz w:val="20"/>
                <w:szCs w:val="20"/>
                <w:color w:val="auto"/>
              </w:rPr>
            </w:pPr>
            <w:r>
              <w:rPr>
                <w:rFonts w:ascii="Times New Roman" w:cs="Times New Roman" w:eastAsia="Times New Roman" w:hAnsi="Times New Roman"/>
                <w:sz w:val="11"/>
                <w:szCs w:val="11"/>
                <w:color w:val="auto"/>
              </w:rPr>
              <w:t>Non-cash interest charges</w:t>
            </w:r>
          </w:p>
        </w:tc>
        <w:tc>
          <w:tcPr>
            <w:tcW w:w="1140" w:type="dxa"/>
            <w:vAlign w:val="bottom"/>
          </w:tcPr>
          <w:p>
            <w:pPr>
              <w:spacing w:after="0"/>
              <w:rPr>
                <w:sz w:val="10"/>
                <w:szCs w:val="10"/>
                <w:color w:val="auto"/>
              </w:rPr>
            </w:pPr>
          </w:p>
        </w:tc>
        <w:tc>
          <w:tcPr>
            <w:tcW w:w="1000" w:type="dxa"/>
            <w:vAlign w:val="bottom"/>
            <w:gridSpan w:val="2"/>
          </w:tcPr>
          <w:p>
            <w:pPr>
              <w:jc w:val="right"/>
              <w:ind w:right="4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spacing w:after="0"/>
              <w:rPr>
                <w:sz w:val="10"/>
                <w:szCs w:val="10"/>
                <w:color w:val="auto"/>
              </w:rPr>
            </w:pPr>
          </w:p>
        </w:tc>
        <w:tc>
          <w:tcPr>
            <w:tcW w:w="11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545</w:t>
            </w:r>
          </w:p>
        </w:tc>
      </w:tr>
      <w:tr>
        <w:trPr>
          <w:trHeight w:val="117"/>
        </w:trPr>
        <w:tc>
          <w:tcPr>
            <w:tcW w:w="7500" w:type="dxa"/>
            <w:vAlign w:val="bottom"/>
            <w:shd w:val="clear" w:color="auto" w:fill="CCEEFF"/>
          </w:tcPr>
          <w:p>
            <w:pPr>
              <w:ind w:left="60"/>
              <w:spacing w:after="0" w:line="117" w:lineRule="exact"/>
              <w:rPr>
                <w:sz w:val="20"/>
                <w:szCs w:val="20"/>
                <w:color w:val="auto"/>
              </w:rPr>
            </w:pPr>
            <w:r>
              <w:rPr>
                <w:rFonts w:ascii="Times New Roman" w:cs="Times New Roman" w:eastAsia="Times New Roman" w:hAnsi="Times New Roman"/>
                <w:sz w:val="11"/>
                <w:szCs w:val="11"/>
                <w:color w:val="auto"/>
              </w:rPr>
              <w:t>Change in allowance for credit losses</w:t>
            </w:r>
          </w:p>
        </w:tc>
        <w:tc>
          <w:tcPr>
            <w:tcW w:w="1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4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(72)</w:t>
            </w:r>
          </w:p>
        </w:tc>
      </w:tr>
      <w:tr>
        <w:trPr>
          <w:trHeight w:val="117"/>
        </w:trPr>
        <w:tc>
          <w:tcPr>
            <w:tcW w:w="7500" w:type="dxa"/>
            <w:vAlign w:val="bottom"/>
          </w:tcPr>
          <w:p>
            <w:pPr>
              <w:ind w:left="60"/>
              <w:spacing w:after="0" w:line="117" w:lineRule="exact"/>
              <w:rPr>
                <w:sz w:val="20"/>
                <w:szCs w:val="20"/>
                <w:color w:val="auto"/>
              </w:rPr>
            </w:pPr>
            <w:r>
              <w:rPr>
                <w:rFonts w:ascii="Times New Roman" w:cs="Times New Roman" w:eastAsia="Times New Roman" w:hAnsi="Times New Roman"/>
                <w:sz w:val="11"/>
                <w:szCs w:val="11"/>
                <w:color w:val="auto"/>
              </w:rPr>
              <w:t>Changes in assets and liabilities:</w:t>
            </w:r>
          </w:p>
        </w:tc>
        <w:tc>
          <w:tcPr>
            <w:tcW w:w="1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17"/>
        </w:trPr>
        <w:tc>
          <w:tcPr>
            <w:tcW w:w="7500" w:type="dxa"/>
            <w:vAlign w:val="bottom"/>
            <w:shd w:val="clear" w:color="auto" w:fill="CCEEFF"/>
          </w:tcPr>
          <w:p>
            <w:pPr>
              <w:ind w:left="140"/>
              <w:spacing w:after="0" w:line="117" w:lineRule="exact"/>
              <w:rPr>
                <w:sz w:val="20"/>
                <w:szCs w:val="20"/>
                <w:color w:val="auto"/>
              </w:rPr>
            </w:pPr>
            <w:r>
              <w:rPr>
                <w:rFonts w:ascii="Times New Roman" w:cs="Times New Roman" w:eastAsia="Times New Roman" w:hAnsi="Times New Roman"/>
                <w:sz w:val="11"/>
                <w:szCs w:val="11"/>
                <w:color w:val="auto"/>
              </w:rPr>
              <w:t>Accounts receivable</w:t>
            </w:r>
          </w:p>
        </w:tc>
        <w:tc>
          <w:tcPr>
            <w:tcW w:w="1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440"/>
              <w:spacing w:after="0" w:line="117" w:lineRule="exact"/>
              <w:rPr>
                <w:sz w:val="20"/>
                <w:szCs w:val="20"/>
                <w:color w:val="auto"/>
              </w:rPr>
            </w:pPr>
            <w:r>
              <w:rPr>
                <w:rFonts w:ascii="Times New Roman" w:cs="Times New Roman" w:eastAsia="Times New Roman" w:hAnsi="Times New Roman"/>
                <w:sz w:val="11"/>
                <w:szCs w:val="11"/>
                <w:color w:val="auto"/>
              </w:rPr>
              <w:t>(6,184)</w:t>
            </w:r>
          </w:p>
        </w:tc>
        <w:tc>
          <w:tcPr>
            <w:tcW w:w="48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(3,601)</w:t>
            </w:r>
          </w:p>
        </w:tc>
      </w:tr>
      <w:tr>
        <w:trPr>
          <w:trHeight w:val="117"/>
        </w:trPr>
        <w:tc>
          <w:tcPr>
            <w:tcW w:w="7500" w:type="dxa"/>
            <w:vAlign w:val="bottom"/>
          </w:tcPr>
          <w:p>
            <w:pPr>
              <w:ind w:left="140"/>
              <w:spacing w:after="0" w:line="117" w:lineRule="exact"/>
              <w:rPr>
                <w:sz w:val="20"/>
                <w:szCs w:val="20"/>
                <w:color w:val="auto"/>
              </w:rPr>
            </w:pPr>
            <w:r>
              <w:rPr>
                <w:rFonts w:ascii="Times New Roman" w:cs="Times New Roman" w:eastAsia="Times New Roman" w:hAnsi="Times New Roman"/>
                <w:sz w:val="11"/>
                <w:szCs w:val="11"/>
                <w:color w:val="auto"/>
              </w:rPr>
              <w:t>Prepaid expenses and other current assets</w:t>
            </w:r>
          </w:p>
        </w:tc>
        <w:tc>
          <w:tcPr>
            <w:tcW w:w="1140" w:type="dxa"/>
            <w:vAlign w:val="bottom"/>
          </w:tcPr>
          <w:p>
            <w:pPr>
              <w:spacing w:after="0"/>
              <w:rPr>
                <w:sz w:val="10"/>
                <w:szCs w:val="10"/>
                <w:color w:val="auto"/>
              </w:rPr>
            </w:pPr>
          </w:p>
        </w:tc>
        <w:tc>
          <w:tcPr>
            <w:tcW w:w="1000" w:type="dxa"/>
            <w:vAlign w:val="bottom"/>
            <w:gridSpan w:val="2"/>
          </w:tcPr>
          <w:p>
            <w:pPr>
              <w:jc w:val="right"/>
              <w:ind w:right="440"/>
              <w:spacing w:after="0" w:line="117" w:lineRule="exact"/>
              <w:rPr>
                <w:sz w:val="20"/>
                <w:szCs w:val="20"/>
                <w:color w:val="auto"/>
              </w:rPr>
            </w:pPr>
            <w:r>
              <w:rPr>
                <w:rFonts w:ascii="Times New Roman" w:cs="Times New Roman" w:eastAsia="Times New Roman" w:hAnsi="Times New Roman"/>
                <w:sz w:val="11"/>
                <w:szCs w:val="11"/>
                <w:color w:val="auto"/>
              </w:rPr>
              <w:t>(3,912)</w:t>
            </w:r>
          </w:p>
        </w:tc>
        <w:tc>
          <w:tcPr>
            <w:tcW w:w="480" w:type="dxa"/>
            <w:vAlign w:val="bottom"/>
          </w:tcPr>
          <w:p>
            <w:pPr>
              <w:spacing w:after="0"/>
              <w:rPr>
                <w:sz w:val="10"/>
                <w:szCs w:val="10"/>
                <w:color w:val="auto"/>
              </w:rPr>
            </w:pPr>
          </w:p>
        </w:tc>
        <w:tc>
          <w:tcPr>
            <w:tcW w:w="11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(409)</w:t>
            </w:r>
          </w:p>
        </w:tc>
      </w:tr>
      <w:tr>
        <w:trPr>
          <w:trHeight w:val="117"/>
        </w:trPr>
        <w:tc>
          <w:tcPr>
            <w:tcW w:w="7500" w:type="dxa"/>
            <w:vAlign w:val="bottom"/>
            <w:shd w:val="clear" w:color="auto" w:fill="CCEEFF"/>
          </w:tcPr>
          <w:p>
            <w:pPr>
              <w:ind w:left="140"/>
              <w:spacing w:after="0" w:line="117" w:lineRule="exact"/>
              <w:rPr>
                <w:sz w:val="20"/>
                <w:szCs w:val="20"/>
                <w:color w:val="auto"/>
              </w:rPr>
            </w:pPr>
            <w:r>
              <w:rPr>
                <w:rFonts w:ascii="Times New Roman" w:cs="Times New Roman" w:eastAsia="Times New Roman" w:hAnsi="Times New Roman"/>
                <w:sz w:val="11"/>
                <w:szCs w:val="11"/>
                <w:color w:val="auto"/>
              </w:rPr>
              <w:t>Other non-current assets</w:t>
            </w:r>
          </w:p>
        </w:tc>
        <w:tc>
          <w:tcPr>
            <w:tcW w:w="1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440"/>
              <w:spacing w:after="0" w:line="117" w:lineRule="exact"/>
              <w:rPr>
                <w:sz w:val="20"/>
                <w:szCs w:val="20"/>
                <w:color w:val="auto"/>
              </w:rPr>
            </w:pPr>
            <w:r>
              <w:rPr>
                <w:rFonts w:ascii="Times New Roman" w:cs="Times New Roman" w:eastAsia="Times New Roman" w:hAnsi="Times New Roman"/>
                <w:sz w:val="11"/>
                <w:szCs w:val="11"/>
                <w:color w:val="auto"/>
              </w:rPr>
              <w:t>(1,576)</w:t>
            </w:r>
          </w:p>
        </w:tc>
        <w:tc>
          <w:tcPr>
            <w:tcW w:w="48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(341)</w:t>
            </w:r>
          </w:p>
        </w:tc>
      </w:tr>
      <w:tr>
        <w:trPr>
          <w:trHeight w:val="117"/>
        </w:trPr>
        <w:tc>
          <w:tcPr>
            <w:tcW w:w="7500" w:type="dxa"/>
            <w:vAlign w:val="bottom"/>
          </w:tcPr>
          <w:p>
            <w:pPr>
              <w:ind w:left="140"/>
              <w:spacing w:after="0" w:line="117" w:lineRule="exact"/>
              <w:rPr>
                <w:sz w:val="20"/>
                <w:szCs w:val="20"/>
                <w:color w:val="auto"/>
              </w:rPr>
            </w:pPr>
            <w:r>
              <w:rPr>
                <w:rFonts w:ascii="Times New Roman" w:cs="Times New Roman" w:eastAsia="Times New Roman" w:hAnsi="Times New Roman"/>
                <w:sz w:val="11"/>
                <w:szCs w:val="11"/>
                <w:color w:val="auto"/>
              </w:rPr>
              <w:t>Accounts payable</w:t>
            </w:r>
          </w:p>
        </w:tc>
        <w:tc>
          <w:tcPr>
            <w:tcW w:w="1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1,669</w:t>
            </w: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(1,627)</w:t>
            </w:r>
          </w:p>
        </w:tc>
      </w:tr>
      <w:tr>
        <w:trPr>
          <w:trHeight w:val="117"/>
        </w:trPr>
        <w:tc>
          <w:tcPr>
            <w:tcW w:w="7500" w:type="dxa"/>
            <w:vAlign w:val="bottom"/>
            <w:shd w:val="clear" w:color="auto" w:fill="CCEEFF"/>
          </w:tcPr>
          <w:p>
            <w:pPr>
              <w:ind w:left="140"/>
              <w:spacing w:after="0" w:line="117" w:lineRule="exact"/>
              <w:rPr>
                <w:sz w:val="20"/>
                <w:szCs w:val="20"/>
                <w:color w:val="auto"/>
              </w:rPr>
            </w:pPr>
            <w:r>
              <w:rPr>
                <w:rFonts w:ascii="Times New Roman" w:cs="Times New Roman" w:eastAsia="Times New Roman" w:hAnsi="Times New Roman"/>
                <w:sz w:val="11"/>
                <w:szCs w:val="11"/>
                <w:color w:val="auto"/>
              </w:rPr>
              <w:t>Accrued expenses and other current liabilities</w:t>
            </w:r>
          </w:p>
        </w:tc>
        <w:tc>
          <w:tcPr>
            <w:tcW w:w="1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440"/>
              <w:spacing w:after="0" w:line="117" w:lineRule="exact"/>
              <w:rPr>
                <w:sz w:val="20"/>
                <w:szCs w:val="20"/>
                <w:color w:val="auto"/>
              </w:rPr>
            </w:pPr>
            <w:r>
              <w:rPr>
                <w:rFonts w:ascii="Times New Roman" w:cs="Times New Roman" w:eastAsia="Times New Roman" w:hAnsi="Times New Roman"/>
                <w:sz w:val="11"/>
                <w:szCs w:val="11"/>
                <w:color w:val="auto"/>
              </w:rPr>
              <w:t>(7,393)</w:t>
            </w:r>
          </w:p>
        </w:tc>
        <w:tc>
          <w:tcPr>
            <w:tcW w:w="48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9,301</w:t>
            </w:r>
          </w:p>
        </w:tc>
      </w:tr>
      <w:tr>
        <w:trPr>
          <w:trHeight w:val="117"/>
        </w:trPr>
        <w:tc>
          <w:tcPr>
            <w:tcW w:w="7500" w:type="dxa"/>
            <w:vAlign w:val="bottom"/>
          </w:tcPr>
          <w:p>
            <w:pPr>
              <w:ind w:left="140"/>
              <w:spacing w:after="0" w:line="117" w:lineRule="exact"/>
              <w:rPr>
                <w:sz w:val="20"/>
                <w:szCs w:val="20"/>
                <w:color w:val="auto"/>
              </w:rPr>
            </w:pPr>
            <w:r>
              <w:rPr>
                <w:rFonts w:ascii="Times New Roman" w:cs="Times New Roman" w:eastAsia="Times New Roman" w:hAnsi="Times New Roman"/>
                <w:sz w:val="11"/>
                <w:szCs w:val="11"/>
                <w:color w:val="auto"/>
              </w:rPr>
              <w:t>Operating lease liabilities</w:t>
            </w:r>
          </w:p>
        </w:tc>
        <w:tc>
          <w:tcPr>
            <w:tcW w:w="1140" w:type="dxa"/>
            <w:vAlign w:val="bottom"/>
          </w:tcPr>
          <w:p>
            <w:pPr>
              <w:spacing w:after="0"/>
              <w:rPr>
                <w:sz w:val="10"/>
                <w:szCs w:val="10"/>
                <w:color w:val="auto"/>
              </w:rPr>
            </w:pPr>
          </w:p>
        </w:tc>
        <w:tc>
          <w:tcPr>
            <w:tcW w:w="1000" w:type="dxa"/>
            <w:vAlign w:val="bottom"/>
            <w:gridSpan w:val="2"/>
          </w:tcPr>
          <w:p>
            <w:pPr>
              <w:jc w:val="right"/>
              <w:ind w:right="440"/>
              <w:spacing w:after="0" w:line="117" w:lineRule="exact"/>
              <w:rPr>
                <w:sz w:val="20"/>
                <w:szCs w:val="20"/>
                <w:color w:val="auto"/>
              </w:rPr>
            </w:pPr>
            <w:r>
              <w:rPr>
                <w:rFonts w:ascii="Times New Roman" w:cs="Times New Roman" w:eastAsia="Times New Roman" w:hAnsi="Times New Roman"/>
                <w:sz w:val="11"/>
                <w:szCs w:val="11"/>
                <w:color w:val="auto"/>
              </w:rPr>
              <w:t>(981)</w:t>
            </w:r>
          </w:p>
        </w:tc>
        <w:tc>
          <w:tcPr>
            <w:tcW w:w="480" w:type="dxa"/>
            <w:vAlign w:val="bottom"/>
          </w:tcPr>
          <w:p>
            <w:pPr>
              <w:spacing w:after="0"/>
              <w:rPr>
                <w:sz w:val="10"/>
                <w:szCs w:val="10"/>
                <w:color w:val="auto"/>
              </w:rPr>
            </w:pPr>
          </w:p>
        </w:tc>
        <w:tc>
          <w:tcPr>
            <w:tcW w:w="11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(888)</w:t>
            </w:r>
          </w:p>
        </w:tc>
      </w:tr>
      <w:tr>
        <w:trPr>
          <w:trHeight w:val="117"/>
        </w:trPr>
        <w:tc>
          <w:tcPr>
            <w:tcW w:w="7500" w:type="dxa"/>
            <w:vAlign w:val="bottom"/>
            <w:shd w:val="clear" w:color="auto" w:fill="CCEEFF"/>
          </w:tcPr>
          <w:p>
            <w:pPr>
              <w:ind w:left="140"/>
              <w:spacing w:after="0" w:line="117" w:lineRule="exact"/>
              <w:rPr>
                <w:sz w:val="20"/>
                <w:szCs w:val="20"/>
                <w:color w:val="auto"/>
              </w:rPr>
            </w:pPr>
            <w:r>
              <w:rPr>
                <w:rFonts w:ascii="Times New Roman" w:cs="Times New Roman" w:eastAsia="Times New Roman" w:hAnsi="Times New Roman"/>
                <w:sz w:val="11"/>
                <w:szCs w:val="11"/>
                <w:color w:val="auto"/>
              </w:rPr>
              <w:t>Other non-current liabilities</w:t>
            </w:r>
          </w:p>
        </w:tc>
        <w:tc>
          <w:tcPr>
            <w:tcW w:w="114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19</w:t>
            </w:r>
          </w:p>
        </w:tc>
        <w:tc>
          <w:tcPr>
            <w:tcW w:w="46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34</w:t>
            </w:r>
          </w:p>
        </w:tc>
      </w:tr>
      <w:tr>
        <w:trPr>
          <w:trHeight w:val="106"/>
        </w:trPr>
        <w:tc>
          <w:tcPr>
            <w:tcW w:w="7500" w:type="dxa"/>
            <w:vAlign w:val="bottom"/>
            <w:tcBorders>
              <w:bottom w:val="single" w:sz="8" w:color="CCEEFF"/>
            </w:tcBorders>
          </w:tcPr>
          <w:p>
            <w:pPr>
              <w:ind w:left="200"/>
              <w:spacing w:after="0" w:line="106" w:lineRule="exact"/>
              <w:rPr>
                <w:sz w:val="20"/>
                <w:szCs w:val="20"/>
                <w:color w:val="auto"/>
              </w:rPr>
            </w:pPr>
            <w:r>
              <w:rPr>
                <w:rFonts w:ascii="Times New Roman" w:cs="Times New Roman" w:eastAsia="Times New Roman" w:hAnsi="Times New Roman"/>
                <w:sz w:val="11"/>
                <w:szCs w:val="11"/>
                <w:color w:val="auto"/>
              </w:rPr>
              <w:t>Net cash used in operating activities</w:t>
            </w:r>
          </w:p>
        </w:tc>
        <w:tc>
          <w:tcPr>
            <w:tcW w:w="1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(30,104)</w:t>
            </w:r>
          </w:p>
        </w:tc>
        <w:tc>
          <w:tcPr>
            <w:tcW w:w="460" w:type="dxa"/>
            <w:vAlign w:val="bottom"/>
            <w:tcBorders>
              <w:bottom w:val="single" w:sz="8" w:color="CCEEFF"/>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(13,166)</w:t>
            </w:r>
          </w:p>
        </w:tc>
      </w:tr>
      <w:tr>
        <w:trPr>
          <w:trHeight w:val="106"/>
        </w:trPr>
        <w:tc>
          <w:tcPr>
            <w:tcW w:w="75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1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r>
      <w:tr>
        <w:trPr>
          <w:trHeight w:val="117"/>
        </w:trPr>
        <w:tc>
          <w:tcPr>
            <w:tcW w:w="750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Purchase of property and equipment</w:t>
            </w:r>
          </w:p>
        </w:tc>
        <w:tc>
          <w:tcPr>
            <w:tcW w:w="1140" w:type="dxa"/>
            <w:vAlign w:val="bottom"/>
          </w:tcPr>
          <w:p>
            <w:pPr>
              <w:spacing w:after="0"/>
              <w:rPr>
                <w:sz w:val="10"/>
                <w:szCs w:val="10"/>
                <w:color w:val="auto"/>
              </w:rPr>
            </w:pPr>
          </w:p>
        </w:tc>
        <w:tc>
          <w:tcPr>
            <w:tcW w:w="1000" w:type="dxa"/>
            <w:vAlign w:val="bottom"/>
            <w:gridSpan w:val="2"/>
          </w:tcPr>
          <w:p>
            <w:pPr>
              <w:jc w:val="right"/>
              <w:ind w:right="440"/>
              <w:spacing w:after="0" w:line="117" w:lineRule="exact"/>
              <w:rPr>
                <w:sz w:val="20"/>
                <w:szCs w:val="20"/>
                <w:color w:val="auto"/>
              </w:rPr>
            </w:pPr>
            <w:r>
              <w:rPr>
                <w:rFonts w:ascii="Times New Roman" w:cs="Times New Roman" w:eastAsia="Times New Roman" w:hAnsi="Times New Roman"/>
                <w:sz w:val="11"/>
                <w:szCs w:val="11"/>
                <w:color w:val="auto"/>
              </w:rPr>
              <w:t>(1,889)</w:t>
            </w:r>
          </w:p>
        </w:tc>
        <w:tc>
          <w:tcPr>
            <w:tcW w:w="480" w:type="dxa"/>
            <w:vAlign w:val="bottom"/>
          </w:tcPr>
          <w:p>
            <w:pPr>
              <w:spacing w:after="0"/>
              <w:rPr>
                <w:sz w:val="10"/>
                <w:szCs w:val="10"/>
                <w:color w:val="auto"/>
              </w:rPr>
            </w:pPr>
          </w:p>
        </w:tc>
        <w:tc>
          <w:tcPr>
            <w:tcW w:w="11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(1,101)</w:t>
            </w:r>
          </w:p>
        </w:tc>
      </w:tr>
      <w:tr>
        <w:trPr>
          <w:trHeight w:val="117"/>
        </w:trPr>
        <w:tc>
          <w:tcPr>
            <w:tcW w:w="75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Purchase of investments</w:t>
            </w:r>
          </w:p>
        </w:tc>
        <w:tc>
          <w:tcPr>
            <w:tcW w:w="1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440"/>
              <w:spacing w:after="0" w:line="117" w:lineRule="exact"/>
              <w:rPr>
                <w:sz w:val="20"/>
                <w:szCs w:val="20"/>
                <w:color w:val="auto"/>
              </w:rPr>
            </w:pPr>
            <w:r>
              <w:rPr>
                <w:rFonts w:ascii="Times New Roman" w:cs="Times New Roman" w:eastAsia="Times New Roman" w:hAnsi="Times New Roman"/>
                <w:sz w:val="11"/>
                <w:szCs w:val="11"/>
                <w:color w:val="auto"/>
              </w:rPr>
              <w:t>(29,538)</w:t>
            </w:r>
          </w:p>
        </w:tc>
        <w:tc>
          <w:tcPr>
            <w:tcW w:w="48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r>
      <w:tr>
        <w:trPr>
          <w:trHeight w:val="117"/>
        </w:trPr>
        <w:tc>
          <w:tcPr>
            <w:tcW w:w="7500" w:type="dxa"/>
            <w:vAlign w:val="bottom"/>
            <w:tcBorders>
              <w:bottom w:val="single" w:sz="8" w:color="CCEEFF"/>
            </w:tcBorders>
          </w:tcPr>
          <w:p>
            <w:pPr>
              <w:spacing w:after="0" w:line="117" w:lineRule="exact"/>
              <w:rPr>
                <w:sz w:val="20"/>
                <w:szCs w:val="20"/>
                <w:color w:val="auto"/>
              </w:rPr>
            </w:pPr>
            <w:r>
              <w:rPr>
                <w:rFonts w:ascii="Times New Roman" w:cs="Times New Roman" w:eastAsia="Times New Roman" w:hAnsi="Times New Roman"/>
                <w:sz w:val="11"/>
                <w:szCs w:val="11"/>
                <w:color w:val="auto"/>
              </w:rPr>
              <w:t>Maturities of investments</w:t>
            </w:r>
          </w:p>
        </w:tc>
        <w:tc>
          <w:tcPr>
            <w:tcW w:w="1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30,000</w:t>
            </w:r>
          </w:p>
        </w:tc>
        <w:tc>
          <w:tcPr>
            <w:tcW w:w="46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r>
      <w:tr>
        <w:trPr>
          <w:trHeight w:val="106"/>
        </w:trPr>
        <w:tc>
          <w:tcPr>
            <w:tcW w:w="7500" w:type="dxa"/>
            <w:vAlign w:val="bottom"/>
            <w:shd w:val="clear" w:color="auto" w:fill="CCEEFF"/>
          </w:tcPr>
          <w:p>
            <w:pPr>
              <w:ind w:left="200"/>
              <w:spacing w:after="0" w:line="106" w:lineRule="exact"/>
              <w:rPr>
                <w:sz w:val="20"/>
                <w:szCs w:val="20"/>
                <w:color w:val="auto"/>
              </w:rPr>
            </w:pPr>
            <w:r>
              <w:rPr>
                <w:rFonts w:ascii="Times New Roman" w:cs="Times New Roman" w:eastAsia="Times New Roman" w:hAnsi="Times New Roman"/>
                <w:sz w:val="11"/>
                <w:szCs w:val="11"/>
                <w:color w:val="auto"/>
              </w:rPr>
              <w:t>Net cash used in investing activities</w:t>
            </w:r>
          </w:p>
        </w:tc>
        <w:tc>
          <w:tcPr>
            <w:tcW w:w="1140" w:type="dxa"/>
            <w:vAlign w:val="bottom"/>
            <w:tcBorders>
              <w:bottom w:val="single" w:sz="8" w:color="auto"/>
            </w:tcBorders>
            <w:shd w:val="clear" w:color="auto" w:fill="CCEEFF"/>
          </w:tcPr>
          <w:p>
            <w:pPr>
              <w:spacing w:after="0"/>
              <w:rPr>
                <w:sz w:val="9"/>
                <w:szCs w:val="9"/>
                <w:color w:val="auto"/>
              </w:rPr>
            </w:pPr>
          </w:p>
        </w:tc>
        <w:tc>
          <w:tcPr>
            <w:tcW w:w="54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(1,427)</w:t>
            </w:r>
          </w:p>
        </w:tc>
        <w:tc>
          <w:tcPr>
            <w:tcW w:w="460" w:type="dxa"/>
            <w:vAlign w:val="bottom"/>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spacing w:after="0"/>
              <w:rPr>
                <w:sz w:val="9"/>
                <w:szCs w:val="9"/>
                <w:color w:val="auto"/>
              </w:rPr>
            </w:pPr>
          </w:p>
        </w:tc>
        <w:tc>
          <w:tcPr>
            <w:tcW w:w="118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(1,101)</w:t>
            </w:r>
          </w:p>
        </w:tc>
      </w:tr>
      <w:tr>
        <w:trPr>
          <w:trHeight w:val="106"/>
        </w:trPr>
        <w:tc>
          <w:tcPr>
            <w:tcW w:w="7500" w:type="dxa"/>
            <w:vAlign w:val="bottom"/>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1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117"/>
        </w:trPr>
        <w:tc>
          <w:tcPr>
            <w:tcW w:w="75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Proceeds from convertible notes offering, net of issuance costs</w:t>
            </w:r>
          </w:p>
        </w:tc>
        <w:tc>
          <w:tcPr>
            <w:tcW w:w="1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4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73,860</w:t>
            </w:r>
          </w:p>
        </w:tc>
      </w:tr>
      <w:tr>
        <w:trPr>
          <w:trHeight w:val="117"/>
        </w:trPr>
        <w:tc>
          <w:tcPr>
            <w:tcW w:w="750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Proceeds from exercise of stock options</w:t>
            </w:r>
          </w:p>
        </w:tc>
        <w:tc>
          <w:tcPr>
            <w:tcW w:w="1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3,342</w:t>
            </w: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578</w:t>
            </w:r>
          </w:p>
        </w:tc>
      </w:tr>
      <w:tr>
        <w:trPr>
          <w:trHeight w:val="117"/>
        </w:trPr>
        <w:tc>
          <w:tcPr>
            <w:tcW w:w="75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Issuance of common stock under employee stock purchase plan</w:t>
            </w:r>
          </w:p>
        </w:tc>
        <w:tc>
          <w:tcPr>
            <w:tcW w:w="1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3,288</w:t>
            </w:r>
          </w:p>
        </w:tc>
        <w:tc>
          <w:tcPr>
            <w:tcW w:w="4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r>
      <w:tr>
        <w:trPr>
          <w:trHeight w:val="117"/>
        </w:trPr>
        <w:tc>
          <w:tcPr>
            <w:tcW w:w="750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Payments of exit, prepayment penalty and lender fees</w:t>
            </w:r>
          </w:p>
        </w:tc>
        <w:tc>
          <w:tcPr>
            <w:tcW w:w="1140" w:type="dxa"/>
            <w:vAlign w:val="bottom"/>
          </w:tcPr>
          <w:p>
            <w:pPr>
              <w:spacing w:after="0"/>
              <w:rPr>
                <w:sz w:val="10"/>
                <w:szCs w:val="10"/>
                <w:color w:val="auto"/>
              </w:rPr>
            </w:pPr>
          </w:p>
        </w:tc>
        <w:tc>
          <w:tcPr>
            <w:tcW w:w="1000" w:type="dxa"/>
            <w:vAlign w:val="bottom"/>
            <w:gridSpan w:val="2"/>
          </w:tcPr>
          <w:p>
            <w:pPr>
              <w:jc w:val="right"/>
              <w:ind w:right="4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spacing w:after="0"/>
              <w:rPr>
                <w:sz w:val="10"/>
                <w:szCs w:val="10"/>
                <w:color w:val="auto"/>
              </w:rPr>
            </w:pPr>
          </w:p>
        </w:tc>
        <w:tc>
          <w:tcPr>
            <w:tcW w:w="11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(518)</w:t>
            </w:r>
          </w:p>
        </w:tc>
      </w:tr>
      <w:tr>
        <w:trPr>
          <w:trHeight w:val="117"/>
        </w:trPr>
        <w:tc>
          <w:tcPr>
            <w:tcW w:w="75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Payment of taxes related to vested restricted stock units</w:t>
            </w:r>
          </w:p>
        </w:tc>
        <w:tc>
          <w:tcPr>
            <w:tcW w:w="1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440"/>
              <w:spacing w:after="0" w:line="117" w:lineRule="exact"/>
              <w:rPr>
                <w:sz w:val="20"/>
                <w:szCs w:val="20"/>
                <w:color w:val="auto"/>
              </w:rPr>
            </w:pPr>
            <w:r>
              <w:rPr>
                <w:rFonts w:ascii="Times New Roman" w:cs="Times New Roman" w:eastAsia="Times New Roman" w:hAnsi="Times New Roman"/>
                <w:sz w:val="11"/>
                <w:szCs w:val="11"/>
                <w:color w:val="auto"/>
              </w:rPr>
              <w:t>(473)</w:t>
            </w:r>
          </w:p>
        </w:tc>
        <w:tc>
          <w:tcPr>
            <w:tcW w:w="48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r>
      <w:tr>
        <w:trPr>
          <w:trHeight w:val="117"/>
        </w:trPr>
        <w:tc>
          <w:tcPr>
            <w:tcW w:w="750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Payment of deferred offering costs</w:t>
            </w:r>
          </w:p>
        </w:tc>
        <w:tc>
          <w:tcPr>
            <w:tcW w:w="1140" w:type="dxa"/>
            <w:vAlign w:val="bottom"/>
          </w:tcPr>
          <w:p>
            <w:pPr>
              <w:spacing w:after="0"/>
              <w:rPr>
                <w:sz w:val="10"/>
                <w:szCs w:val="10"/>
                <w:color w:val="auto"/>
              </w:rPr>
            </w:pPr>
          </w:p>
        </w:tc>
        <w:tc>
          <w:tcPr>
            <w:tcW w:w="1000" w:type="dxa"/>
            <w:vAlign w:val="bottom"/>
            <w:gridSpan w:val="2"/>
          </w:tcPr>
          <w:p>
            <w:pPr>
              <w:jc w:val="right"/>
              <w:ind w:right="4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spacing w:after="0"/>
              <w:rPr>
                <w:sz w:val="10"/>
                <w:szCs w:val="10"/>
                <w:color w:val="auto"/>
              </w:rPr>
            </w:pPr>
          </w:p>
        </w:tc>
        <w:tc>
          <w:tcPr>
            <w:tcW w:w="11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(998)</w:t>
            </w:r>
          </w:p>
        </w:tc>
      </w:tr>
      <w:tr>
        <w:trPr>
          <w:trHeight w:val="106"/>
        </w:trPr>
        <w:tc>
          <w:tcPr>
            <w:tcW w:w="7500" w:type="dxa"/>
            <w:vAlign w:val="bottom"/>
            <w:tcBorders>
              <w:top w:val="single" w:sz="8" w:color="CCEEFF"/>
            </w:tcBorders>
            <w:shd w:val="clear" w:color="auto" w:fill="CCEEFF"/>
          </w:tcPr>
          <w:p>
            <w:pPr>
              <w:ind w:left="200"/>
              <w:spacing w:after="0" w:line="106" w:lineRule="exact"/>
              <w:rPr>
                <w:sz w:val="20"/>
                <w:szCs w:val="20"/>
                <w:color w:val="auto"/>
              </w:rPr>
            </w:pPr>
            <w:r>
              <w:rPr>
                <w:rFonts w:ascii="Times New Roman" w:cs="Times New Roman" w:eastAsia="Times New Roman" w:hAnsi="Times New Roman"/>
                <w:sz w:val="11"/>
                <w:szCs w:val="11"/>
                <w:color w:val="auto"/>
              </w:rPr>
              <w:t>Net cash provided by financing activities</w:t>
            </w:r>
          </w:p>
        </w:tc>
        <w:tc>
          <w:tcPr>
            <w:tcW w:w="1140" w:type="dxa"/>
            <w:vAlign w:val="bottom"/>
            <w:tcBorders>
              <w:top w:val="single" w:sz="8" w:color="auto"/>
              <w:bottom w:val="single" w:sz="8" w:color="auto"/>
            </w:tcBorders>
            <w:shd w:val="clear" w:color="auto" w:fill="CCEEFF"/>
          </w:tcPr>
          <w:p>
            <w:pPr>
              <w:spacing w:after="0"/>
              <w:rPr>
                <w:sz w:val="9"/>
                <w:szCs w:val="9"/>
                <w:color w:val="auto"/>
              </w:rPr>
            </w:pPr>
          </w:p>
        </w:tc>
        <w:tc>
          <w:tcPr>
            <w:tcW w:w="54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6,157</w:t>
            </w:r>
          </w:p>
        </w:tc>
        <w:tc>
          <w:tcPr>
            <w:tcW w:w="4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bottom w:val="single" w:sz="8" w:color="auto"/>
            </w:tcBorders>
            <w:shd w:val="clear" w:color="auto" w:fill="CCEEFF"/>
          </w:tcPr>
          <w:p>
            <w:pPr>
              <w:spacing w:after="0"/>
              <w:rPr>
                <w:sz w:val="9"/>
                <w:szCs w:val="9"/>
                <w:color w:val="auto"/>
              </w:rPr>
            </w:pPr>
          </w:p>
        </w:tc>
        <w:tc>
          <w:tcPr>
            <w:tcW w:w="118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72,922</w:t>
            </w:r>
          </w:p>
        </w:tc>
      </w:tr>
      <w:tr>
        <w:trPr>
          <w:trHeight w:val="106"/>
        </w:trPr>
        <w:tc>
          <w:tcPr>
            <w:tcW w:w="750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Effect of foreign exchange rates</w:t>
            </w:r>
          </w:p>
        </w:tc>
        <w:tc>
          <w:tcPr>
            <w:tcW w:w="1140" w:type="dxa"/>
            <w:vAlign w:val="bottom"/>
          </w:tcPr>
          <w:p>
            <w:pPr>
              <w:spacing w:after="0"/>
              <w:rPr>
                <w:sz w:val="9"/>
                <w:szCs w:val="9"/>
                <w:color w:val="auto"/>
              </w:rPr>
            </w:pP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262</w:t>
            </w: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8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(236)</w:t>
            </w:r>
          </w:p>
        </w:tc>
      </w:tr>
      <w:tr>
        <w:trPr>
          <w:trHeight w:val="117"/>
        </w:trPr>
        <w:tc>
          <w:tcPr>
            <w:tcW w:w="7500" w:type="dxa"/>
            <w:vAlign w:val="bottom"/>
            <w:shd w:val="clear" w:color="auto" w:fill="CCEEFF"/>
          </w:tcPr>
          <w:p>
            <w:pPr>
              <w:ind w:left="60"/>
              <w:spacing w:after="0" w:line="117" w:lineRule="exact"/>
              <w:rPr>
                <w:sz w:val="20"/>
                <w:szCs w:val="20"/>
                <w:color w:val="auto"/>
              </w:rPr>
            </w:pPr>
            <w:r>
              <w:rPr>
                <w:rFonts w:ascii="Times New Roman" w:cs="Times New Roman" w:eastAsia="Times New Roman" w:hAnsi="Times New Roman"/>
                <w:sz w:val="11"/>
                <w:szCs w:val="11"/>
                <w:color w:val="auto"/>
              </w:rPr>
              <w:t>Net increase (decrease) in cash and cash equivalents</w:t>
            </w:r>
          </w:p>
        </w:tc>
        <w:tc>
          <w:tcPr>
            <w:tcW w:w="1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440"/>
              <w:spacing w:after="0" w:line="117" w:lineRule="exact"/>
              <w:rPr>
                <w:sz w:val="20"/>
                <w:szCs w:val="20"/>
                <w:color w:val="auto"/>
              </w:rPr>
            </w:pPr>
            <w:r>
              <w:rPr>
                <w:rFonts w:ascii="Times New Roman" w:cs="Times New Roman" w:eastAsia="Times New Roman" w:hAnsi="Times New Roman"/>
                <w:sz w:val="11"/>
                <w:szCs w:val="11"/>
                <w:color w:val="auto"/>
              </w:rPr>
              <w:t>(25,112)</w:t>
            </w:r>
          </w:p>
        </w:tc>
        <w:tc>
          <w:tcPr>
            <w:tcW w:w="48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58,419</w:t>
            </w:r>
          </w:p>
        </w:tc>
      </w:tr>
      <w:tr>
        <w:trPr>
          <w:trHeight w:val="117"/>
        </w:trPr>
        <w:tc>
          <w:tcPr>
            <w:tcW w:w="7500" w:type="dxa"/>
            <w:vAlign w:val="bottom"/>
            <w:tcBorders>
              <w:bottom w:val="single" w:sz="8" w:color="CCEEFF"/>
            </w:tcBorders>
          </w:tcPr>
          <w:p>
            <w:pPr>
              <w:ind w:left="60"/>
              <w:spacing w:after="0" w:line="117" w:lineRule="exact"/>
              <w:rPr>
                <w:sz w:val="20"/>
                <w:szCs w:val="20"/>
                <w:color w:val="auto"/>
              </w:rPr>
            </w:pPr>
            <w:r>
              <w:rPr>
                <w:rFonts w:ascii="Times New Roman" w:cs="Times New Roman" w:eastAsia="Times New Roman" w:hAnsi="Times New Roman"/>
                <w:sz w:val="11"/>
                <w:szCs w:val="11"/>
                <w:color w:val="auto"/>
              </w:rPr>
              <w:t>Balance, beginning of period</w:t>
            </w:r>
          </w:p>
        </w:tc>
        <w:tc>
          <w:tcPr>
            <w:tcW w:w="1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49,485</w:t>
            </w:r>
          </w:p>
        </w:tc>
        <w:tc>
          <w:tcPr>
            <w:tcW w:w="46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55,842</w:t>
            </w:r>
          </w:p>
        </w:tc>
      </w:tr>
      <w:tr>
        <w:trPr>
          <w:trHeight w:val="113"/>
        </w:trPr>
        <w:tc>
          <w:tcPr>
            <w:tcW w:w="7500" w:type="dxa"/>
            <w:vAlign w:val="bottom"/>
            <w:tcBorders>
              <w:bottom w:val="single" w:sz="8" w:color="CCEEFF"/>
            </w:tcBorders>
            <w:shd w:val="clear" w:color="auto" w:fill="CCEEFF"/>
          </w:tcPr>
          <w:p>
            <w:pPr>
              <w:ind w:left="60"/>
              <w:spacing w:after="0" w:line="106" w:lineRule="exact"/>
              <w:rPr>
                <w:sz w:val="20"/>
                <w:szCs w:val="20"/>
                <w:color w:val="auto"/>
              </w:rPr>
            </w:pPr>
            <w:r>
              <w:rPr>
                <w:rFonts w:ascii="Times New Roman" w:cs="Times New Roman" w:eastAsia="Times New Roman" w:hAnsi="Times New Roman"/>
                <w:sz w:val="11"/>
                <w:szCs w:val="11"/>
                <w:color w:val="auto"/>
              </w:rPr>
              <w:t>Balance, end of period</w:t>
            </w:r>
          </w:p>
        </w:tc>
        <w:tc>
          <w:tcPr>
            <w:tcW w:w="1140" w:type="dxa"/>
            <w:vAlign w:val="bottom"/>
            <w:tcBorders>
              <w:bottom w:val="single" w:sz="8" w:color="auto"/>
            </w:tcBorders>
            <w:shd w:val="clear" w:color="auto" w:fill="CCEEFF"/>
          </w:tcPr>
          <w:p>
            <w:pPr>
              <w:jc w:val="right"/>
              <w:ind w:right="10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24,373</w:t>
            </w:r>
          </w:p>
        </w:tc>
        <w:tc>
          <w:tcPr>
            <w:tcW w:w="460" w:type="dxa"/>
            <w:vAlign w:val="bottom"/>
            <w:tcBorders>
              <w:bottom w:val="single" w:sz="8" w:color="CCEEFF"/>
            </w:tcBorders>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jc w:val="right"/>
              <w:ind w:right="36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114,261</w:t>
            </w:r>
          </w:p>
        </w:tc>
      </w:tr>
      <w:tr>
        <w:trPr>
          <w:trHeight w:val="117"/>
        </w:trPr>
        <w:tc>
          <w:tcPr>
            <w:tcW w:w="75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17"/>
        </w:trPr>
        <w:tc>
          <w:tcPr>
            <w:tcW w:w="75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Supplemental disclosure of cash flow information:</w:t>
            </w:r>
          </w:p>
        </w:tc>
        <w:tc>
          <w:tcPr>
            <w:tcW w:w="1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117"/>
        </w:trPr>
        <w:tc>
          <w:tcPr>
            <w:tcW w:w="750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Cash paid for interest</w:t>
            </w:r>
          </w:p>
        </w:tc>
        <w:tc>
          <w:tcPr>
            <w:tcW w:w="1140" w:type="dxa"/>
            <w:vAlign w:val="bottom"/>
          </w:tcPr>
          <w:p>
            <w:pPr>
              <w:jc w:val="right"/>
              <w:ind w:right="102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4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36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3,439</w:t>
            </w:r>
          </w:p>
        </w:tc>
      </w:tr>
      <w:tr>
        <w:trPr>
          <w:trHeight w:val="117"/>
        </w:trPr>
        <w:tc>
          <w:tcPr>
            <w:tcW w:w="75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Supplemental disclosure of non-cash investing and financing activities:</w:t>
            </w:r>
          </w:p>
        </w:tc>
        <w:tc>
          <w:tcPr>
            <w:tcW w:w="1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117"/>
        </w:trPr>
        <w:tc>
          <w:tcPr>
            <w:tcW w:w="750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Purchases of property and equipment included in accounts payable</w:t>
            </w:r>
          </w:p>
        </w:tc>
        <w:tc>
          <w:tcPr>
            <w:tcW w:w="1140" w:type="dxa"/>
            <w:vAlign w:val="bottom"/>
          </w:tcPr>
          <w:p>
            <w:pPr>
              <w:jc w:val="right"/>
              <w:ind w:right="102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912</w:t>
            </w:r>
          </w:p>
        </w:tc>
        <w:tc>
          <w:tcPr>
            <w:tcW w:w="460" w:type="dxa"/>
            <w:vAlign w:val="bottom"/>
          </w:tcPr>
          <w:p>
            <w:pPr>
              <w:spacing w:after="0"/>
              <w:rPr>
                <w:sz w:val="10"/>
                <w:szCs w:val="10"/>
                <w:color w:val="auto"/>
              </w:rPr>
            </w:pPr>
          </w:p>
        </w:tc>
        <w:tc>
          <w:tcPr>
            <w:tcW w:w="480" w:type="dxa"/>
            <w:vAlign w:val="bottom"/>
          </w:tcPr>
          <w:p>
            <w:pPr>
              <w:jc w:val="right"/>
              <w:ind w:right="36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w:t>
            </w:r>
          </w:p>
        </w:tc>
      </w:tr>
      <w:tr>
        <w:trPr>
          <w:trHeight w:val="117"/>
        </w:trPr>
        <w:tc>
          <w:tcPr>
            <w:tcW w:w="75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Right-of-use asset obtained in exchange for lease obligation</w:t>
            </w:r>
          </w:p>
        </w:tc>
        <w:tc>
          <w:tcPr>
            <w:tcW w:w="1140" w:type="dxa"/>
            <w:vAlign w:val="bottom"/>
            <w:shd w:val="clear" w:color="auto" w:fill="CCEEFF"/>
          </w:tcPr>
          <w:p>
            <w:pPr>
              <w:jc w:val="right"/>
              <w:ind w:right="102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5,276</w:t>
            </w:r>
          </w:p>
        </w:tc>
        <w:tc>
          <w:tcPr>
            <w:tcW w:w="46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36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561</w:t>
            </w:r>
          </w:p>
        </w:tc>
      </w:tr>
      <w:tr>
        <w:trPr>
          <w:trHeight w:val="117"/>
        </w:trPr>
        <w:tc>
          <w:tcPr>
            <w:tcW w:w="750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Conversion of term loan principal to convertible notes</w:t>
            </w:r>
          </w:p>
        </w:tc>
        <w:tc>
          <w:tcPr>
            <w:tcW w:w="1140" w:type="dxa"/>
            <w:vAlign w:val="bottom"/>
          </w:tcPr>
          <w:p>
            <w:pPr>
              <w:jc w:val="right"/>
              <w:ind w:right="102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4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36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23,000</w:t>
            </w:r>
          </w:p>
        </w:tc>
      </w:tr>
      <w:tr>
        <w:trPr>
          <w:trHeight w:val="117"/>
        </w:trPr>
        <w:tc>
          <w:tcPr>
            <w:tcW w:w="75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Issuance of convertible notes to certain employees in lieu of cash compensation</w:t>
            </w:r>
          </w:p>
        </w:tc>
        <w:tc>
          <w:tcPr>
            <w:tcW w:w="1140" w:type="dxa"/>
            <w:vAlign w:val="bottom"/>
            <w:shd w:val="clear" w:color="auto" w:fill="CCEEFF"/>
          </w:tcPr>
          <w:p>
            <w:pPr>
              <w:jc w:val="right"/>
              <w:ind w:right="102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4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36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1,353</w:t>
            </w:r>
          </w:p>
        </w:tc>
      </w:tr>
      <w:tr>
        <w:trPr>
          <w:trHeight w:val="117"/>
        </w:trPr>
        <w:tc>
          <w:tcPr>
            <w:tcW w:w="750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Reclassification of term loan debt discount to convertible notes debt discount</w:t>
            </w:r>
          </w:p>
        </w:tc>
        <w:tc>
          <w:tcPr>
            <w:tcW w:w="1140" w:type="dxa"/>
            <w:vAlign w:val="bottom"/>
          </w:tcPr>
          <w:p>
            <w:pPr>
              <w:jc w:val="right"/>
              <w:ind w:right="102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4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36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239</w:t>
            </w:r>
          </w:p>
        </w:tc>
      </w:tr>
      <w:tr>
        <w:trPr>
          <w:trHeight w:val="117"/>
        </w:trPr>
        <w:tc>
          <w:tcPr>
            <w:tcW w:w="75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Unpaid deferred offering costs included in accounts payable and accrued expenses and other current liabilities</w:t>
            </w:r>
          </w:p>
        </w:tc>
        <w:tc>
          <w:tcPr>
            <w:tcW w:w="1140" w:type="dxa"/>
            <w:vAlign w:val="bottom"/>
            <w:shd w:val="clear" w:color="auto" w:fill="CCEEFF"/>
          </w:tcPr>
          <w:p>
            <w:pPr>
              <w:jc w:val="right"/>
              <w:ind w:right="102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4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36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2,325</w:t>
            </w:r>
          </w:p>
        </w:tc>
      </w:tr>
      <w:tr>
        <w:trPr>
          <w:trHeight w:val="140"/>
        </w:trPr>
        <w:tc>
          <w:tcPr>
            <w:tcW w:w="7500" w:type="dxa"/>
            <w:vAlign w:val="bottom"/>
          </w:tcPr>
          <w:p>
            <w:pPr>
              <w:spacing w:after="0"/>
              <w:rPr>
                <w:sz w:val="20"/>
                <w:szCs w:val="20"/>
                <w:color w:val="auto"/>
              </w:rPr>
            </w:pPr>
            <w:r>
              <w:rPr>
                <w:rFonts w:ascii="Times New Roman" w:cs="Times New Roman" w:eastAsia="Times New Roman" w:hAnsi="Times New Roman"/>
                <w:sz w:val="11"/>
                <w:szCs w:val="11"/>
                <w:color w:val="auto"/>
              </w:rPr>
              <w:t>Unpaid convertible notes issuance costs included in accounts payable and accrued expenses and other current liabilities</w:t>
            </w:r>
          </w:p>
        </w:tc>
        <w:tc>
          <w:tcPr>
            <w:tcW w:w="1140" w:type="dxa"/>
            <w:vAlign w:val="bottom"/>
          </w:tcPr>
          <w:p>
            <w:pPr>
              <w:jc w:val="right"/>
              <w:ind w:right="10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1,114</w:t>
            </w:r>
          </w:p>
        </w:tc>
      </w:tr>
    </w:tbl>
    <w:p>
      <w:pPr>
        <w:spacing w:after="0" w:line="1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1"/>
          <w:szCs w:val="11"/>
          <w:i w:val="1"/>
          <w:iCs w:val="1"/>
          <w:color w:val="auto"/>
        </w:rPr>
        <w:t>The accompanying notes are an integral part of these condensed consolidated financial statements.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129540</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jc w:val="center"/>
        <w:spacing w:after="0" w:line="234" w:lineRule="auto"/>
        <w:rPr>
          <w:sz w:val="20"/>
          <w:szCs w:val="20"/>
          <w:color w:val="auto"/>
        </w:rPr>
      </w:pPr>
      <w:r>
        <w:rPr>
          <w:rFonts w:ascii="Times New Roman" w:cs="Times New Roman" w:eastAsia="Times New Roman" w:hAnsi="Times New Roman"/>
          <w:sz w:val="19"/>
          <w:szCs w:val="19"/>
          <w:b w:val="1"/>
          <w:bCs w:val="1"/>
          <w:color w:val="auto"/>
        </w:rPr>
        <w:t>Heartflow, Inc.</w:t>
      </w:r>
    </w:p>
    <w:p>
      <w:pPr>
        <w:jc w:val="center"/>
        <w:spacing w:after="0" w:line="220" w:lineRule="auto"/>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Business Overview</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Description of Business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Heartflow, Inc. (the “Company”) was incorporated in the state of Delaware in July 2007.</w:t>
      </w:r>
    </w:p>
    <w:p>
      <w:pPr>
        <w:spacing w:after="0" w:line="123" w:lineRule="exact"/>
        <w:rPr>
          <w:sz w:val="20"/>
          <w:szCs w:val="20"/>
          <w:color w:val="auto"/>
        </w:rPr>
      </w:pPr>
    </w:p>
    <w:p>
      <w:pPr>
        <w:jc w:val="both"/>
        <w:ind w:right="60"/>
        <w:spacing w:after="0" w:line="222" w:lineRule="auto"/>
        <w:rPr>
          <w:sz w:val="20"/>
          <w:szCs w:val="20"/>
          <w:color w:val="auto"/>
        </w:rPr>
      </w:pPr>
      <w:r>
        <w:rPr>
          <w:rFonts w:ascii="Times New Roman" w:cs="Times New Roman" w:eastAsia="Times New Roman" w:hAnsi="Times New Roman"/>
          <w:sz w:val="11"/>
          <w:szCs w:val="11"/>
          <w:color w:val="auto"/>
        </w:rPr>
        <w:t>The Company is a commercial-stage medical technology company that provides software and artificial intelligence (“AI”) designed to deliver a non-invasive solution for diagnosing and managing coronary artery disease (“CAD”). The Company’s novel Heartflow Platform uses AI and advanced computational fluid dynamics to create a personalized 3D model of a patient’s heart based on a single coronary computed tomography angiography (“CCTA”). This results in actionable data on blood flow, stenosis, plaque volume and plaque composition. The Company’s Heartflow FFR</w:t>
      </w:r>
      <w:r>
        <w:rPr>
          <w:rFonts w:ascii="Times New Roman" w:cs="Times New Roman" w:eastAsia="Times New Roman" w:hAnsi="Times New Roman"/>
          <w:sz w:val="18"/>
          <w:szCs w:val="18"/>
          <w:color w:val="auto"/>
          <w:vertAlign w:val="subscript"/>
        </w:rPr>
        <w:t>CT</w:t>
      </w:r>
      <w:r>
        <w:rPr>
          <w:rFonts w:ascii="Times New Roman" w:cs="Times New Roman" w:eastAsia="Times New Roman" w:hAnsi="Times New Roman"/>
          <w:sz w:val="11"/>
          <w:szCs w:val="11"/>
          <w:color w:val="auto"/>
        </w:rPr>
        <w:t xml:space="preserve"> Analysis and Plaque Analysis software assists physicians in diagnosing, managing and delivering precision care to</w:t>
      </w:r>
    </w:p>
    <w:p>
      <w:pPr>
        <w:spacing w:after="0" w:line="1" w:lineRule="exact"/>
        <w:rPr>
          <w:sz w:val="20"/>
          <w:szCs w:val="20"/>
          <w:color w:val="auto"/>
        </w:rPr>
      </w:pPr>
    </w:p>
    <w:p>
      <w:pPr>
        <w:ind w:right="80"/>
        <w:spacing w:after="0" w:line="183" w:lineRule="auto"/>
        <w:rPr>
          <w:sz w:val="20"/>
          <w:szCs w:val="20"/>
          <w:color w:val="auto"/>
        </w:rPr>
      </w:pPr>
      <w:r>
        <w:rPr>
          <w:rFonts w:ascii="Times New Roman" w:cs="Times New Roman" w:eastAsia="Times New Roman" w:hAnsi="Times New Roman"/>
          <w:sz w:val="11"/>
          <w:szCs w:val="11"/>
          <w:color w:val="auto"/>
        </w:rPr>
        <w:t>patients with CAD. The Company was awarded Conformité Européene Mark for its Heartflow FFR</w:t>
      </w:r>
      <w:r>
        <w:rPr>
          <w:rFonts w:ascii="Times New Roman" w:cs="Times New Roman" w:eastAsia="Times New Roman" w:hAnsi="Times New Roman"/>
          <w:sz w:val="18"/>
          <w:szCs w:val="18"/>
          <w:color w:val="auto"/>
          <w:vertAlign w:val="subscript"/>
        </w:rPr>
        <w:t>CT</w:t>
      </w:r>
      <w:r>
        <w:rPr>
          <w:rFonts w:ascii="Times New Roman" w:cs="Times New Roman" w:eastAsia="Times New Roman" w:hAnsi="Times New Roman"/>
          <w:sz w:val="11"/>
          <w:szCs w:val="11"/>
          <w:color w:val="auto"/>
        </w:rPr>
        <w:t xml:space="preserve"> Analysis in July 2011. The Company received clearance from the U.S. Food and Drug Administration (“FDA”) in November 2014 for its Heartflow FFR</w:t>
      </w:r>
      <w:r>
        <w:rPr>
          <w:rFonts w:ascii="Times New Roman" w:cs="Times New Roman" w:eastAsia="Times New Roman" w:hAnsi="Times New Roman"/>
          <w:sz w:val="18"/>
          <w:szCs w:val="18"/>
          <w:color w:val="auto"/>
          <w:vertAlign w:val="subscript"/>
        </w:rPr>
        <w:t>CT</w:t>
      </w:r>
      <w:r>
        <w:rPr>
          <w:rFonts w:ascii="Times New Roman" w:cs="Times New Roman" w:eastAsia="Times New Roman" w:hAnsi="Times New Roman"/>
          <w:sz w:val="11"/>
          <w:szCs w:val="11"/>
          <w:color w:val="auto"/>
        </w:rPr>
        <w:t xml:space="preserve"> Analysis and in October 2022 for its Plaque Analysis.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headquarters is located in San Francisco, California, and the Company also has offices in Mountain View, Rohnert Park and Santa Rosa, California, Austin, Texas, and Tokyo, Japan.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had the following wholly-owned subsidiaries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90805</wp:posOffset>
            </wp:positionV>
            <wp:extent cx="57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1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90805</wp:posOffset>
            </wp:positionV>
            <wp:extent cx="57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15" cy="17145"/>
                    </a:xfrm>
                    <a:prstGeom prst="rect">
                      <a:avLst/>
                    </a:prstGeom>
                    <a:noFill/>
                  </pic:spPr>
                </pic:pic>
              </a:graphicData>
            </a:graphic>
          </wp:anchor>
        </w:drawing>
      </w:r>
    </w:p>
    <w:p>
      <w:pPr>
        <w:spacing w:after="0" w:line="103"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4380" w:type="dxa"/>
            <w:vAlign w:val="bottom"/>
            <w:tcBorders>
              <w:top w:val="single" w:sz="8" w:color="auto"/>
              <w:left w:val="single" w:sz="8" w:color="auto"/>
              <w:bottom w:val="single" w:sz="8" w:color="auto"/>
            </w:tcBorders>
          </w:tcPr>
          <w:p>
            <w:pPr>
              <w:ind w:left="2520"/>
              <w:spacing w:after="0"/>
              <w:rPr>
                <w:sz w:val="20"/>
                <w:szCs w:val="20"/>
                <w:color w:val="auto"/>
              </w:rPr>
            </w:pPr>
            <w:r>
              <w:rPr>
                <w:rFonts w:ascii="Times New Roman" w:cs="Times New Roman" w:eastAsia="Times New Roman" w:hAnsi="Times New Roman"/>
                <w:sz w:val="11"/>
                <w:szCs w:val="11"/>
                <w:b w:val="1"/>
                <w:bCs w:val="1"/>
                <w:color w:val="auto"/>
              </w:rPr>
              <w:t>Entity Name</w:t>
            </w:r>
          </w:p>
        </w:tc>
        <w:tc>
          <w:tcPr>
            <w:tcW w:w="6920" w:type="dxa"/>
            <w:vAlign w:val="bottom"/>
            <w:tcBorders>
              <w:top w:val="single" w:sz="8" w:color="auto"/>
              <w:bottom w:val="single" w:sz="8" w:color="auto"/>
              <w:right w:val="single" w:sz="8" w:color="auto"/>
            </w:tcBorders>
          </w:tcPr>
          <w:p>
            <w:pPr>
              <w:ind w:left="3480"/>
              <w:spacing w:after="0"/>
              <w:rPr>
                <w:sz w:val="20"/>
                <w:szCs w:val="20"/>
                <w:color w:val="auto"/>
              </w:rPr>
            </w:pPr>
            <w:r>
              <w:rPr>
                <w:rFonts w:ascii="Times New Roman" w:cs="Times New Roman" w:eastAsia="Times New Roman" w:hAnsi="Times New Roman"/>
                <w:sz w:val="11"/>
                <w:szCs w:val="11"/>
                <w:b w:val="1"/>
                <w:bCs w:val="1"/>
                <w:color w:val="auto"/>
              </w:rPr>
              <w:t>Country of Incorporation</w:t>
            </w:r>
          </w:p>
        </w:tc>
      </w:tr>
      <w:tr>
        <w:trPr>
          <w:trHeight w:val="115"/>
        </w:trPr>
        <w:tc>
          <w:tcPr>
            <w:tcW w:w="4380" w:type="dxa"/>
            <w:vAlign w:val="bottom"/>
            <w:tcBorders>
              <w:left w:val="single" w:sz="8" w:color="auto"/>
              <w:bottom w:val="single" w:sz="8" w:color="auto"/>
            </w:tcBorders>
            <w:shd w:val="clear" w:color="auto" w:fill="CCEEFF"/>
          </w:tcPr>
          <w:p>
            <w:pPr>
              <w:ind w:left="60"/>
              <w:spacing w:after="0" w:line="115" w:lineRule="exact"/>
              <w:rPr>
                <w:sz w:val="20"/>
                <w:szCs w:val="20"/>
                <w:color w:val="auto"/>
              </w:rPr>
            </w:pPr>
            <w:r>
              <w:rPr>
                <w:rFonts w:ascii="Times New Roman" w:cs="Times New Roman" w:eastAsia="Times New Roman" w:hAnsi="Times New Roman"/>
                <w:sz w:val="12"/>
                <w:szCs w:val="12"/>
                <w:color w:val="auto"/>
              </w:rPr>
              <w:t>HeartFlow Japan G.K.</w:t>
            </w:r>
          </w:p>
        </w:tc>
        <w:tc>
          <w:tcPr>
            <w:tcW w:w="6920" w:type="dxa"/>
            <w:vAlign w:val="bottom"/>
            <w:tcBorders>
              <w:bottom w:val="single" w:sz="8" w:color="auto"/>
              <w:right w:val="single" w:sz="8" w:color="auto"/>
            </w:tcBorders>
            <w:shd w:val="clear" w:color="auto" w:fill="CCEEFF"/>
          </w:tcPr>
          <w:p>
            <w:pPr>
              <w:ind w:left="1280"/>
              <w:spacing w:after="0" w:line="115" w:lineRule="exact"/>
              <w:rPr>
                <w:sz w:val="20"/>
                <w:szCs w:val="20"/>
                <w:color w:val="auto"/>
              </w:rPr>
            </w:pPr>
            <w:r>
              <w:rPr>
                <w:rFonts w:ascii="Times New Roman" w:cs="Times New Roman" w:eastAsia="Times New Roman" w:hAnsi="Times New Roman"/>
                <w:sz w:val="12"/>
                <w:szCs w:val="12"/>
                <w:color w:val="auto"/>
              </w:rPr>
              <w:t>Japan</w:t>
            </w:r>
          </w:p>
        </w:tc>
      </w:tr>
      <w:tr>
        <w:trPr>
          <w:trHeight w:val="115"/>
        </w:trPr>
        <w:tc>
          <w:tcPr>
            <w:tcW w:w="4380" w:type="dxa"/>
            <w:vAlign w:val="bottom"/>
            <w:tcBorders>
              <w:left w:val="single" w:sz="8" w:color="auto"/>
              <w:bottom w:val="single" w:sz="8" w:color="auto"/>
            </w:tcBorders>
          </w:tcPr>
          <w:p>
            <w:pPr>
              <w:ind w:left="60"/>
              <w:spacing w:after="0" w:line="115" w:lineRule="exact"/>
              <w:rPr>
                <w:sz w:val="20"/>
                <w:szCs w:val="20"/>
                <w:color w:val="auto"/>
              </w:rPr>
            </w:pPr>
            <w:r>
              <w:rPr>
                <w:rFonts w:ascii="Times New Roman" w:cs="Times New Roman" w:eastAsia="Times New Roman" w:hAnsi="Times New Roman"/>
                <w:sz w:val="12"/>
                <w:szCs w:val="12"/>
                <w:color w:val="auto"/>
              </w:rPr>
              <w:t>HeartFlow U.K. Ltd</w:t>
            </w:r>
          </w:p>
        </w:tc>
        <w:tc>
          <w:tcPr>
            <w:tcW w:w="6920" w:type="dxa"/>
            <w:vAlign w:val="bottom"/>
            <w:tcBorders>
              <w:bottom w:val="single" w:sz="8" w:color="auto"/>
              <w:right w:val="single" w:sz="8" w:color="auto"/>
            </w:tcBorders>
          </w:tcPr>
          <w:p>
            <w:pPr>
              <w:ind w:left="1280"/>
              <w:spacing w:after="0" w:line="115" w:lineRule="exact"/>
              <w:rPr>
                <w:sz w:val="20"/>
                <w:szCs w:val="20"/>
                <w:color w:val="auto"/>
              </w:rPr>
            </w:pPr>
            <w:r>
              <w:rPr>
                <w:rFonts w:ascii="Times New Roman" w:cs="Times New Roman" w:eastAsia="Times New Roman" w:hAnsi="Times New Roman"/>
                <w:sz w:val="12"/>
                <w:szCs w:val="12"/>
                <w:color w:val="auto"/>
              </w:rPr>
              <w:t>United Kingdom</w:t>
            </w: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Effective November 2025, HeartFlow Technology U.K. Limited, a wholly-owned subsidiary in the United Kingdom, was dissolved.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Reverse Stock Split</w:t>
      </w:r>
    </w:p>
    <w:p>
      <w:pPr>
        <w:spacing w:after="0" w:line="127"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2"/>
          <w:szCs w:val="12"/>
          <w:color w:val="auto"/>
        </w:rPr>
        <w:t>On July 31, 2025, the Company’s Board of Directors (the “Board of Directors”) approved an amendment to the Company’s amended and restated certificate of incorporation to immediately effect a reverse stock split of the shares of the Company’s outstanding common stock at a ratio of 1.0-for-2.92 (the “Reverse Stock Split”). The number of authorized shares and par value per share were not adjusted as a result of the Reverse Stock Split. All references to shares, options to purchase common stock, share amounts, per share amount, and related information contained in the condensed consolidated financial statements have been retrospectively adjusted to reflect the effect of the Reverse Stock Split for all periods presented. The shares of common stock underlying outstanding stock options and other equity instruments were proportionately reduced, and the respective exercise prices, if applicable, were proportionately increased in accordance with the terms of the agreements governing such securities. In addition, the conversion ratios for each series of the Company’s redeemable convertible preferred stock, which automatically converted into shares of common stock upon the closing of the Company’s initial public offering (the “IPO”) of common stock, were proportionally adjusted.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Initial Public Offering</w:t>
      </w:r>
    </w:p>
    <w:p>
      <w:pPr>
        <w:spacing w:after="0" w:line="1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1"/>
          <w:szCs w:val="11"/>
          <w:color w:val="auto"/>
        </w:rPr>
        <w:t>On August 11, 2025, the Company completed its IPO of 19,166,667 shares of its common stock, which included an additional 2,500,000 shares of common stock purchased by the underwriters pursuant to their option to purchase additional shares, at a price to the public of $19.00 per share. The gross proceeds to the Company from the IPO were approximately $364.2 million, before deducting underwriting discounts and commissions and offering expenses payable by the Company of $31.8 million. Immediately prior to the closing of the Company’s IPO, all of the outstanding shares of the Company’s redeemable convertible preferred stock converted into shares of the Company’s common stock. Additionally, upon the closing of the Company’s IPO, the aggregate outstanding principal balance under the 2025 Convertible Notes (as defined in Note 2) automatically converted into shares of the Company’s common stock.</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121920</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3"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jc w:val="center"/>
        <w:ind w:right="-79"/>
        <w:spacing w:after="0" w:line="234" w:lineRule="auto"/>
        <w:rPr>
          <w:sz w:val="20"/>
          <w:szCs w:val="20"/>
          <w:color w:val="auto"/>
        </w:rPr>
      </w:pPr>
      <w:r>
        <w:rPr>
          <w:rFonts w:ascii="Times New Roman" w:cs="Times New Roman" w:eastAsia="Times New Roman" w:hAnsi="Times New Roman"/>
          <w:sz w:val="19"/>
          <w:szCs w:val="19"/>
          <w:b w:val="1"/>
          <w:bCs w:val="1"/>
          <w:color w:val="auto"/>
        </w:rPr>
        <w:t>Heartflow, Inc.</w:t>
      </w:r>
    </w:p>
    <w:p>
      <w:pPr>
        <w:jc w:val="center"/>
        <w:ind w:right="-79"/>
        <w:spacing w:after="0" w:line="220" w:lineRule="auto"/>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Liquidity</w:t>
      </w:r>
    </w:p>
    <w:p>
      <w:pPr>
        <w:spacing w:after="0" w:line="127"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2"/>
          <w:szCs w:val="12"/>
          <w:color w:val="auto"/>
        </w:rPr>
        <w:t>The Company has incurred operating losses and negative cash flows from operations since its inception and has an accumulated deficit of $1.1 billion as of March 31, 2026. The Company expects to incur losses for the foreseeable future. Historically, the Company’s activities have been financed through sales of shares of redeemable convertible preferred stock, common stock and convertible promissory notes, borrowings under term loans and revenue received from customers.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March 31, 2026, the Company had $254.9 million in cash, cash equivalents and investments in available-for-sale securities.</w:t>
      </w:r>
    </w:p>
    <w:p>
      <w:pPr>
        <w:spacing w:after="0" w:line="123"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12"/>
          <w:szCs w:val="12"/>
          <w:color w:val="auto"/>
        </w:rPr>
        <w:t>Based on the Company’s current operating plan, the Company believes that the expected cash generated from revenue transactions with customers and its existing cash and cash equivalents and available-for-sale securities will be sufficient to fund the Company’s planned operating expenses and capital expenditure requirements for at least the next 12 months from the date these condensed consolidated financial statements were available to be issued.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Basis of Presentation</w:t>
      </w:r>
    </w:p>
    <w:p>
      <w:pPr>
        <w:spacing w:after="0" w:line="12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2"/>
          <w:szCs w:val="12"/>
          <w:color w:val="auto"/>
        </w:rPr>
        <w:t>The accompanying condensed consolidated financial statements include the accounts of the Company as well as its wholly owned subsidiaries and have been prepared in accordance with accounting principles generally accepted in the United States of America (“U.S. GAAP”). All significant intercompany balances and transactions have been eliminated in consolidation.</w:t>
      </w:r>
    </w:p>
    <w:p>
      <w:pPr>
        <w:spacing w:after="0" w:line="83"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2"/>
          <w:szCs w:val="12"/>
          <w:color w:val="auto"/>
        </w:rPr>
        <w:t>The unaudited interim condensed consolidated financial statements have been prepared on the same basis as the annual consolidated financial statements and, in the opinion of management, reflect all adjustments, which include only normal recurring adjustments, necessary to a fair statement of the Company’s consolidated financial position as of March 31, 2026, and the results of its operations for the three months ended March 31, 2026 and 2025 and cash flows for the three months ended March 31, 2026 and 2025. The condensed consolidated balance sheet at December 31, 2025, was derived from audited annual consolidated financial statements but does not contain all of the footnote disclosures from the annual financial statements. These interim financial results are not necessarily indicative of results expected for the full fiscal year or for any subsequent interim period and should be read in conjunction with the annual consolidated financial statements included in the Company’s Annual Report on Form 10-K filed with the SEC on March 18, 2026.</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Use of Estimates</w:t>
      </w:r>
    </w:p>
    <w:p>
      <w:pPr>
        <w:spacing w:after="0" w:line="118"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2"/>
          <w:szCs w:val="12"/>
          <w:color w:val="auto"/>
        </w:rPr>
        <w:t>The preparation of financial statements in conformity with U.S. GAAP requires management to make estimates and assumptions that affect the amounts reported in the financial statements and accompanying notes. Management uses significant judgment when making estimates in the determination of stock-based compensation, deferred income tax valuation allowance, capitalized internal-use software, depreciation of property and equipment, allowance for credit losses, revenue recognition, valuation of operating lease right-of-use (“ROU”) assets and operating lease liabilities, common stock warrant liability and for periods prior to the Company’s IPO, the fair value of convertible debt, the valuation of common stock and derivative liability. Management evaluates its estimates and assumptions on an ongoing basis using historical experience and other factors and adjusts those estimates and assumptions as facts and circumstances dictate. Actual results could materially differ from those estimates.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Segment Information</w:t>
      </w:r>
    </w:p>
    <w:p>
      <w:pPr>
        <w:spacing w:after="0" w:line="127"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2"/>
          <w:szCs w:val="12"/>
          <w:color w:val="auto"/>
        </w:rPr>
        <w:t>The Company operates and manages its business as one reportable and operating segment, which is the business of non-invasive CAD detection solutions. The Company’s Chief Executive Officer, who is the Chief Operating Decision Maker (“CODM”), reviews financial information, including revenue and net loss, presented on a</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127635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10" w:name="page11"/>
    <w:bookmarkEnd w:id="10"/>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jc w:val="center"/>
        <w:ind w:right="-7"/>
        <w:spacing w:after="0" w:line="234" w:lineRule="auto"/>
        <w:rPr>
          <w:sz w:val="20"/>
          <w:szCs w:val="20"/>
          <w:color w:val="auto"/>
        </w:rPr>
      </w:pPr>
      <w:r>
        <w:rPr>
          <w:rFonts w:ascii="Times New Roman" w:cs="Times New Roman" w:eastAsia="Times New Roman" w:hAnsi="Times New Roman"/>
          <w:sz w:val="19"/>
          <w:szCs w:val="19"/>
          <w:b w:val="1"/>
          <w:bCs w:val="1"/>
          <w:color w:val="auto"/>
        </w:rPr>
        <w:t>Heartflow, Inc.</w:t>
      </w:r>
    </w:p>
    <w:p>
      <w:pPr>
        <w:jc w:val="center"/>
        <w:ind w:right="-7"/>
        <w:spacing w:after="0" w:line="220" w:lineRule="auto"/>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 w:lineRule="exact"/>
        <w:rPr>
          <w:sz w:val="20"/>
          <w:szCs w:val="20"/>
          <w:color w:val="auto"/>
        </w:rPr>
      </w:pPr>
    </w:p>
    <w:p>
      <w:pPr>
        <w:ind w:left="5348"/>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consolidated basis for purposes of making operating decisions, allocating resources and evaluating financial performance.</w:t>
      </w:r>
    </w:p>
    <w:p>
      <w:pPr>
        <w:spacing w:after="0" w:line="114" w:lineRule="exact"/>
        <w:rPr>
          <w:sz w:val="20"/>
          <w:szCs w:val="20"/>
          <w:color w:val="auto"/>
        </w:rPr>
      </w:pPr>
    </w:p>
    <w:p>
      <w:pPr>
        <w:ind w:left="8" w:right="100"/>
        <w:spacing w:after="0" w:line="239" w:lineRule="auto"/>
        <w:rPr>
          <w:sz w:val="20"/>
          <w:szCs w:val="20"/>
          <w:color w:val="auto"/>
        </w:rPr>
      </w:pPr>
      <w:r>
        <w:rPr>
          <w:rFonts w:ascii="Times New Roman" w:cs="Times New Roman" w:eastAsia="Times New Roman" w:hAnsi="Times New Roman"/>
          <w:sz w:val="12"/>
          <w:szCs w:val="12"/>
          <w:color w:val="auto"/>
        </w:rPr>
        <w:t>The Company’s measure of segment profit or loss is consolidated net loss, which is used by the CODM to measure actual results versus expectations, set performance metrics, and develop the annual budget to achieve the Company’s long-term objectives. Significant segment expenses within consolidated net loss includes cost of revenue, research and development, selling, general and administrative expenses and asset impairment charge, which are each separately presented on the Company’s condensed consolidated statements of operations and comprehensive loss. Other expense items that are presented on the condensed consolidated statements of operations include interest income, interest expense, change in fair value of warrant liability, change in fair value of derivative liability, other income (expense), net, and provision for income taxes.</w:t>
      </w:r>
    </w:p>
    <w:p>
      <w:pPr>
        <w:spacing w:after="0" w:line="98" w:lineRule="exact"/>
        <w:rPr>
          <w:sz w:val="20"/>
          <w:szCs w:val="20"/>
          <w:color w:val="auto"/>
        </w:rPr>
      </w:pPr>
    </w:p>
    <w:p>
      <w:pPr>
        <w:ind w:left="8" w:right="20"/>
        <w:spacing w:after="0" w:line="264" w:lineRule="auto"/>
        <w:rPr>
          <w:sz w:val="20"/>
          <w:szCs w:val="20"/>
          <w:color w:val="auto"/>
        </w:rPr>
      </w:pPr>
      <w:r>
        <w:rPr>
          <w:rFonts w:ascii="Times New Roman" w:cs="Times New Roman" w:eastAsia="Times New Roman" w:hAnsi="Times New Roman"/>
          <w:sz w:val="12"/>
          <w:szCs w:val="12"/>
          <w:color w:val="auto"/>
        </w:rPr>
        <w:t>The following table is representative of the significant expense categories regularly provided to the CODM when managing the Company’s single reporting segment and includes a reconciliation to the consolidated net loss shown in the condensed consolidated statements of operations and comprehensive loss for the three months ended March 31, 2026 and 2025 (in thousands):</w:t>
      </w:r>
    </w:p>
    <w:p>
      <w:pPr>
        <w:spacing w:after="0" w:line="101"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69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520" w:type="dxa"/>
            <w:vAlign w:val="bottom"/>
            <w:gridSpan w:val="3"/>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440" w:type="dxa"/>
            <w:vAlign w:val="bottom"/>
          </w:tcPr>
          <w:p>
            <w:pPr>
              <w:spacing w:after="0"/>
              <w:rPr>
                <w:sz w:val="11"/>
                <w:szCs w:val="11"/>
                <w:color w:val="auto"/>
              </w:rPr>
            </w:pPr>
          </w:p>
        </w:tc>
      </w:tr>
      <w:tr>
        <w:trPr>
          <w:trHeight w:val="137"/>
        </w:trPr>
        <w:tc>
          <w:tcPr>
            <w:tcW w:w="6900" w:type="dxa"/>
            <w:vAlign w:val="bottom"/>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jc w:val="right"/>
              <w:ind w:right="493"/>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440" w:type="dxa"/>
            <w:vAlign w:val="bottom"/>
            <w:tcBorders>
              <w:bottom w:val="single" w:sz="8" w:color="auto"/>
            </w:tcBorders>
          </w:tcPr>
          <w:p>
            <w:pPr>
              <w:spacing w:after="0"/>
              <w:rPr>
                <w:sz w:val="11"/>
                <w:szCs w:val="11"/>
                <w:color w:val="auto"/>
              </w:rPr>
            </w:pPr>
          </w:p>
        </w:tc>
      </w:tr>
      <w:tr>
        <w:trPr>
          <w:trHeight w:val="106"/>
        </w:trPr>
        <w:tc>
          <w:tcPr>
            <w:tcW w:w="6900" w:type="dxa"/>
            <w:vAlign w:val="bottom"/>
            <w:tcBorders>
              <w:bottom w:val="single" w:sz="8" w:color="CCEEFF"/>
            </w:tcBorders>
          </w:tcPr>
          <w:p>
            <w:pPr>
              <w:spacing w:after="0"/>
              <w:rPr>
                <w:sz w:val="9"/>
                <w:szCs w:val="9"/>
                <w:color w:val="auto"/>
              </w:rPr>
            </w:pPr>
          </w:p>
        </w:tc>
        <w:tc>
          <w:tcPr>
            <w:tcW w:w="1440" w:type="dxa"/>
            <w:vAlign w:val="bottom"/>
            <w:tcBorders>
              <w:bottom w:val="single" w:sz="8" w:color="auto"/>
            </w:tcBorders>
          </w:tcPr>
          <w:p>
            <w:pPr>
              <w:jc w:val="right"/>
              <w:ind w:right="206"/>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70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jc w:val="right"/>
              <w:ind w:right="906"/>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r>
      <w:tr>
        <w:trPr>
          <w:trHeight w:val="106"/>
        </w:trPr>
        <w:tc>
          <w:tcPr>
            <w:tcW w:w="69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Revenue</w:t>
            </w:r>
          </w:p>
        </w:tc>
        <w:tc>
          <w:tcPr>
            <w:tcW w:w="1440" w:type="dxa"/>
            <w:vAlign w:val="bottom"/>
            <w:shd w:val="clear" w:color="auto" w:fill="CCEEFF"/>
          </w:tcPr>
          <w:p>
            <w:pPr>
              <w:jc w:val="right"/>
              <w:ind w:right="13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52,587</w:t>
            </w: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5"/>
                <w:szCs w:val="5"/>
                <w:color w:val="auto"/>
                <w:w w:val="78"/>
              </w:rPr>
              <w:t>$</w:t>
            </w:r>
          </w:p>
        </w:tc>
        <w:tc>
          <w:tcPr>
            <w:tcW w:w="144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37,205</w:t>
            </w:r>
          </w:p>
        </w:tc>
      </w:tr>
      <w:tr>
        <w:trPr>
          <w:trHeight w:val="153"/>
        </w:trPr>
        <w:tc>
          <w:tcPr>
            <w:tcW w:w="6900" w:type="dxa"/>
            <w:vAlign w:val="bottom"/>
          </w:tcPr>
          <w:p>
            <w:pPr>
              <w:spacing w:after="0" w:line="153" w:lineRule="exact"/>
              <w:rPr>
                <w:sz w:val="20"/>
                <w:szCs w:val="20"/>
                <w:color w:val="auto"/>
              </w:rPr>
            </w:pPr>
            <w:r>
              <w:rPr>
                <w:rFonts w:ascii="Times New Roman" w:cs="Times New Roman" w:eastAsia="Times New Roman" w:hAnsi="Times New Roman"/>
                <w:sz w:val="11"/>
                <w:szCs w:val="11"/>
                <w:color w:val="auto"/>
              </w:rPr>
              <w:t>Less</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1"/>
                <w:szCs w:val="11"/>
                <w:color w:val="auto"/>
              </w:rPr>
              <w:t>:</w:t>
            </w: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17"/>
        </w:trPr>
        <w:tc>
          <w:tcPr>
            <w:tcW w:w="6900" w:type="dxa"/>
            <w:vAlign w:val="bottom"/>
            <w:shd w:val="clear" w:color="auto" w:fill="CCEEFF"/>
          </w:tcPr>
          <w:p>
            <w:pPr>
              <w:ind w:left="60"/>
              <w:spacing w:after="0" w:line="117" w:lineRule="exact"/>
              <w:rPr>
                <w:sz w:val="20"/>
                <w:szCs w:val="20"/>
                <w:color w:val="auto"/>
              </w:rPr>
            </w:pPr>
            <w:r>
              <w:rPr>
                <w:rFonts w:ascii="Times New Roman" w:cs="Times New Roman" w:eastAsia="Times New Roman" w:hAnsi="Times New Roman"/>
                <w:sz w:val="11"/>
                <w:szCs w:val="11"/>
                <w:color w:val="auto"/>
              </w:rPr>
              <w:t>Cost of revenue</w:t>
            </w:r>
          </w:p>
        </w:tc>
        <w:tc>
          <w:tcPr>
            <w:tcW w:w="14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10,423</w:t>
            </w: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9,264</w:t>
            </w:r>
          </w:p>
        </w:tc>
      </w:tr>
      <w:tr>
        <w:trPr>
          <w:trHeight w:val="117"/>
        </w:trPr>
        <w:tc>
          <w:tcPr>
            <w:tcW w:w="6900" w:type="dxa"/>
            <w:vAlign w:val="bottom"/>
          </w:tcPr>
          <w:p>
            <w:pPr>
              <w:ind w:left="60"/>
              <w:spacing w:after="0" w:line="117" w:lineRule="exact"/>
              <w:rPr>
                <w:sz w:val="20"/>
                <w:szCs w:val="20"/>
                <w:color w:val="auto"/>
              </w:rPr>
            </w:pPr>
            <w:r>
              <w:rPr>
                <w:rFonts w:ascii="Times New Roman" w:cs="Times New Roman" w:eastAsia="Times New Roman" w:hAnsi="Times New Roman"/>
                <w:sz w:val="11"/>
                <w:szCs w:val="11"/>
                <w:color w:val="auto"/>
              </w:rPr>
              <w:t>Research and development</w:t>
            </w:r>
          </w:p>
        </w:tc>
        <w:tc>
          <w:tcPr>
            <w:tcW w:w="144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21,620</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13,924</w:t>
            </w:r>
          </w:p>
        </w:tc>
      </w:tr>
      <w:tr>
        <w:trPr>
          <w:trHeight w:val="117"/>
        </w:trPr>
        <w:tc>
          <w:tcPr>
            <w:tcW w:w="6900" w:type="dxa"/>
            <w:vAlign w:val="bottom"/>
            <w:shd w:val="clear" w:color="auto" w:fill="CCEEFF"/>
          </w:tcPr>
          <w:p>
            <w:pPr>
              <w:ind w:left="60"/>
              <w:spacing w:after="0" w:line="117" w:lineRule="exact"/>
              <w:rPr>
                <w:sz w:val="20"/>
                <w:szCs w:val="20"/>
                <w:color w:val="auto"/>
              </w:rPr>
            </w:pPr>
            <w:r>
              <w:rPr>
                <w:rFonts w:ascii="Times New Roman" w:cs="Times New Roman" w:eastAsia="Times New Roman" w:hAnsi="Times New Roman"/>
                <w:sz w:val="11"/>
                <w:szCs w:val="11"/>
                <w:color w:val="auto"/>
              </w:rPr>
              <w:t>Selling, general and administrative expenses:</w:t>
            </w:r>
          </w:p>
        </w:tc>
        <w:tc>
          <w:tcPr>
            <w:tcW w:w="14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r>
      <w:tr>
        <w:trPr>
          <w:trHeight w:val="117"/>
        </w:trPr>
        <w:tc>
          <w:tcPr>
            <w:tcW w:w="6900" w:type="dxa"/>
            <w:vAlign w:val="bottom"/>
          </w:tcPr>
          <w:p>
            <w:pPr>
              <w:ind w:left="140"/>
              <w:spacing w:after="0" w:line="117" w:lineRule="exact"/>
              <w:rPr>
                <w:sz w:val="20"/>
                <w:szCs w:val="20"/>
                <w:color w:val="auto"/>
              </w:rPr>
            </w:pPr>
            <w:r>
              <w:rPr>
                <w:rFonts w:ascii="Times New Roman" w:cs="Times New Roman" w:eastAsia="Times New Roman" w:hAnsi="Times New Roman"/>
                <w:sz w:val="11"/>
                <w:szCs w:val="11"/>
                <w:color w:val="auto"/>
              </w:rPr>
              <w:t>Sales and marketing</w:t>
            </w:r>
          </w:p>
        </w:tc>
        <w:tc>
          <w:tcPr>
            <w:tcW w:w="144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29,956</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21,635</w:t>
            </w:r>
          </w:p>
        </w:tc>
      </w:tr>
      <w:tr>
        <w:trPr>
          <w:trHeight w:val="117"/>
        </w:trPr>
        <w:tc>
          <w:tcPr>
            <w:tcW w:w="6900" w:type="dxa"/>
            <w:vAlign w:val="bottom"/>
            <w:shd w:val="clear" w:color="auto" w:fill="CCEEFF"/>
          </w:tcPr>
          <w:p>
            <w:pPr>
              <w:ind w:left="140"/>
              <w:spacing w:after="0" w:line="117" w:lineRule="exact"/>
              <w:rPr>
                <w:sz w:val="20"/>
                <w:szCs w:val="20"/>
                <w:color w:val="auto"/>
              </w:rPr>
            </w:pPr>
            <w:r>
              <w:rPr>
                <w:rFonts w:ascii="Times New Roman" w:cs="Times New Roman" w:eastAsia="Times New Roman" w:hAnsi="Times New Roman"/>
                <w:sz w:val="11"/>
                <w:szCs w:val="11"/>
                <w:color w:val="auto"/>
              </w:rPr>
              <w:t>General and administrative</w:t>
            </w:r>
          </w:p>
        </w:tc>
        <w:tc>
          <w:tcPr>
            <w:tcW w:w="14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12,610</w:t>
            </w: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9,884</w:t>
            </w:r>
          </w:p>
        </w:tc>
      </w:tr>
      <w:tr>
        <w:trPr>
          <w:trHeight w:val="117"/>
        </w:trPr>
        <w:tc>
          <w:tcPr>
            <w:tcW w:w="6900" w:type="dxa"/>
            <w:vAlign w:val="bottom"/>
          </w:tcPr>
          <w:p>
            <w:pPr>
              <w:ind w:left="60"/>
              <w:spacing w:after="0" w:line="117" w:lineRule="exact"/>
              <w:rPr>
                <w:sz w:val="20"/>
                <w:szCs w:val="20"/>
                <w:color w:val="auto"/>
              </w:rPr>
            </w:pPr>
            <w:r>
              <w:rPr>
                <w:rFonts w:ascii="Times New Roman" w:cs="Times New Roman" w:eastAsia="Times New Roman" w:hAnsi="Times New Roman"/>
                <w:sz w:val="11"/>
                <w:szCs w:val="11"/>
                <w:color w:val="auto"/>
              </w:rPr>
              <w:t>Asset impairment charge</w:t>
            </w:r>
          </w:p>
        </w:tc>
        <w:tc>
          <w:tcPr>
            <w:tcW w:w="1440" w:type="dxa"/>
            <w:vAlign w:val="bottom"/>
          </w:tcPr>
          <w:p>
            <w:pPr>
              <w:spacing w:after="0"/>
              <w:rPr>
                <w:sz w:val="10"/>
                <w:szCs w:val="10"/>
                <w:color w:val="auto"/>
              </w:rPr>
            </w:pPr>
          </w:p>
        </w:tc>
        <w:tc>
          <w:tcPr>
            <w:tcW w:w="82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7,482</w:t>
            </w:r>
          </w:p>
        </w:tc>
        <w:tc>
          <w:tcPr>
            <w:tcW w:w="700" w:type="dxa"/>
            <w:vAlign w:val="bottom"/>
          </w:tcPr>
          <w:p>
            <w:pPr>
              <w:spacing w:after="0"/>
              <w:rPr>
                <w:sz w:val="10"/>
                <w:szCs w:val="10"/>
                <w:color w:val="auto"/>
              </w:rPr>
            </w:pPr>
          </w:p>
        </w:tc>
        <w:tc>
          <w:tcPr>
            <w:tcW w:w="14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r>
      <w:tr>
        <w:trPr>
          <w:trHeight w:val="106"/>
        </w:trPr>
        <w:tc>
          <w:tcPr>
            <w:tcW w:w="6900" w:type="dxa"/>
            <w:vAlign w:val="bottom"/>
            <w:tcBorders>
              <w:top w:val="single" w:sz="8" w:color="CCEEFF"/>
            </w:tcBorders>
            <w:shd w:val="clear" w:color="auto" w:fill="CCEEFF"/>
          </w:tcPr>
          <w:p>
            <w:pPr>
              <w:ind w:left="60"/>
              <w:spacing w:after="0" w:line="106" w:lineRule="exact"/>
              <w:rPr>
                <w:sz w:val="20"/>
                <w:szCs w:val="20"/>
                <w:color w:val="auto"/>
              </w:rPr>
            </w:pPr>
            <w:r>
              <w:rPr>
                <w:rFonts w:ascii="Times New Roman" w:cs="Times New Roman" w:eastAsia="Times New Roman" w:hAnsi="Times New Roman"/>
                <w:sz w:val="11"/>
                <w:szCs w:val="11"/>
                <w:color w:val="auto"/>
              </w:rPr>
              <w:t>Loss from operations</w:t>
            </w:r>
          </w:p>
        </w:tc>
        <w:tc>
          <w:tcPr>
            <w:tcW w:w="14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(29,504)</w:t>
            </w:r>
          </w:p>
        </w:tc>
        <w:tc>
          <w:tcPr>
            <w:tcW w:w="1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44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(17,502)</w:t>
            </w:r>
          </w:p>
        </w:tc>
      </w:tr>
      <w:tr>
        <w:trPr>
          <w:trHeight w:val="153"/>
        </w:trPr>
        <w:tc>
          <w:tcPr>
            <w:tcW w:w="6900" w:type="dxa"/>
            <w:vAlign w:val="bottom"/>
          </w:tcPr>
          <w:p>
            <w:pPr>
              <w:ind w:left="140"/>
              <w:spacing w:after="0" w:line="153" w:lineRule="exact"/>
              <w:rPr>
                <w:sz w:val="20"/>
                <w:szCs w:val="20"/>
                <w:color w:val="auto"/>
              </w:rPr>
            </w:pPr>
            <w:r>
              <w:rPr>
                <w:rFonts w:ascii="Times New Roman" w:cs="Times New Roman" w:eastAsia="Times New Roman" w:hAnsi="Times New Roman"/>
                <w:sz w:val="11"/>
                <w:szCs w:val="11"/>
                <w:color w:val="auto"/>
              </w:rPr>
              <w:t xml:space="preserve">Other income (expense), net </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1"/>
                <w:szCs w:val="11"/>
                <w:color w:val="auto"/>
              </w:rPr>
              <w:t>)</w:t>
            </w:r>
          </w:p>
        </w:tc>
        <w:tc>
          <w:tcPr>
            <w:tcW w:w="14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2,147</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(14,843)</w:t>
            </w:r>
          </w:p>
        </w:tc>
      </w:tr>
      <w:tr>
        <w:trPr>
          <w:trHeight w:val="117"/>
        </w:trPr>
        <w:tc>
          <w:tcPr>
            <w:tcW w:w="6900" w:type="dxa"/>
            <w:vAlign w:val="bottom"/>
            <w:shd w:val="clear" w:color="auto" w:fill="CCEEFF"/>
          </w:tcPr>
          <w:p>
            <w:pPr>
              <w:ind w:left="140"/>
              <w:spacing w:after="0" w:line="117" w:lineRule="exact"/>
              <w:rPr>
                <w:sz w:val="20"/>
                <w:szCs w:val="20"/>
                <w:color w:val="auto"/>
              </w:rPr>
            </w:pPr>
            <w:r>
              <w:rPr>
                <w:rFonts w:ascii="Times New Roman" w:cs="Times New Roman" w:eastAsia="Times New Roman" w:hAnsi="Times New Roman"/>
                <w:sz w:val="11"/>
                <w:szCs w:val="11"/>
                <w:color w:val="auto"/>
              </w:rPr>
              <w:t>Provision for income taxes</w:t>
            </w:r>
          </w:p>
        </w:tc>
        <w:tc>
          <w:tcPr>
            <w:tcW w:w="14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(23)</w:t>
            </w:r>
          </w:p>
        </w:tc>
        <w:tc>
          <w:tcPr>
            <w:tcW w:w="700" w:type="dxa"/>
            <w:vAlign w:val="bottom"/>
            <w:shd w:val="clear" w:color="auto" w:fill="CCEEFF"/>
          </w:tcPr>
          <w:p>
            <w:pPr>
              <w:spacing w:after="0"/>
              <w:rPr>
                <w:sz w:val="10"/>
                <w:szCs w:val="10"/>
                <w:color w:val="auto"/>
              </w:rPr>
            </w:pPr>
          </w:p>
        </w:tc>
        <w:tc>
          <w:tcPr>
            <w:tcW w:w="14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r>
      <w:tr>
        <w:trPr>
          <w:trHeight w:val="106"/>
        </w:trPr>
        <w:tc>
          <w:tcPr>
            <w:tcW w:w="6900" w:type="dxa"/>
            <w:vAlign w:val="bottom"/>
          </w:tcPr>
          <w:p>
            <w:pPr>
              <w:ind w:left="60"/>
              <w:spacing w:after="0" w:line="106" w:lineRule="exact"/>
              <w:rPr>
                <w:sz w:val="20"/>
                <w:szCs w:val="20"/>
                <w:color w:val="auto"/>
              </w:rPr>
            </w:pPr>
            <w:r>
              <w:rPr>
                <w:rFonts w:ascii="Times New Roman" w:cs="Times New Roman" w:eastAsia="Times New Roman" w:hAnsi="Times New Roman"/>
                <w:sz w:val="11"/>
                <w:szCs w:val="11"/>
                <w:color w:val="auto"/>
              </w:rPr>
              <w:t>Segment net loss</w:t>
            </w:r>
          </w:p>
        </w:tc>
        <w:tc>
          <w:tcPr>
            <w:tcW w:w="1440" w:type="dxa"/>
            <w:vAlign w:val="bottom"/>
            <w:tcBorders>
              <w:top w:val="single" w:sz="8" w:color="auto"/>
              <w:bottom w:val="single" w:sz="8" w:color="auto"/>
            </w:tcBorders>
          </w:tcPr>
          <w:p>
            <w:pPr>
              <w:jc w:val="right"/>
              <w:ind w:right="13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(27,380)</w:t>
            </w:r>
          </w:p>
        </w:tc>
        <w:tc>
          <w:tcPr>
            <w:tcW w:w="120" w:type="dxa"/>
            <w:vAlign w:val="bottom"/>
          </w:tcPr>
          <w:p>
            <w:pPr>
              <w:spacing w:after="0"/>
              <w:rPr>
                <w:sz w:val="9"/>
                <w:szCs w:val="9"/>
                <w:color w:val="auto"/>
              </w:rPr>
            </w:pPr>
          </w:p>
        </w:tc>
        <w:tc>
          <w:tcPr>
            <w:tcW w:w="700" w:type="dxa"/>
            <w:vAlign w:val="bottom"/>
            <w:tcBorders>
              <w:top w:val="single" w:sz="8" w:color="auto"/>
              <w:bottom w:val="single" w:sz="8" w:color="auto"/>
            </w:tcBorders>
          </w:tcPr>
          <w:p>
            <w:pPr>
              <w:jc w:val="right"/>
              <w:ind w:right="633"/>
              <w:spacing w:after="0"/>
              <w:rPr>
                <w:sz w:val="20"/>
                <w:szCs w:val="20"/>
                <w:color w:val="auto"/>
              </w:rPr>
            </w:pPr>
            <w:r>
              <w:rPr>
                <w:rFonts w:ascii="Times New Roman" w:cs="Times New Roman" w:eastAsia="Times New Roman" w:hAnsi="Times New Roman"/>
                <w:sz w:val="5"/>
                <w:szCs w:val="5"/>
                <w:color w:val="auto"/>
                <w:w w:val="78"/>
              </w:rPr>
              <w:t>$</w:t>
            </w:r>
          </w:p>
        </w:tc>
        <w:tc>
          <w:tcPr>
            <w:tcW w:w="144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(32,345)</w:t>
            </w:r>
          </w:p>
        </w:tc>
      </w:tr>
    </w:tbl>
    <w:p>
      <w:pPr>
        <w:spacing w:after="0" w:line="133" w:lineRule="exact"/>
        <w:rPr>
          <w:sz w:val="20"/>
          <w:szCs w:val="20"/>
          <w:color w:val="auto"/>
        </w:rPr>
      </w:pPr>
    </w:p>
    <w:p>
      <w:pPr>
        <w:ind w:left="208" w:hanging="208"/>
        <w:spacing w:after="0"/>
        <w:tabs>
          <w:tab w:leader="none" w:pos="208" w:val="left"/>
        </w:tabs>
        <w:numPr>
          <w:ilvl w:val="0"/>
          <w:numId w:val="3"/>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The significant expense categories and amounts align with the segment-level information that is regularly provided to the CODM.</w:t>
      </w:r>
    </w:p>
    <w:p>
      <w:pPr>
        <w:spacing w:after="0" w:line="6" w:lineRule="exact"/>
        <w:rPr>
          <w:rFonts w:ascii="Times New Roman" w:cs="Times New Roman" w:eastAsia="Times New Roman" w:hAnsi="Times New Roman"/>
          <w:sz w:val="8"/>
          <w:szCs w:val="8"/>
          <w:color w:val="auto"/>
        </w:rPr>
      </w:pPr>
    </w:p>
    <w:p>
      <w:pPr>
        <w:ind w:left="208" w:hanging="208"/>
        <w:spacing w:after="0"/>
        <w:tabs>
          <w:tab w:leader="none" w:pos="208" w:val="left"/>
        </w:tabs>
        <w:numPr>
          <w:ilvl w:val="0"/>
          <w:numId w:val="3"/>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Other income (expense), net represents the consolidated amounts for interest income, interest expense, change in fair value of common stock warrant liability, change in fair value of derivative liability, and other income (expense), net as shown on the condensed consolidated statements of operations and comprehensive loss.</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Company derives revenue and has long-lived assets primarily in the United States of America. Revenue by geography is further described in Note 3.</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Cash, Cash Equivalents and Restricted Cash</w:t>
      </w:r>
    </w:p>
    <w:p>
      <w:pPr>
        <w:spacing w:after="0" w:line="127" w:lineRule="exact"/>
        <w:rPr>
          <w:sz w:val="20"/>
          <w:szCs w:val="20"/>
          <w:color w:val="auto"/>
        </w:rPr>
      </w:pPr>
    </w:p>
    <w:p>
      <w:pPr>
        <w:ind w:left="8" w:right="140"/>
        <w:spacing w:after="0" w:line="248" w:lineRule="auto"/>
        <w:rPr>
          <w:sz w:val="20"/>
          <w:szCs w:val="20"/>
          <w:color w:val="auto"/>
        </w:rPr>
      </w:pPr>
      <w:r>
        <w:rPr>
          <w:rFonts w:ascii="Times New Roman" w:cs="Times New Roman" w:eastAsia="Times New Roman" w:hAnsi="Times New Roman"/>
          <w:sz w:val="12"/>
          <w:szCs w:val="12"/>
          <w:color w:val="auto"/>
        </w:rPr>
        <w:t>The Company considers all highly liquid investments that are readily convertible to known amounts of cash and purchased with an original maturity of three months or less to be cash equivalents. Cash equivalents consist primarily of amounts invested in money market accounts.</w:t>
      </w:r>
    </w:p>
    <w:p>
      <w:pPr>
        <w:spacing w:after="0" w:line="1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provides a reconciliation of cash, cash equivalents and restricted cash to the total shown in the condensed consolidated statements of cash flows (in thousands):</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137"/>
        </w:trPr>
        <w:tc>
          <w:tcPr>
            <w:tcW w:w="774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jc w:val="right"/>
              <w:ind w:right="286"/>
              <w:spacing w:after="0"/>
              <w:rPr>
                <w:sz w:val="20"/>
                <w:szCs w:val="20"/>
                <w:color w:val="auto"/>
              </w:rPr>
            </w:pPr>
            <w:r>
              <w:rPr>
                <w:rFonts w:ascii="Times New Roman" w:cs="Times New Roman" w:eastAsia="Times New Roman" w:hAnsi="Times New Roman"/>
                <w:sz w:val="11"/>
                <w:szCs w:val="11"/>
                <w:b w:val="1"/>
                <w:bCs w:val="1"/>
                <w:color w:val="231F20"/>
              </w:rPr>
              <w:t>March 31,</w:t>
            </w:r>
          </w:p>
        </w:tc>
        <w:tc>
          <w:tcPr>
            <w:tcW w:w="1200" w:type="dxa"/>
            <w:vAlign w:val="bottom"/>
            <w:tcBorders>
              <w:bottom w:val="single" w:sz="8" w:color="auto"/>
            </w:tcBorders>
          </w:tcPr>
          <w:p>
            <w:pPr>
              <w:spacing w:after="0"/>
              <w:rPr>
                <w:sz w:val="11"/>
                <w:szCs w:val="11"/>
                <w:color w:val="auto"/>
              </w:rPr>
            </w:pPr>
          </w:p>
        </w:tc>
      </w:tr>
      <w:tr>
        <w:trPr>
          <w:trHeight w:val="106"/>
        </w:trPr>
        <w:tc>
          <w:tcPr>
            <w:tcW w:w="7740" w:type="dxa"/>
            <w:vAlign w:val="bottom"/>
            <w:tcBorders>
              <w:bottom w:val="single" w:sz="8" w:color="CCEEFF"/>
            </w:tcBorders>
          </w:tcPr>
          <w:p>
            <w:pPr>
              <w:spacing w:after="0"/>
              <w:rPr>
                <w:sz w:val="9"/>
                <w:szCs w:val="9"/>
                <w:color w:val="auto"/>
              </w:rPr>
            </w:pPr>
          </w:p>
        </w:tc>
        <w:tc>
          <w:tcPr>
            <w:tcW w:w="1080" w:type="dxa"/>
            <w:vAlign w:val="bottom"/>
            <w:tcBorders>
              <w:bottom w:val="single" w:sz="8" w:color="auto"/>
            </w:tcBorders>
          </w:tcPr>
          <w:p>
            <w:pPr>
              <w:jc w:val="right"/>
              <w:ind w:right="126"/>
              <w:spacing w:after="0" w:line="106" w:lineRule="exact"/>
              <w:rPr>
                <w:sz w:val="20"/>
                <w:szCs w:val="20"/>
                <w:color w:val="auto"/>
              </w:rPr>
            </w:pPr>
            <w:r>
              <w:rPr>
                <w:rFonts w:ascii="Times New Roman" w:cs="Times New Roman" w:eastAsia="Times New Roman" w:hAnsi="Times New Roman"/>
                <w:sz w:val="11"/>
                <w:szCs w:val="11"/>
                <w:b w:val="1"/>
                <w:bCs w:val="1"/>
                <w:color w:val="231F20"/>
              </w:rPr>
              <w:t>2026</w:t>
            </w:r>
          </w:p>
        </w:tc>
        <w:tc>
          <w:tcPr>
            <w:tcW w:w="480" w:type="dxa"/>
            <w:vAlign w:val="bottom"/>
            <w:tcBorders>
              <w:bottom w:val="single" w:sz="8" w:color="auto"/>
            </w:tcBorders>
          </w:tcPr>
          <w:p>
            <w:pPr>
              <w:spacing w:after="0"/>
              <w:rPr>
                <w:sz w:val="9"/>
                <w:szCs w:val="9"/>
                <w:color w:val="auto"/>
              </w:rPr>
            </w:pPr>
          </w:p>
        </w:tc>
        <w:tc>
          <w:tcPr>
            <w:tcW w:w="42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jc w:val="right"/>
              <w:ind w:right="626"/>
              <w:spacing w:after="0" w:line="106" w:lineRule="exact"/>
              <w:rPr>
                <w:sz w:val="20"/>
                <w:szCs w:val="20"/>
                <w:color w:val="auto"/>
              </w:rPr>
            </w:pPr>
            <w:r>
              <w:rPr>
                <w:rFonts w:ascii="Times New Roman" w:cs="Times New Roman" w:eastAsia="Times New Roman" w:hAnsi="Times New Roman"/>
                <w:sz w:val="11"/>
                <w:szCs w:val="11"/>
                <w:b w:val="1"/>
                <w:bCs w:val="1"/>
                <w:color w:val="231F20"/>
              </w:rPr>
              <w:t>2025</w:t>
            </w:r>
          </w:p>
        </w:tc>
      </w:tr>
      <w:tr>
        <w:trPr>
          <w:trHeight w:val="106"/>
        </w:trPr>
        <w:tc>
          <w:tcPr>
            <w:tcW w:w="774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231F20"/>
              </w:rPr>
              <w:t>Cash and cash equivalents</w:t>
            </w:r>
          </w:p>
        </w:tc>
        <w:tc>
          <w:tcPr>
            <w:tcW w:w="1080" w:type="dxa"/>
            <w:vAlign w:val="bottom"/>
            <w:shd w:val="clear" w:color="auto" w:fill="CCEEFF"/>
          </w:tcPr>
          <w:p>
            <w:pPr>
              <w:jc w:val="right"/>
              <w:ind w:right="96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19,671</w:t>
            </w:r>
          </w:p>
        </w:tc>
        <w:tc>
          <w:tcPr>
            <w:tcW w:w="420" w:type="dxa"/>
            <w:vAlign w:val="bottom"/>
            <w:shd w:val="clear" w:color="auto" w:fill="CCEEFF"/>
          </w:tcPr>
          <w:p>
            <w:pPr>
              <w:spacing w:after="0"/>
              <w:rPr>
                <w:sz w:val="9"/>
                <w:szCs w:val="9"/>
                <w:color w:val="auto"/>
              </w:rPr>
            </w:pPr>
          </w:p>
        </w:tc>
        <w:tc>
          <w:tcPr>
            <w:tcW w:w="380" w:type="dxa"/>
            <w:vAlign w:val="bottom"/>
            <w:shd w:val="clear" w:color="auto" w:fill="CCEEFF"/>
          </w:tcPr>
          <w:p>
            <w:pPr>
              <w:jc w:val="right"/>
              <w:ind w:right="26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109,786</w:t>
            </w:r>
          </w:p>
        </w:tc>
      </w:tr>
      <w:tr>
        <w:trPr>
          <w:trHeight w:val="117"/>
        </w:trPr>
        <w:tc>
          <w:tcPr>
            <w:tcW w:w="77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Restricted cash</w:t>
            </w:r>
          </w:p>
        </w:tc>
        <w:tc>
          <w:tcPr>
            <w:tcW w:w="1080" w:type="dxa"/>
            <w:vAlign w:val="bottom"/>
          </w:tcPr>
          <w:p>
            <w:pPr>
              <w:spacing w:after="0"/>
              <w:rPr>
                <w:sz w:val="10"/>
                <w:szCs w:val="10"/>
                <w:color w:val="auto"/>
              </w:rPr>
            </w:pPr>
          </w:p>
        </w:tc>
        <w:tc>
          <w:tcPr>
            <w:tcW w:w="900" w:type="dxa"/>
            <w:vAlign w:val="bottom"/>
            <w:gridSpan w:val="2"/>
          </w:tcPr>
          <w:p>
            <w:pPr>
              <w:jc w:val="right"/>
              <w:ind w:right="420"/>
              <w:spacing w:after="0" w:line="117" w:lineRule="exact"/>
              <w:rPr>
                <w:sz w:val="20"/>
                <w:szCs w:val="20"/>
                <w:color w:val="auto"/>
              </w:rPr>
            </w:pPr>
            <w:r>
              <w:rPr>
                <w:rFonts w:ascii="Times New Roman" w:cs="Times New Roman" w:eastAsia="Times New Roman" w:hAnsi="Times New Roman"/>
                <w:sz w:val="11"/>
                <w:szCs w:val="11"/>
                <w:color w:val="auto"/>
              </w:rPr>
              <w:t>4,702</w:t>
            </w:r>
          </w:p>
        </w:tc>
        <w:tc>
          <w:tcPr>
            <w:tcW w:w="380" w:type="dxa"/>
            <w:vAlign w:val="bottom"/>
          </w:tcPr>
          <w:p>
            <w:pPr>
              <w:spacing w:after="0"/>
              <w:rPr>
                <w:sz w:val="10"/>
                <w:szCs w:val="10"/>
                <w:color w:val="auto"/>
              </w:rPr>
            </w:pPr>
          </w:p>
        </w:tc>
        <w:tc>
          <w:tcPr>
            <w:tcW w:w="12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4,475</w:t>
            </w:r>
          </w:p>
        </w:tc>
      </w:tr>
      <w:tr>
        <w:trPr>
          <w:trHeight w:val="113"/>
        </w:trPr>
        <w:tc>
          <w:tcPr>
            <w:tcW w:w="7740" w:type="dxa"/>
            <w:vAlign w:val="bottom"/>
            <w:tcBorders>
              <w:top w:val="single" w:sz="8" w:color="CCEEFF"/>
              <w:bottom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Total cash, cash equivalents and restricted cash</w:t>
            </w:r>
          </w:p>
        </w:tc>
        <w:tc>
          <w:tcPr>
            <w:tcW w:w="1080" w:type="dxa"/>
            <w:vAlign w:val="bottom"/>
            <w:tcBorders>
              <w:top w:val="single" w:sz="8" w:color="auto"/>
              <w:bottom w:val="single" w:sz="8" w:color="auto"/>
            </w:tcBorders>
            <w:shd w:val="clear" w:color="auto" w:fill="CCEEFF"/>
          </w:tcPr>
          <w:p>
            <w:pPr>
              <w:jc w:val="right"/>
              <w:ind w:right="96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24,373</w:t>
            </w:r>
          </w:p>
        </w:tc>
        <w:tc>
          <w:tcPr>
            <w:tcW w:w="420" w:type="dxa"/>
            <w:vAlign w:val="bottom"/>
            <w:tcBorders>
              <w:top w:val="single" w:sz="8" w:color="CCEEFF"/>
              <w:bottom w:val="single" w:sz="8" w:color="CCEEFF"/>
            </w:tcBorders>
            <w:shd w:val="clear" w:color="auto" w:fill="CCEEFF"/>
          </w:tcPr>
          <w:p>
            <w:pPr>
              <w:spacing w:after="0"/>
              <w:rPr>
                <w:sz w:val="9"/>
                <w:szCs w:val="9"/>
                <w:color w:val="auto"/>
              </w:rPr>
            </w:pPr>
          </w:p>
        </w:tc>
        <w:tc>
          <w:tcPr>
            <w:tcW w:w="380" w:type="dxa"/>
            <w:vAlign w:val="bottom"/>
            <w:tcBorders>
              <w:top w:val="single" w:sz="8" w:color="auto"/>
              <w:bottom w:val="single" w:sz="8" w:color="auto"/>
            </w:tcBorders>
            <w:shd w:val="clear" w:color="auto" w:fill="CCEEFF"/>
          </w:tcPr>
          <w:p>
            <w:pPr>
              <w:jc w:val="right"/>
              <w:ind w:right="26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114,261</w:t>
            </w:r>
          </w:p>
        </w:tc>
      </w:tr>
    </w:tbl>
    <w:p>
      <w:pPr>
        <w:spacing w:after="0" w:line="10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March 31, 2026 and December 31, 2025, restricted cash primarily represents deposits held as security in connection with the Company’s facility lease agreements.</w:t>
      </w:r>
    </w:p>
    <w:p>
      <w:pPr>
        <w:spacing w:after="0" w:line="9" w:lineRule="exact"/>
        <w:rPr>
          <w:sz w:val="20"/>
          <w:szCs w:val="20"/>
          <w:color w:val="auto"/>
        </w:rPr>
      </w:pPr>
    </w:p>
    <w:p>
      <w:pPr>
        <w:ind w:left="5588"/>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3"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jc w:val="center"/>
        <w:spacing w:after="0" w:line="234" w:lineRule="auto"/>
        <w:rPr>
          <w:sz w:val="20"/>
          <w:szCs w:val="20"/>
          <w:color w:val="auto"/>
        </w:rPr>
      </w:pPr>
      <w:r>
        <w:rPr>
          <w:rFonts w:ascii="Times New Roman" w:cs="Times New Roman" w:eastAsia="Times New Roman" w:hAnsi="Times New Roman"/>
          <w:sz w:val="19"/>
          <w:szCs w:val="19"/>
          <w:b w:val="1"/>
          <w:bCs w:val="1"/>
          <w:color w:val="auto"/>
        </w:rPr>
        <w:t>Heartflow, Inc.</w:t>
      </w:r>
    </w:p>
    <w:p>
      <w:pPr>
        <w:jc w:val="center"/>
        <w:spacing w:after="0" w:line="220" w:lineRule="auto"/>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Investments</w:t>
      </w:r>
    </w:p>
    <w:p>
      <w:pPr>
        <w:spacing w:after="0" w:line="127" w:lineRule="exact"/>
        <w:rPr>
          <w:sz w:val="20"/>
          <w:szCs w:val="20"/>
          <w:color w:val="auto"/>
        </w:rPr>
      </w:pPr>
    </w:p>
    <w:p>
      <w:pPr>
        <w:ind w:right="280"/>
        <w:spacing w:after="0" w:line="235" w:lineRule="auto"/>
        <w:rPr>
          <w:sz w:val="20"/>
          <w:szCs w:val="20"/>
          <w:color w:val="auto"/>
        </w:rPr>
      </w:pPr>
      <w:r>
        <w:rPr>
          <w:rFonts w:ascii="Times New Roman" w:cs="Times New Roman" w:eastAsia="Times New Roman" w:hAnsi="Times New Roman"/>
          <w:sz w:val="12"/>
          <w:szCs w:val="12"/>
          <w:color w:val="auto"/>
        </w:rPr>
        <w:t>Short-term and long-term investments consist of debt securities classified as available-for-sale. Short-term investments have original maturities greater than 90 days, but less than one year as of the balance sheet date. Long-term investments have maturities greater than one year as of the balance sheet date. All investments are recorded at fair value based on the fair value hierarchy. Unrealized gains and losses, deemed temporary in nature, are reported as a separate component of accumulated other comprehensive income (loss). Realized gains and losses are included in earnings and are derived based on the specific-identification method for determining the costs of investments sold. Amortization of premiums and accretion of discounts are reported as a component of interest income.</w:t>
      </w:r>
    </w:p>
    <w:p>
      <w:pPr>
        <w:spacing w:after="0" w:line="108"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2"/>
          <w:szCs w:val="12"/>
          <w:color w:val="auto"/>
        </w:rPr>
        <w:t>A decline in the fair value of any security below cost that is deemed other than temporary results in a charge to earnings and the corresponding establishment of a new cost basis for the investment. The Company evaluates the securities in an unrealized loss position for expected credit losses by considering factors such as historical experience, market data, issuer-specific factors, current economic conditions and credit ratings. The Company did not recognize any credit losses on its available-for-sale securities during the three months ended March 31, 2026 and there were no impairment charges for unrealized losses during the period. The Company had no investments during the three months ended March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Fair Value of Financial Instruments</w:t>
      </w:r>
    </w:p>
    <w:p>
      <w:pPr>
        <w:spacing w:after="0" w:line="127" w:lineRule="exact"/>
        <w:rPr>
          <w:sz w:val="20"/>
          <w:szCs w:val="20"/>
          <w:color w:val="auto"/>
        </w:rPr>
      </w:pPr>
    </w:p>
    <w:p>
      <w:pPr>
        <w:ind w:right="400"/>
        <w:spacing w:after="0" w:line="248" w:lineRule="auto"/>
        <w:rPr>
          <w:sz w:val="20"/>
          <w:szCs w:val="20"/>
          <w:color w:val="auto"/>
        </w:rPr>
      </w:pPr>
      <w:r>
        <w:rPr>
          <w:rFonts w:ascii="Times New Roman" w:cs="Times New Roman" w:eastAsia="Times New Roman" w:hAnsi="Times New Roman"/>
          <w:sz w:val="12"/>
          <w:szCs w:val="12"/>
          <w:color w:val="auto"/>
        </w:rPr>
        <w:t>The Company measures certain financial assets and liabilities at fair value on a 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w:t>
      </w:r>
    </w:p>
    <w:p>
      <w:pPr>
        <w:spacing w:after="0" w:line="102"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2"/>
          <w:szCs w:val="12"/>
          <w:color w:val="auto"/>
        </w:rPr>
        <w:t>The Company discloses and recognizes the fair value of its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accounting guidance establishes three levels of the fair value hierarchy as follows: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xml:space="preserve">Level 1 </w:t>
      </w:r>
      <w:r>
        <w:rPr>
          <w:rFonts w:ascii="Times New Roman" w:cs="Times New Roman" w:eastAsia="Times New Roman" w:hAnsi="Times New Roman"/>
          <w:sz w:val="12"/>
          <w:szCs w:val="12"/>
          <w:color w:val="auto"/>
        </w:rPr>
        <w:t>- Observable inputs, such as quoted prices in active markets for identical assets or liabilities;</w:t>
      </w:r>
    </w:p>
    <w:p>
      <w:pPr>
        <w:spacing w:after="0" w:line="11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2"/>
          <w:szCs w:val="12"/>
          <w:i w:val="1"/>
          <w:iCs w:val="1"/>
          <w:color w:val="auto"/>
        </w:rPr>
        <w:t xml:space="preserve">Level 2 </w:t>
      </w:r>
      <w:r>
        <w:rPr>
          <w:rFonts w:ascii="Times New Roman" w:cs="Times New Roman" w:eastAsia="Times New Roman" w:hAnsi="Times New Roman"/>
          <w:sz w:val="12"/>
          <w:szCs w:val="12"/>
          <w:color w:val="auto"/>
        </w:rPr>
        <w:t>- Observable inputs other than Level 1 prices, such as quoted prices for similar assets or liabilities, quoted prices in markets that are not active, or other inputs that are observable or can be corroborated by observable market data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for substantially the full term of the assets or liabilities; and</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xml:space="preserve">Level 3 </w:t>
      </w:r>
      <w:r>
        <w:rPr>
          <w:rFonts w:ascii="Times New Roman" w:cs="Times New Roman" w:eastAsia="Times New Roman" w:hAnsi="Times New Roman"/>
          <w:sz w:val="12"/>
          <w:szCs w:val="12"/>
          <w:color w:val="auto"/>
        </w:rPr>
        <w:t>- Unobservable inputs that are supported by little or no market activity and that are significant to the fair value of the assets or liabilities.</w:t>
      </w:r>
    </w:p>
    <w:p>
      <w:pPr>
        <w:spacing w:after="0" w:line="11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2"/>
          <w:szCs w:val="12"/>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83" w:lineRule="exact"/>
        <w:rPr>
          <w:sz w:val="20"/>
          <w:szCs w:val="20"/>
          <w:color w:val="auto"/>
        </w:rPr>
      </w:pPr>
    </w:p>
    <w:p>
      <w:pPr>
        <w:ind w:right="540"/>
        <w:spacing w:after="0" w:line="264" w:lineRule="auto"/>
        <w:rPr>
          <w:sz w:val="20"/>
          <w:szCs w:val="20"/>
          <w:color w:val="auto"/>
        </w:rPr>
      </w:pPr>
      <w:r>
        <w:rPr>
          <w:rFonts w:ascii="Times New Roman" w:cs="Times New Roman" w:eastAsia="Times New Roman" w:hAnsi="Times New Roman"/>
          <w:sz w:val="12"/>
          <w:szCs w:val="12"/>
          <w:color w:val="auto"/>
        </w:rPr>
        <w:t>As of March 31, 2026 and December 31, 2025, the carrying amounts of the Company’s financial instruments carried at amortized cost, including cash equivalents, accounts receivable, accounts payable and accrued liabilities approximate fair value due to their relatively short maturities and market interest rates, if applicable.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Concentration of Credit Risk and Significant Customers</w:t>
      </w:r>
    </w:p>
    <w:p>
      <w:pPr>
        <w:spacing w:after="0" w:line="118"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2"/>
          <w:szCs w:val="12"/>
          <w:color w:val="auto"/>
        </w:rPr>
        <w:t>Financial instruments that potentially subject the Company to credit risk consist primarily of cash and cash equivalents, investments, restricted cash and accounts receivable. The Company maintains bank deposits in federally insured financial institutions, and these deposits may at times exceed federally insured limits. The Company</w:t>
      </w: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127635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 w:name="page13"/>
    <w:bookmarkEnd w:id="12"/>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jc w:val="center"/>
        <w:ind w:right="-27"/>
        <w:spacing w:after="0" w:line="234" w:lineRule="auto"/>
        <w:rPr>
          <w:sz w:val="20"/>
          <w:szCs w:val="20"/>
          <w:color w:val="auto"/>
        </w:rPr>
      </w:pPr>
      <w:r>
        <w:rPr>
          <w:rFonts w:ascii="Times New Roman" w:cs="Times New Roman" w:eastAsia="Times New Roman" w:hAnsi="Times New Roman"/>
          <w:sz w:val="19"/>
          <w:szCs w:val="19"/>
          <w:b w:val="1"/>
          <w:bCs w:val="1"/>
          <w:color w:val="auto"/>
        </w:rPr>
        <w:t>Heartflow, Inc.</w:t>
      </w:r>
    </w:p>
    <w:p>
      <w:pPr>
        <w:jc w:val="center"/>
        <w:ind w:right="-27"/>
        <w:spacing w:after="0" w:line="220" w:lineRule="auto"/>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11" w:lineRule="exact"/>
        <w:rPr>
          <w:sz w:val="20"/>
          <w:szCs w:val="20"/>
          <w:color w:val="auto"/>
        </w:rPr>
      </w:pPr>
    </w:p>
    <w:p>
      <w:pPr>
        <w:jc w:val="both"/>
        <w:ind w:left="8" w:right="120"/>
        <w:spacing w:after="0" w:line="235" w:lineRule="auto"/>
        <w:rPr>
          <w:sz w:val="20"/>
          <w:szCs w:val="20"/>
          <w:color w:val="auto"/>
        </w:rPr>
      </w:pPr>
      <w:r>
        <w:rPr>
          <w:rFonts w:ascii="Times New Roman" w:cs="Times New Roman" w:eastAsia="Times New Roman" w:hAnsi="Times New Roman"/>
          <w:sz w:val="12"/>
          <w:szCs w:val="12"/>
          <w:color w:val="auto"/>
        </w:rPr>
        <w:t>currently has full control of its cash and cash equivalents balance. Cash equivalents are invested in highly rated money market funds. The Company invests in a variety of financial instruments, such as, but not limited to, commercial paper, corporate bonds/notes, U.S. government securities, U.S. treasury bills, agency bonds/notes, and, by policy, limits the amount of credit exposure with any one financial institution or commercial issuer. To date, the Company has not experienced any losses on its deposits of cash and cash equivalents or investments.</w:t>
      </w:r>
    </w:p>
    <w:p>
      <w:pPr>
        <w:spacing w:after="0" w:line="1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No single customer represented more than 10% of the Company’s revenue during the three months ended March 31, 2026 and 2025.</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No single customer represented more than 10% of the Company’s accounts receivable as of March 31, 2026 and December 31, 2025.</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Impairment of Long-Lived Assets</w:t>
      </w:r>
    </w:p>
    <w:p>
      <w:pPr>
        <w:spacing w:after="0" w:line="127" w:lineRule="exact"/>
        <w:rPr>
          <w:sz w:val="20"/>
          <w:szCs w:val="20"/>
          <w:color w:val="auto"/>
        </w:rPr>
      </w:pPr>
    </w:p>
    <w:p>
      <w:pPr>
        <w:ind w:left="8" w:right="80"/>
        <w:spacing w:after="0" w:line="235" w:lineRule="auto"/>
        <w:rPr>
          <w:sz w:val="20"/>
          <w:szCs w:val="20"/>
          <w:color w:val="auto"/>
        </w:rPr>
      </w:pPr>
      <w:r>
        <w:rPr>
          <w:rFonts w:ascii="Times New Roman" w:cs="Times New Roman" w:eastAsia="Times New Roman" w:hAnsi="Times New Roman"/>
          <w:sz w:val="12"/>
          <w:szCs w:val="12"/>
          <w:color w:val="auto"/>
        </w:rPr>
        <w:t>The Company reviews its long-lived assets, including property and equipment, for impairment at least annually and whenever events or changes in circumstances indicate that the carrying amount of an asset may not be recoverable. When factors indicate that long-lived assets should be evaluated for possible impairment, the Company uses an estimate of the related undiscounted future cash flows over the remaining useful life of the long-lived assets in measuring whether they are recoverable. If the asset or asset group is not recoverable, an impairment loss is recognized based on the excess of the carrying amount over the fair value of the asset or asset group. During the three months ended March 31, 2026, the Company recognized an asset impairment charge of $7.5 million. See Note 6 for additional information. There were no long-lived asset impairments during the three months ended March 31, 2025.</w:t>
      </w:r>
    </w:p>
    <w:p>
      <w:pPr>
        <w:spacing w:after="0" w:line="9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Leases</w:t>
      </w:r>
    </w:p>
    <w:p>
      <w:pPr>
        <w:spacing w:after="0" w:line="127" w:lineRule="exact"/>
        <w:rPr>
          <w:sz w:val="20"/>
          <w:szCs w:val="20"/>
          <w:color w:val="auto"/>
        </w:rPr>
      </w:pPr>
    </w:p>
    <w:p>
      <w:pPr>
        <w:ind w:left="8"/>
        <w:spacing w:after="0" w:line="264" w:lineRule="auto"/>
        <w:rPr>
          <w:sz w:val="20"/>
          <w:szCs w:val="20"/>
          <w:color w:val="auto"/>
        </w:rPr>
      </w:pPr>
      <w:r>
        <w:rPr>
          <w:rFonts w:ascii="Times New Roman" w:cs="Times New Roman" w:eastAsia="Times New Roman" w:hAnsi="Times New Roman"/>
          <w:sz w:val="12"/>
          <w:szCs w:val="12"/>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w:t>
      </w:r>
    </w:p>
    <w:p>
      <w:pPr>
        <w:spacing w:after="0" w:line="83" w:lineRule="exact"/>
        <w:rPr>
          <w:sz w:val="20"/>
          <w:szCs w:val="20"/>
          <w:color w:val="auto"/>
        </w:rPr>
      </w:pPr>
    </w:p>
    <w:p>
      <w:pPr>
        <w:jc w:val="both"/>
        <w:ind w:left="8" w:right="140"/>
        <w:spacing w:after="0" w:line="232" w:lineRule="auto"/>
        <w:rPr>
          <w:sz w:val="20"/>
          <w:szCs w:val="20"/>
          <w:color w:val="auto"/>
        </w:rPr>
      </w:pPr>
      <w:r>
        <w:rPr>
          <w:rFonts w:ascii="Times New Roman" w:cs="Times New Roman" w:eastAsia="Times New Roman" w:hAnsi="Times New Roman"/>
          <w:sz w:val="12"/>
          <w:szCs w:val="12"/>
          <w:color w:val="auto"/>
        </w:rPr>
        <w:t>An ROU asset and corresponding lease liability are recorded on the condensed consolidated balance sheets based on the present value of lease payments over the lease term. An ROU asset represents the right to control the use of an identified asset over the lease term, and a lease liability represents the obligation to make lease payments arising from the lease. Leases with an initial term of 12 months or less are not recorded in the condensed consolidated balance sheets. The Company uses its incremental borrowing rate to determine the present value of lease payments, as the discount rate implicit in the lease is not readily available. The lease terms used to calculate the ROU asset and related lease liabilities include options to extend or terminate the lease when it is reasonably certain that the Company will exercise that option. The Company elected to account for contracts that contain lease and non-lease components as a single lease component. For the three months ended March 31, 2026 and 2025, the Company’s only leases were for its facilities, which are classified as operating leases with lease expense recognized on a straight-line basis over the lease term. Variable lease costs, which primarily consist of common area maintenance, taxes, and utility charges, are expensed as incurred. The Company does not have any finance leases.</w:t>
      </w:r>
    </w:p>
    <w:p>
      <w:pPr>
        <w:spacing w:after="0" w:line="10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Revenue Recognition</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Company sells its Heartflow Platform to medical providers in the United States and in select international markets. The Company determines revenue recognition through the following steps:</w:t>
      </w:r>
    </w:p>
    <w:p>
      <w:pPr>
        <w:spacing w:after="0" w:line="122" w:lineRule="exact"/>
        <w:rPr>
          <w:sz w:val="20"/>
          <w:szCs w:val="20"/>
          <w:color w:val="auto"/>
        </w:rPr>
      </w:pPr>
    </w:p>
    <w:p>
      <w:pPr>
        <w:ind w:left="208" w:hanging="208"/>
        <w:spacing w:after="0"/>
        <w:tabs>
          <w:tab w:leader="none" w:pos="208" w:val="left"/>
        </w:tabs>
        <w:numPr>
          <w:ilvl w:val="0"/>
          <w:numId w:val="4"/>
        </w:numPr>
        <w:rPr>
          <w:rFonts w:ascii="Arial" w:cs="Arial" w:eastAsia="Arial" w:hAnsi="Arial"/>
          <w:sz w:val="12"/>
          <w:szCs w:val="12"/>
          <w:color w:val="auto"/>
        </w:rPr>
      </w:pPr>
      <w:r>
        <w:rPr>
          <w:rFonts w:ascii="Times New Roman" w:cs="Times New Roman" w:eastAsia="Times New Roman" w:hAnsi="Times New Roman"/>
          <w:sz w:val="12"/>
          <w:szCs w:val="12"/>
          <w:color w:val="auto"/>
        </w:rPr>
        <w:t>Identification of the contract, or contracts, with a customer;</w:t>
      </w:r>
    </w:p>
    <w:p>
      <w:pPr>
        <w:ind w:left="208" w:hanging="208"/>
        <w:spacing w:after="0" w:line="218" w:lineRule="auto"/>
        <w:tabs>
          <w:tab w:leader="none" w:pos="208" w:val="left"/>
        </w:tabs>
        <w:numPr>
          <w:ilvl w:val="0"/>
          <w:numId w:val="4"/>
        </w:numPr>
        <w:rPr>
          <w:rFonts w:ascii="Arial" w:cs="Arial" w:eastAsia="Arial" w:hAnsi="Arial"/>
          <w:sz w:val="12"/>
          <w:szCs w:val="12"/>
          <w:color w:val="auto"/>
        </w:rPr>
      </w:pPr>
      <w:r>
        <w:rPr>
          <w:rFonts w:ascii="Times New Roman" w:cs="Times New Roman" w:eastAsia="Times New Roman" w:hAnsi="Times New Roman"/>
          <w:sz w:val="12"/>
          <w:szCs w:val="12"/>
          <w:color w:val="auto"/>
        </w:rPr>
        <w:t>Identification of the performance obligations in the contract;</w:t>
      </w:r>
    </w:p>
    <w:p>
      <w:pPr>
        <w:ind w:left="208" w:hanging="208"/>
        <w:spacing w:after="0" w:line="233" w:lineRule="auto"/>
        <w:tabs>
          <w:tab w:leader="none" w:pos="208" w:val="left"/>
        </w:tabs>
        <w:numPr>
          <w:ilvl w:val="0"/>
          <w:numId w:val="4"/>
        </w:numPr>
        <w:rPr>
          <w:rFonts w:ascii="Arial" w:cs="Arial" w:eastAsia="Arial" w:hAnsi="Arial"/>
          <w:sz w:val="12"/>
          <w:szCs w:val="12"/>
          <w:color w:val="auto"/>
        </w:rPr>
      </w:pPr>
      <w:r>
        <w:rPr>
          <w:rFonts w:ascii="Times New Roman" w:cs="Times New Roman" w:eastAsia="Times New Roman" w:hAnsi="Times New Roman"/>
          <w:sz w:val="12"/>
          <w:szCs w:val="12"/>
          <w:color w:val="auto"/>
        </w:rPr>
        <w:t>Determination of the transaction price;</w:t>
      </w:r>
    </w:p>
    <w:p>
      <w:pPr>
        <w:ind w:left="208" w:hanging="208"/>
        <w:spacing w:after="0" w:line="218" w:lineRule="auto"/>
        <w:tabs>
          <w:tab w:leader="none" w:pos="208" w:val="left"/>
        </w:tabs>
        <w:numPr>
          <w:ilvl w:val="0"/>
          <w:numId w:val="4"/>
        </w:numPr>
        <w:rPr>
          <w:rFonts w:ascii="Arial" w:cs="Arial" w:eastAsia="Arial" w:hAnsi="Arial"/>
          <w:sz w:val="12"/>
          <w:szCs w:val="12"/>
          <w:color w:val="auto"/>
        </w:rPr>
      </w:pPr>
      <w:r>
        <w:rPr>
          <w:rFonts w:ascii="Times New Roman" w:cs="Times New Roman" w:eastAsia="Times New Roman" w:hAnsi="Times New Roman"/>
          <w:sz w:val="12"/>
          <w:szCs w:val="12"/>
          <w:color w:val="auto"/>
        </w:rPr>
        <w:t>Allocation of the transaction price to the performance obligations in the contract; and</w:t>
      </w:r>
    </w:p>
    <w:p>
      <w:pPr>
        <w:ind w:left="208" w:hanging="208"/>
        <w:spacing w:after="0" w:line="233" w:lineRule="auto"/>
        <w:tabs>
          <w:tab w:leader="none" w:pos="208" w:val="left"/>
        </w:tabs>
        <w:numPr>
          <w:ilvl w:val="0"/>
          <w:numId w:val="4"/>
        </w:numPr>
        <w:rPr>
          <w:rFonts w:ascii="Arial" w:cs="Arial" w:eastAsia="Arial" w:hAnsi="Arial"/>
          <w:sz w:val="12"/>
          <w:szCs w:val="12"/>
          <w:color w:val="auto"/>
        </w:rPr>
      </w:pPr>
      <w:r>
        <w:rPr>
          <w:rFonts w:ascii="Times New Roman" w:cs="Times New Roman" w:eastAsia="Times New Roman" w:hAnsi="Times New Roman"/>
          <w:sz w:val="12"/>
          <w:szCs w:val="12"/>
          <w:color w:val="auto"/>
        </w:rPr>
        <w:t>Recognition of revenue when, or as, the Company satisfies a performance obligation.</w:t>
      </w:r>
    </w:p>
    <w:p>
      <w:pPr>
        <w:spacing w:after="0" w:line="1"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jc w:val="center"/>
        <w:spacing w:after="0" w:line="234" w:lineRule="auto"/>
        <w:rPr>
          <w:sz w:val="20"/>
          <w:szCs w:val="20"/>
          <w:color w:val="auto"/>
        </w:rPr>
      </w:pPr>
      <w:r>
        <w:rPr>
          <w:rFonts w:ascii="Times New Roman" w:cs="Times New Roman" w:eastAsia="Times New Roman" w:hAnsi="Times New Roman"/>
          <w:sz w:val="19"/>
          <w:szCs w:val="19"/>
          <w:b w:val="1"/>
          <w:bCs w:val="1"/>
          <w:color w:val="auto"/>
        </w:rPr>
        <w:t>Heartflow, Inc.</w:t>
      </w:r>
    </w:p>
    <w:p>
      <w:pPr>
        <w:jc w:val="center"/>
        <w:spacing w:after="0" w:line="220" w:lineRule="auto"/>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63"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2"/>
          <w:szCs w:val="12"/>
          <w:color w:val="auto"/>
        </w:rPr>
        <w:t>The Company identified a single performance obligation, which is comprised of a highly interdependent bundle of goods or services that are not distinct on their own but are as a group and consists of the requested analysis, including an image file and related licenses and support. Revenue recognition commences only after completion of installation, implementation and training for new customer accounts. The Company’s service consists of providing a visualization of the patient’s coronary arteries and enables physicians to create more effective treatment plans. This service is normally billable upon delivery of the analysis to the physician. Payment terms are generally net 30 days.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Substantially all of the Company’s revenue is from usage-driven fees and generated on a “pay-per-click” basis each time a physician orders the Company’s Heartflow FFR</w:t>
      </w:r>
      <w:r>
        <w:rPr>
          <w:rFonts w:ascii="Times New Roman" w:cs="Times New Roman" w:eastAsia="Times New Roman" w:hAnsi="Times New Roman"/>
          <w:sz w:val="19"/>
          <w:szCs w:val="19"/>
          <w:color w:val="auto"/>
          <w:vertAlign w:val="subscript"/>
        </w:rPr>
        <w:t>CT</w:t>
      </w:r>
      <w:r>
        <w:rPr>
          <w:rFonts w:ascii="Times New Roman" w:cs="Times New Roman" w:eastAsia="Times New Roman" w:hAnsi="Times New Roman"/>
          <w:sz w:val="12"/>
          <w:szCs w:val="12"/>
          <w:color w:val="auto"/>
        </w:rPr>
        <w:t xml:space="preserve"> Analysis and Plaque Analysis. Revenue is recognized when</w:t>
      </w:r>
    </w:p>
    <w:p>
      <w:pPr>
        <w:spacing w:after="0" w:line="33"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12"/>
          <w:szCs w:val="12"/>
          <w:color w:val="auto"/>
        </w:rPr>
        <w:t>control of these services is transferred to the customer, at an amount that reflects the consideration the Company expects to be entitled to receive in exchange for those services. The Company recognizes usage-driven fee revenue upon delivery of the requested analysis to the physician, which is when control of these services is transferred to the customer. The Company recognizes revenue on a straight-line basis over the contract term for subscriptions where the customer pays a fixed amount upfront for unlimited analyses. Contracts with customers typically include a fixed amount of consideration and are generally cancellable with 30 days’ written notice.</w:t>
      </w:r>
    </w:p>
    <w:p>
      <w:pPr>
        <w:spacing w:after="0" w:line="106"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2"/>
          <w:szCs w:val="12"/>
          <w:color w:val="auto"/>
        </w:rPr>
        <w:t>The transaction price consists of fixed consideration and variable consideration related to utilization and volume rebates for reimbursement claims from government and commercial payors which are known and determinable based on the number of analyses delivered within each quarterly period. The transaction price (inclusive of both fixed consideration and variable consideration that is not constrained) is recognized as revenue when control transfers. The Company uses a portfolio approach to estimate variable consideration using the expected value method.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Unbilled Receivables</w:t>
      </w:r>
    </w:p>
    <w:p>
      <w:pPr>
        <w:spacing w:after="0" w:line="127" w:lineRule="exact"/>
        <w:rPr>
          <w:sz w:val="20"/>
          <w:szCs w:val="20"/>
          <w:color w:val="auto"/>
        </w:rPr>
      </w:pPr>
    </w:p>
    <w:p>
      <w:pPr>
        <w:ind w:right="560"/>
        <w:spacing w:after="0" w:line="264" w:lineRule="auto"/>
        <w:rPr>
          <w:sz w:val="20"/>
          <w:szCs w:val="20"/>
          <w:color w:val="auto"/>
        </w:rPr>
      </w:pPr>
      <w:r>
        <w:rPr>
          <w:rFonts w:ascii="Times New Roman" w:cs="Times New Roman" w:eastAsia="Times New Roman" w:hAnsi="Times New Roman"/>
          <w:sz w:val="12"/>
          <w:szCs w:val="12"/>
          <w:color w:val="auto"/>
        </w:rPr>
        <w:t>Unbilled receivables generally represent revenue in which the Company has satisfied its performance obligation prior to invoicing. The Company records unbilled receivables within accounts receivable, net on the condensed consolidated balance sheets, based on the Company’s unconditional right to payment at the end of the applicable period.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Contract Costs</w:t>
      </w:r>
    </w:p>
    <w:p>
      <w:pPr>
        <w:spacing w:after="0" w:line="127"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2"/>
          <w:szCs w:val="12"/>
          <w:color w:val="auto"/>
        </w:rPr>
        <w:t>Costs associated with product revenue include a flat rate commission per analysis and new customer site commissions as well as implementation and onboarding costs. The Company capitalizes new customer site commissions and certain contract fulfillment costs, which include implementation and onboarding costs that are considered to be incremental to the acquisition of new customer contracts. Capitalized contract fulfillment costs are amortized over an estimated period of benefit of two years and capitalized new site commission costs are amortized over an estimated period of benefit of three years. The estimated period of benefit is determined by evaluating average customer life, the nature of the related benefit, and the specific facts and circumstances of the arrangements. The Company evaluates these assumptions at least annually and periodically reviews whether events or changes in circumstances have occurred that could impact the period of benefit.</w:t>
      </w:r>
    </w:p>
    <w:p>
      <w:pPr>
        <w:spacing w:after="0" w:line="10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1"/>
          <w:szCs w:val="11"/>
          <w:color w:val="auto"/>
        </w:rPr>
        <w:t>The Company expenses flat rate commissions when incurred as commensurate with its usage-driven fee revenue recognition and amortizes capitalized new customer site commissions to selling, general and administrative expense in the condensed consolidated statements of operations and comprehensive loss. The Company amortizes capitalized contract fulfillment costs to cost of revenue in the condensed consolidated statements of operations and comprehensive loss.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Remaining Performance Obligations</w:t>
      </w:r>
    </w:p>
    <w:p>
      <w:pPr>
        <w:spacing w:after="0" w:line="118"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2"/>
          <w:szCs w:val="12"/>
          <w:color w:val="auto"/>
        </w:rPr>
        <w:t>Revenue allocated to remaining performance obligations represents the transaction price allocated to performance obligations that are unsatisfied, or partially unsatisfied. It includes contract liabilities and amounts that will be invoiced and recognized as revenue in future periods and does not include contracts where the customer is not committed. The customer is considered not committed when they are able to terminate for convenience without</w:t>
      </w: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127635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3"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jc w:val="center"/>
        <w:ind w:right="-39"/>
        <w:spacing w:after="0" w:line="234" w:lineRule="auto"/>
        <w:rPr>
          <w:sz w:val="20"/>
          <w:szCs w:val="20"/>
          <w:color w:val="auto"/>
        </w:rPr>
      </w:pPr>
      <w:r>
        <w:rPr>
          <w:rFonts w:ascii="Times New Roman" w:cs="Times New Roman" w:eastAsia="Times New Roman" w:hAnsi="Times New Roman"/>
          <w:sz w:val="19"/>
          <w:szCs w:val="19"/>
          <w:b w:val="1"/>
          <w:bCs w:val="1"/>
          <w:color w:val="auto"/>
        </w:rPr>
        <w:t>Heartflow, Inc.</w:t>
      </w:r>
    </w:p>
    <w:p>
      <w:pPr>
        <w:jc w:val="center"/>
        <w:ind w:right="-39"/>
        <w:spacing w:after="0" w:line="220" w:lineRule="auto"/>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11"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12"/>
          <w:szCs w:val="12"/>
          <w:color w:val="auto"/>
        </w:rPr>
        <w:t>payment of a substantive penalty under the contract. Additionally, as a practical expedient, the Company has not disclosed the value of unsatisfied performance obligations for contracts with an original expected length of one year or less.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Contract Liabilities</w:t>
      </w:r>
    </w:p>
    <w:p>
      <w:pPr>
        <w:spacing w:after="0" w:line="12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2"/>
          <w:szCs w:val="12"/>
          <w:color w:val="auto"/>
        </w:rPr>
        <w:t>The Company records contract liabilities when billings or payments are received in advance of revenue recognition. The contract liabilities balance is reduced as the revenue recognition criteria is met, generally within 12 months. Once services are available to customers, the Company records amounts due in accounts receivable, net and contract liabilities within accrued expenses and other current liabilities on the condensed consolidated balance sheets. To the extent the Company bills customers in advance of the billing period commencement date, the accounts receivable and corresponding contract liabilities amount are netted to zero on the condensed consolidated balance sheets, unless such amounts have been paid as of the balance sheet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Cost of Revenue</w:t>
      </w:r>
    </w:p>
    <w:p>
      <w:pPr>
        <w:spacing w:after="0" w:line="118"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2"/>
          <w:szCs w:val="12"/>
          <w:color w:val="auto"/>
        </w:rPr>
        <w:t>Cost of revenue consists of personnel and related expenses, including stock-based compensation costs, primarily related to our production team. Additional costs include third-party hosting fees, amortization of capitalized internal-use software, amortization of contract fulfillment costs as well as royalties associated with technology licenses used in connection with the delivery of the Company’s product and allocated overhead, which includes facilities expenses, equipment, depreciation and technology services. These costs are partially offset by capitalized contract fulfillment costs. The role of the production team is to support the Company’s patient case volume revenue by performing defined quality-related activities on CCTA scans submitted by its customers for analysis. The portion of these costs that supports patient case volume revenue is recorded as cost of revenue. The production team also supports activities in the Company’s clinical trials and research and development, which are allocated as research and development expense.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Stock-Based Compensation</w:t>
      </w:r>
    </w:p>
    <w:p>
      <w:pPr>
        <w:spacing w:after="0" w:line="118"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2"/>
          <w:szCs w:val="12"/>
          <w:color w:val="auto"/>
        </w:rPr>
        <w:t>The Company accounts for share-based payments at fair value. The grant date fair value of options granted is measured using the Black-Scholes option pricing model. Option awards vest based on the satisfaction of a service requirement, and stock-based compensation expense is recorded on a straight-line basis over the applicable service period, which is generally four years. For performance-based stock options, the Company will assess the probability of performance conditions being achieved in each reporting period. The amount of stock-based compensation expense recognized in any one period related to performance-based stock options can vary based on the achievement or anticipated achievement of the performance conditions. Forfeitures are recognized in the period in which the forfeiture occurs.</w:t>
      </w:r>
    </w:p>
    <w:p>
      <w:pPr>
        <w:spacing w:after="0" w:line="98"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2"/>
          <w:szCs w:val="12"/>
          <w:color w:val="auto"/>
        </w:rPr>
        <w:t>The Company accounts for stock-based compensation for restricted stock units at their fair value, based on the closing market price of the Company’s common stock on the date of grant. These costs are recognized on a straight-line basis over the requisite service period, which is usually the vesting period.</w:t>
      </w:r>
    </w:p>
    <w:p>
      <w:pPr>
        <w:spacing w:after="0" w:line="92"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2"/>
          <w:szCs w:val="12"/>
          <w:color w:val="auto"/>
        </w:rPr>
        <w:t>The Company accounts for stock-based compensation for its employee stock purchase plan based on the estimated fair value of the options on the date of grant. The Company estimates the grant date fair value using the Black-Scholes option pricing model for each purchase period. These costs are recognized on a straight-line basis over the offering period.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Income Taxes</w:t>
      </w:r>
    </w:p>
    <w:p>
      <w:pPr>
        <w:spacing w:after="0" w:line="118"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2"/>
          <w:szCs w:val="12"/>
          <w:color w:val="auto"/>
        </w:rPr>
        <w:t>The Company accounts for income taxes under the asset and liability method. Under this method, deferred tax assets and liabilities are determined based on the temporary differences between the financial statement and tax basis of assets and liabilities using enacted tax rates in effect for the year in which the differences are expected to reverse. As a result of the history of net operating losses, the Company has provided for a full valuation allowance in the United States against the deferred tax assets for assets that are not more-likely-than-not to be realized.</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129540</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jc w:val="center"/>
        <w:ind w:right="-59"/>
        <w:spacing w:after="0" w:line="234" w:lineRule="auto"/>
        <w:rPr>
          <w:sz w:val="20"/>
          <w:szCs w:val="20"/>
          <w:color w:val="auto"/>
        </w:rPr>
      </w:pPr>
      <w:r>
        <w:rPr>
          <w:rFonts w:ascii="Times New Roman" w:cs="Times New Roman" w:eastAsia="Times New Roman" w:hAnsi="Times New Roman"/>
          <w:sz w:val="19"/>
          <w:szCs w:val="19"/>
          <w:b w:val="1"/>
          <w:bCs w:val="1"/>
          <w:color w:val="auto"/>
        </w:rPr>
        <w:t>Heartflow, Inc.</w:t>
      </w:r>
    </w:p>
    <w:p>
      <w:pPr>
        <w:jc w:val="center"/>
        <w:ind w:right="-59"/>
        <w:spacing w:after="0" w:line="220" w:lineRule="auto"/>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37"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2"/>
          <w:szCs w:val="12"/>
          <w:color w:val="auto"/>
        </w:rPr>
        <w:t>The Company applies a comprehensive model for the recognition, measurement, presentation and disclosure in the condensed consolidated financial statements of any uncertain tax positions that have been taken or are expected to be taken on a tax return using a two-step approach. The first step is to evaluate the tax position taken or expected to be taken in a tax return by determining if the weight of available evidence indicates that it is more likely than not that the tax position will be sustained upon examination by the relevant taxing authorities, based on the technical merits of the position. For tax positions that are more likely than not to be sustained upon audit, the second step is to measure the tax benefit in the financial statements as the largest benefit that has a greater than 50% likelihood of being sustained upon settlement. Significant judgment is required to evaluate uncertain tax positions. Changes in facts and circumstances could have a material impact on the Company’s effective tax rate and results of operations. The Company recognizes interest and penalties, if any, related to unrecognized tax benefits as a component of provision for income taxes in the condensed consolidated statements of operations and comprehensive loss.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Comprehensive Loss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Comprehensive loss is comprised of net loss, changes in unrealized gains and losses on investments classified as available-for-sale and foreign currency translation gains and losses.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Foreign Currency</w:t>
      </w:r>
    </w:p>
    <w:p>
      <w:pPr>
        <w:spacing w:after="0" w:line="127"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2"/>
          <w:szCs w:val="12"/>
          <w:color w:val="auto"/>
        </w:rPr>
        <w:t>The functional currency of the Company’s foreign subsidiaries is the local currency. For all non-functional currency balances, the remeasurement of such balances to the functional currency results in either a foreign exchange transaction gain or loss, which is recorded within other income, net within the condensed consolidated statements of operations and comprehensive loss. The Company recognized a foreign exchange transaction loss of $(418,000) and $(357,000) during the three months ended March 31, 2026 and 2025, respectively. The Company recognized $262,000 and $(236,000) during the three months ended March 31, 2026 and 2025, respectively, of foreign currency translation gain (loss) in the condensed statements of comprehensive loss related to foreign subsidiaries which have local functional currencies.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Loss Per Share</w:t>
      </w:r>
    </w:p>
    <w:p>
      <w:pPr>
        <w:spacing w:after="0" w:line="127"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2"/>
          <w:szCs w:val="12"/>
          <w:color w:val="auto"/>
        </w:rPr>
        <w:t>Basic net loss per common share is calculated by dividing the net loss by the weighted-average number of shares of common stock outstanding during the period, without consideration of potentially dilutive securities. Diluted net loss per share is computed by dividing the net loss by the weighted-average number of shares of common stock and potentially dilutive securities outstanding for the period. For purposes of the diluted net loss per share calculation, the redeemable convertible preferred stock, common stock warrants, common stock options and restricted stock units are considered to be potentially dilutive securities.</w:t>
      </w:r>
    </w:p>
    <w:p>
      <w:pPr>
        <w:spacing w:after="0" w:line="97"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2"/>
          <w:szCs w:val="12"/>
          <w:color w:val="auto"/>
        </w:rPr>
        <w:t>Basic and diluted net loss per share is presented in conformity with the two-class method required for participating securities as the redeemable convertible preferred stock and common stock subject to repurchase are considered participating securities. The Company’s participating securities do not have a contractual obligation to share in the Company’s losses. As such, the net loss is attributed entirely to common stockholders. Diluted net loss per share is the same as basic net loss per share because the effects of potentially dilutive items were anti-dilutive given the Company’s net loss position during the three months ended March 31, 2026 and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27" w:lineRule="exact"/>
        <w:rPr>
          <w:sz w:val="20"/>
          <w:szCs w:val="20"/>
          <w:color w:val="auto"/>
        </w:rPr>
      </w:pPr>
    </w:p>
    <w:p>
      <w:pPr>
        <w:ind w:right="140"/>
        <w:spacing w:after="0" w:line="228" w:lineRule="auto"/>
        <w:rPr>
          <w:sz w:val="20"/>
          <w:szCs w:val="20"/>
          <w:color w:val="auto"/>
        </w:rPr>
      </w:pPr>
      <w:r>
        <w:rPr>
          <w:rFonts w:ascii="Times New Roman" w:cs="Times New Roman" w:eastAsia="Times New Roman" w:hAnsi="Times New Roman"/>
          <w:sz w:val="12"/>
          <w:szCs w:val="12"/>
          <w:color w:val="auto"/>
        </w:rPr>
        <w:t>From time to time, new accounting pronouncements are issued by the Financial Accounting Standards Board (“FASB”) or other standard setting bodies and adopted by the Company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127635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jc w:val="center"/>
        <w:spacing w:after="0" w:line="234" w:lineRule="auto"/>
        <w:rPr>
          <w:sz w:val="20"/>
          <w:szCs w:val="20"/>
          <w:color w:val="auto"/>
        </w:rPr>
      </w:pPr>
      <w:r>
        <w:rPr>
          <w:rFonts w:ascii="Times New Roman" w:cs="Times New Roman" w:eastAsia="Times New Roman" w:hAnsi="Times New Roman"/>
          <w:sz w:val="19"/>
          <w:szCs w:val="19"/>
          <w:b w:val="1"/>
          <w:bCs w:val="1"/>
          <w:color w:val="auto"/>
        </w:rPr>
        <w:t>Heartflow, Inc.</w:t>
      </w:r>
    </w:p>
    <w:p>
      <w:pPr>
        <w:jc w:val="center"/>
        <w:spacing w:after="0" w:line="220" w:lineRule="auto"/>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choose to early adopt any new or revised accounting standards whenever such early adoption is permitted for nonpublic companies.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Recently Adopted Accounting Pronouncements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In July 2025, the FASB issued ASU 2025-05, </w:t>
      </w:r>
      <w:r>
        <w:rPr>
          <w:rFonts w:ascii="Times New Roman" w:cs="Times New Roman" w:eastAsia="Times New Roman" w:hAnsi="Times New Roman"/>
          <w:sz w:val="12"/>
          <w:szCs w:val="12"/>
          <w:i w:val="1"/>
          <w:iCs w:val="1"/>
          <w:color w:val="auto"/>
        </w:rPr>
        <w:t>Financial Instruments – Credit Losses (Topic 326): Measurement of Credit Losses for Accounts Receivable and Contract Assets</w:t>
      </w:r>
      <w:r>
        <w:rPr>
          <w:rFonts w:ascii="Times New Roman" w:cs="Times New Roman" w:eastAsia="Times New Roman" w:hAnsi="Times New Roman"/>
          <w:sz w:val="12"/>
          <w:szCs w:val="12"/>
          <w:color w:val="auto"/>
        </w:rPr>
        <w:t>, which provides a practical expedient related to the</w:t>
      </w:r>
    </w:p>
    <w:p>
      <w:pPr>
        <w:spacing w:after="0" w:line="11" w:lineRule="exact"/>
        <w:rPr>
          <w:sz w:val="20"/>
          <w:szCs w:val="20"/>
          <w:color w:val="auto"/>
        </w:rPr>
      </w:pPr>
    </w:p>
    <w:p>
      <w:pPr>
        <w:jc w:val="both"/>
        <w:ind w:right="140"/>
        <w:spacing w:after="0" w:line="228" w:lineRule="auto"/>
        <w:rPr>
          <w:sz w:val="20"/>
          <w:szCs w:val="20"/>
          <w:color w:val="auto"/>
        </w:rPr>
      </w:pPr>
      <w:r>
        <w:rPr>
          <w:rFonts w:ascii="Times New Roman" w:cs="Times New Roman" w:eastAsia="Times New Roman" w:hAnsi="Times New Roman"/>
          <w:sz w:val="12"/>
          <w:szCs w:val="12"/>
          <w:color w:val="auto"/>
        </w:rPr>
        <w:t>estimation of expected credit losses for current accounts receivable and current contract assets that arise from transactions accounted for under Accounting Standards Codification Topic 606: Revenue from Contracts with Customers. The practical expedient permits an entity to assume that current conditions as of the balance sheet date do not change for the remaining life of the current accounts receivable and current contract assets. This ASU was effective for the Company on January 1, 2026. The adoption of this pronouncement did not have a material impact on its condensed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Recent Accounting Pronouncements Not Yet Adopted</w:t>
      </w:r>
    </w:p>
    <w:p>
      <w:pPr>
        <w:spacing w:after="0" w:line="125"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2"/>
          <w:szCs w:val="12"/>
          <w:color w:val="auto"/>
        </w:rPr>
        <w:t>In November 2024, the FASB issued ASU 2024-</w:t>
      </w:r>
      <w:r>
        <w:rPr>
          <w:rFonts w:ascii="Times New Roman" w:cs="Times New Roman" w:eastAsia="Times New Roman" w:hAnsi="Times New Roman"/>
          <w:sz w:val="12"/>
          <w:szCs w:val="12"/>
          <w:i w:val="1"/>
          <w:iCs w:val="1"/>
          <w:color w:val="auto"/>
        </w:rPr>
        <w:t>03, Income Statement – Reporting Comprehensive Income – Expense Disaggregation Disclosures (Subtopic 220-40)</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Disaggregation of Income Statement Expenses</w:t>
      </w:r>
      <w:r>
        <w:rPr>
          <w:rFonts w:ascii="Times New Roman" w:cs="Times New Roman" w:eastAsia="Times New Roman" w:hAnsi="Times New Roman"/>
          <w:sz w:val="12"/>
          <w:szCs w:val="12"/>
          <w:color w:val="auto"/>
        </w:rPr>
        <w:t>, which requires more detailed disclosures about specified categories of expenses (including employee compensation, depreciation, and amortization) included in certain expense captions presented on the face of the income statement. This ASU is effective for fiscal years beginning after December 15, 2026, and for interim periods within fiscal years beginning after December 15, 2027, with early adoption permitted. The amendments may be applied either (i) prospectively to financial statements issued for reporting periods after the effective date of this ASU or (ii) retrospectively to all prior periods presented in the financial statements. The Company is currently evaluating the impact of this pronouncement on the disclosures in its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In September 2025, the FASB issued ASU 2025-06, </w:t>
      </w:r>
      <w:r>
        <w:rPr>
          <w:rFonts w:ascii="Times New Roman" w:cs="Times New Roman" w:eastAsia="Times New Roman" w:hAnsi="Times New Roman"/>
          <w:sz w:val="12"/>
          <w:szCs w:val="12"/>
          <w:i w:val="1"/>
          <w:iCs w:val="1"/>
          <w:color w:val="auto"/>
        </w:rPr>
        <w:t>Intangibles – Goodwill and Other – Internal-Use Software (Subtopic 350-40): Targeted Improvements to the Accounting for Internal-Use Software</w:t>
      </w:r>
      <w:r>
        <w:rPr>
          <w:rFonts w:ascii="Times New Roman" w:cs="Times New Roman" w:eastAsia="Times New Roman" w:hAnsi="Times New Roman"/>
          <w:sz w:val="12"/>
          <w:szCs w:val="12"/>
          <w:color w:val="auto"/>
        </w:rPr>
        <w:t>, which amends certain aspects of</w:t>
      </w:r>
    </w:p>
    <w:p>
      <w:pPr>
        <w:spacing w:after="0" w:line="11"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12"/>
          <w:szCs w:val="12"/>
          <w:color w:val="auto"/>
        </w:rPr>
        <w:t>the accounting for and disclosure of software costs under ASC 350-40 by removing all references to project development stages and provides new guidance on how to evaluate whether the probable-to-complete recognition threshold has been met to begin capitalizing software costs. This ASU is effective for fiscal years beginning after December 15, 2027 and for interim periods within fiscal years beginning after December 15, 2027, with early adoption permitted. The ASU may be applied on a prospective, retrospective or modified prospective basis. The Company is currently evaluating the impact of the adoption of this pronouncement on its consolidated financial statements.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Revenue and Contract Balances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Disaggregation of Revenue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summarizes total revenue from customers by geographic region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08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3"/>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160" w:type="dxa"/>
            <w:vAlign w:val="bottom"/>
            <w:tcBorders>
              <w:bottom w:val="single" w:sz="8" w:color="auto"/>
            </w:tcBorders>
          </w:tcPr>
          <w:p>
            <w:pPr>
              <w:spacing w:after="0"/>
              <w:rPr>
                <w:sz w:val="11"/>
                <w:szCs w:val="11"/>
                <w:color w:val="auto"/>
              </w:rPr>
            </w:pPr>
          </w:p>
        </w:tc>
      </w:tr>
      <w:tr>
        <w:trPr>
          <w:trHeight w:val="106"/>
        </w:trPr>
        <w:tc>
          <w:tcPr>
            <w:tcW w:w="7080" w:type="dxa"/>
            <w:vAlign w:val="bottom"/>
            <w:tcBorders>
              <w:bottom w:val="single" w:sz="8" w:color="CCEEFF"/>
            </w:tcBorders>
          </w:tcPr>
          <w:p>
            <w:pPr>
              <w:spacing w:after="0"/>
              <w:rPr>
                <w:sz w:val="9"/>
                <w:szCs w:val="9"/>
                <w:color w:val="auto"/>
              </w:rPr>
            </w:pPr>
          </w:p>
        </w:tc>
        <w:tc>
          <w:tcPr>
            <w:tcW w:w="1260" w:type="dxa"/>
            <w:vAlign w:val="bottom"/>
            <w:tcBorders>
              <w:bottom w:val="single" w:sz="8" w:color="auto"/>
            </w:tcBorders>
          </w:tcPr>
          <w:p>
            <w:pPr>
              <w:jc w:val="right"/>
              <w:ind w:right="44"/>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880" w:type="dxa"/>
            <w:vAlign w:val="bottom"/>
            <w:tcBorders>
              <w:bottom w:val="single" w:sz="8" w:color="auto"/>
            </w:tcBorders>
          </w:tcPr>
          <w:p>
            <w:pPr>
              <w:spacing w:after="0"/>
              <w:rPr>
                <w:sz w:val="9"/>
                <w:szCs w:val="9"/>
                <w:color w:val="auto"/>
              </w:rPr>
            </w:pPr>
          </w:p>
        </w:tc>
        <w:tc>
          <w:tcPr>
            <w:tcW w:w="420" w:type="dxa"/>
            <w:vAlign w:val="bottom"/>
            <w:tcBorders>
              <w:bottom w:val="single" w:sz="8" w:color="CCEEFF"/>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jc w:val="right"/>
              <w:ind w:right="666"/>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r>
      <w:tr>
        <w:trPr>
          <w:trHeight w:val="106"/>
        </w:trPr>
        <w:tc>
          <w:tcPr>
            <w:tcW w:w="70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United States</w:t>
            </w:r>
          </w:p>
        </w:tc>
        <w:tc>
          <w:tcPr>
            <w:tcW w:w="1260" w:type="dxa"/>
            <w:vAlign w:val="bottom"/>
            <w:shd w:val="clear" w:color="auto" w:fill="CCEEFF"/>
          </w:tcPr>
          <w:p>
            <w:pPr>
              <w:jc w:val="right"/>
              <w:ind w:right="1184"/>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48,987</w:t>
            </w:r>
          </w:p>
        </w:tc>
        <w:tc>
          <w:tcPr>
            <w:tcW w:w="420" w:type="dxa"/>
            <w:vAlign w:val="bottom"/>
            <w:shd w:val="clear" w:color="auto" w:fill="CCEEFF"/>
          </w:tcPr>
          <w:p>
            <w:pPr>
              <w:spacing w:after="0"/>
              <w:rPr>
                <w:sz w:val="9"/>
                <w:szCs w:val="9"/>
                <w:color w:val="auto"/>
              </w:rPr>
            </w:pPr>
          </w:p>
        </w:tc>
        <w:tc>
          <w:tcPr>
            <w:tcW w:w="50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5"/>
                <w:szCs w:val="5"/>
                <w:color w:val="auto"/>
                <w:w w:val="78"/>
              </w:rPr>
              <w:t>$</w:t>
            </w:r>
          </w:p>
        </w:tc>
        <w:tc>
          <w:tcPr>
            <w:tcW w:w="116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34,298</w:t>
            </w:r>
          </w:p>
        </w:tc>
      </w:tr>
      <w:tr>
        <w:trPr>
          <w:trHeight w:val="117"/>
        </w:trPr>
        <w:tc>
          <w:tcPr>
            <w:tcW w:w="708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Rest of World</w:t>
            </w:r>
          </w:p>
        </w:tc>
        <w:tc>
          <w:tcPr>
            <w:tcW w:w="1260" w:type="dxa"/>
            <w:vAlign w:val="bottom"/>
          </w:tcPr>
          <w:p>
            <w:pPr>
              <w:spacing w:after="0"/>
              <w:rPr>
                <w:sz w:val="10"/>
                <w:szCs w:val="10"/>
                <w:color w:val="auto"/>
              </w:rPr>
            </w:pPr>
          </w:p>
        </w:tc>
        <w:tc>
          <w:tcPr>
            <w:tcW w:w="1300" w:type="dxa"/>
            <w:vAlign w:val="bottom"/>
            <w:gridSpan w:val="2"/>
          </w:tcPr>
          <w:p>
            <w:pPr>
              <w:jc w:val="right"/>
              <w:ind w:right="420"/>
              <w:spacing w:after="0" w:line="117" w:lineRule="exact"/>
              <w:rPr>
                <w:sz w:val="20"/>
                <w:szCs w:val="20"/>
                <w:color w:val="auto"/>
              </w:rPr>
            </w:pPr>
            <w:r>
              <w:rPr>
                <w:rFonts w:ascii="Times New Roman" w:cs="Times New Roman" w:eastAsia="Times New Roman" w:hAnsi="Times New Roman"/>
                <w:sz w:val="11"/>
                <w:szCs w:val="11"/>
                <w:color w:val="auto"/>
              </w:rPr>
              <w:t>3,600</w:t>
            </w:r>
          </w:p>
        </w:tc>
        <w:tc>
          <w:tcPr>
            <w:tcW w:w="500" w:type="dxa"/>
            <w:vAlign w:val="bottom"/>
          </w:tcPr>
          <w:p>
            <w:pPr>
              <w:spacing w:after="0"/>
              <w:rPr>
                <w:sz w:val="10"/>
                <w:szCs w:val="10"/>
                <w:color w:val="auto"/>
              </w:rPr>
            </w:pPr>
          </w:p>
        </w:tc>
        <w:tc>
          <w:tcPr>
            <w:tcW w:w="11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2,907</w:t>
            </w:r>
          </w:p>
        </w:tc>
      </w:tr>
      <w:tr>
        <w:trPr>
          <w:trHeight w:val="113"/>
        </w:trPr>
        <w:tc>
          <w:tcPr>
            <w:tcW w:w="7080" w:type="dxa"/>
            <w:vAlign w:val="bottom"/>
            <w:tcBorders>
              <w:top w:val="single" w:sz="8" w:color="CCEEFF"/>
              <w:bottom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Total revenue</w:t>
            </w:r>
          </w:p>
        </w:tc>
        <w:tc>
          <w:tcPr>
            <w:tcW w:w="1260" w:type="dxa"/>
            <w:vAlign w:val="bottom"/>
            <w:tcBorders>
              <w:top w:val="single" w:sz="8" w:color="auto"/>
              <w:bottom w:val="single" w:sz="8" w:color="auto"/>
            </w:tcBorders>
            <w:shd w:val="clear" w:color="auto" w:fill="CCEEFF"/>
          </w:tcPr>
          <w:p>
            <w:pPr>
              <w:jc w:val="right"/>
              <w:ind w:right="1184"/>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52,587</w:t>
            </w:r>
          </w:p>
        </w:tc>
        <w:tc>
          <w:tcPr>
            <w:tcW w:w="420" w:type="dxa"/>
            <w:vAlign w:val="bottom"/>
            <w:tcBorders>
              <w:top w:val="single" w:sz="8" w:color="CCEEFF"/>
              <w:bottom w:val="single" w:sz="8" w:color="CCEEFF"/>
            </w:tcBorders>
            <w:shd w:val="clear" w:color="auto" w:fill="CCEEFF"/>
          </w:tcPr>
          <w:p>
            <w:pPr>
              <w:spacing w:after="0"/>
              <w:rPr>
                <w:sz w:val="9"/>
                <w:szCs w:val="9"/>
                <w:color w:val="auto"/>
              </w:rPr>
            </w:pPr>
          </w:p>
        </w:tc>
        <w:tc>
          <w:tcPr>
            <w:tcW w:w="500" w:type="dxa"/>
            <w:vAlign w:val="bottom"/>
            <w:tcBorders>
              <w:top w:val="single" w:sz="8" w:color="auto"/>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5"/>
                <w:szCs w:val="5"/>
                <w:color w:val="auto"/>
                <w:w w:val="78"/>
              </w:rPr>
              <w:t>$</w:t>
            </w:r>
          </w:p>
        </w:tc>
        <w:tc>
          <w:tcPr>
            <w:tcW w:w="116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37,205</w:t>
            </w: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Revenues by geography are determined based on the region of the Company’s contracting entity, which may be different than the region of the customer.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Contract Balances</w:t>
      </w:r>
    </w:p>
    <w:p>
      <w:pPr>
        <w:spacing w:after="0" w:line="127" w:lineRule="exact"/>
        <w:rPr>
          <w:sz w:val="20"/>
          <w:szCs w:val="20"/>
          <w:color w:val="auto"/>
        </w:rPr>
      </w:pPr>
    </w:p>
    <w:p>
      <w:pPr>
        <w:ind w:left="5580" w:right="2080" w:hanging="5591"/>
        <w:spacing w:after="0" w:line="248" w:lineRule="auto"/>
        <w:rPr>
          <w:sz w:val="20"/>
          <w:szCs w:val="20"/>
          <w:color w:val="auto"/>
        </w:rPr>
      </w:pPr>
      <w:r>
        <w:rPr>
          <w:rFonts w:ascii="Times New Roman" w:cs="Times New Roman" w:eastAsia="Times New Roman" w:hAnsi="Times New Roman"/>
          <w:sz w:val="12"/>
          <w:szCs w:val="12"/>
          <w:color w:val="auto"/>
        </w:rPr>
        <w:t>Unbilled receivables included within accounts receivable on the condensed consolidated balance sheets as of March 31, 2026 and December 31, 2025 was $835,000 and $814,000, respectively.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121920</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3"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jc w:val="center"/>
        <w:ind w:right="20"/>
        <w:spacing w:after="0" w:line="234" w:lineRule="auto"/>
        <w:rPr>
          <w:sz w:val="20"/>
          <w:szCs w:val="20"/>
          <w:color w:val="auto"/>
        </w:rPr>
      </w:pPr>
      <w:r>
        <w:rPr>
          <w:rFonts w:ascii="Times New Roman" w:cs="Times New Roman" w:eastAsia="Times New Roman" w:hAnsi="Times New Roman"/>
          <w:sz w:val="19"/>
          <w:szCs w:val="19"/>
          <w:b w:val="1"/>
          <w:bCs w:val="1"/>
          <w:color w:val="auto"/>
        </w:rPr>
        <w:t>Heartflow, Inc.</w:t>
      </w:r>
    </w:p>
    <w:p>
      <w:pPr>
        <w:jc w:val="center"/>
        <w:ind w:right="20"/>
        <w:spacing w:after="0" w:line="220" w:lineRule="auto"/>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ectPr>
          <w:pgSz w:w="11900" w:h="16838" w:orient="portrait"/>
          <w:cols w:equalWidth="0" w:num="1">
            <w:col w:w="11300"/>
          </w:cols>
          <w:pgMar w:left="300" w:top="123" w:right="299" w:bottom="1440" w:gutter="0" w:footer="0" w:header="0"/>
        </w:sect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following table provides the breakdown of capitalized contract costs on the condensed consolidated balance sheets (in thousands):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-73660</wp:posOffset>
            </wp:positionV>
            <wp:extent cx="7178040" cy="800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80010"/>
                    </a:xfrm>
                    <a:prstGeom prst="rect">
                      <a:avLst/>
                    </a:prstGeom>
                    <a:noFill/>
                  </pic:spPr>
                </pic:pic>
              </a:graphicData>
            </a:graphic>
          </wp:anchor>
        </w:drawing>
      </w:r>
    </w:p>
    <w:p>
      <w:pPr>
        <w:spacing w:after="0" w:line="226" w:lineRule="auto"/>
        <w:rPr>
          <w:sz w:val="20"/>
          <w:szCs w:val="20"/>
          <w:color w:val="auto"/>
        </w:rPr>
      </w:pPr>
      <w:r>
        <w:rPr>
          <w:rFonts w:ascii="Times New Roman" w:cs="Times New Roman" w:eastAsia="Times New Roman" w:hAnsi="Times New Roman"/>
          <w:sz w:val="11"/>
          <w:szCs w:val="11"/>
          <w:color w:val="auto"/>
        </w:rPr>
        <w:t>Contract costs capitalized</w:t>
      </w:r>
    </w:p>
    <w:p>
      <w:pPr>
        <w:spacing w:after="0"/>
        <w:rPr>
          <w:sz w:val="20"/>
          <w:szCs w:val="20"/>
          <w:color w:val="auto"/>
        </w:rPr>
      </w:pPr>
      <w:r>
        <w:rPr>
          <w:rFonts w:ascii="Times New Roman" w:cs="Times New Roman" w:eastAsia="Times New Roman" w:hAnsi="Times New Roman"/>
          <w:sz w:val="11"/>
          <w:szCs w:val="11"/>
          <w:color w:val="auto"/>
        </w:rPr>
        <w:t>Contract costs amortized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7178040" cy="742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742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Balance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7"/>
        </w:trPr>
        <w:tc>
          <w:tcPr>
            <w:tcW w:w="18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06"/>
        </w:trPr>
        <w:tc>
          <w:tcPr>
            <w:tcW w:w="18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jc w:val="right"/>
              <w:ind w:right="907"/>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r>
      <w:tr>
        <w:trPr>
          <w:trHeight w:val="88"/>
        </w:trPr>
        <w:tc>
          <w:tcPr>
            <w:tcW w:w="180" w:type="dxa"/>
            <w:vAlign w:val="bottom"/>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196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10,929</w:t>
            </w:r>
          </w:p>
        </w:tc>
      </w:tr>
      <w:tr>
        <w:trPr>
          <w:trHeight w:val="117"/>
        </w:trPr>
        <w:tc>
          <w:tcPr>
            <w:tcW w:w="180" w:type="dxa"/>
            <w:vAlign w:val="bottom"/>
          </w:tcPr>
          <w:p>
            <w:pPr>
              <w:spacing w:after="0"/>
              <w:rPr>
                <w:sz w:val="10"/>
                <w:szCs w:val="10"/>
                <w:color w:val="auto"/>
              </w:rPr>
            </w:pPr>
          </w:p>
        </w:tc>
        <w:tc>
          <w:tcPr>
            <w:tcW w:w="19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4,489</w:t>
            </w:r>
          </w:p>
        </w:tc>
      </w:tr>
      <w:tr>
        <w:trPr>
          <w:trHeight w:val="135"/>
        </w:trPr>
        <w:tc>
          <w:tcPr>
            <w:tcW w:w="18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(2,145)</w:t>
            </w:r>
          </w:p>
        </w:tc>
      </w:tr>
      <w:tr>
        <w:trPr>
          <w:trHeight w:val="113"/>
        </w:trPr>
        <w:tc>
          <w:tcPr>
            <w:tcW w:w="1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196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13,273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7"/>
        </w:trPr>
        <w:tc>
          <w:tcPr>
            <w:tcW w:w="1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06"/>
        </w:trPr>
        <w:tc>
          <w:tcPr>
            <w:tcW w:w="1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jc w:val="right"/>
              <w:ind w:right="667"/>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r>
      <w:tr>
        <w:trPr>
          <w:trHeight w:val="88"/>
        </w:trPr>
        <w:tc>
          <w:tcPr>
            <w:tcW w:w="140" w:type="dxa"/>
            <w:vAlign w:val="bottom"/>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152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6,154</w:t>
            </w:r>
          </w:p>
        </w:tc>
      </w:tr>
      <w:tr>
        <w:trPr>
          <w:trHeight w:val="117"/>
        </w:trPr>
        <w:tc>
          <w:tcPr>
            <w:tcW w:w="140" w:type="dxa"/>
            <w:vAlign w:val="bottom"/>
          </w:tcPr>
          <w:p>
            <w:pPr>
              <w:spacing w:after="0"/>
              <w:rPr>
                <w:sz w:val="10"/>
                <w:szCs w:val="10"/>
                <w:color w:val="auto"/>
              </w:rPr>
            </w:pPr>
          </w:p>
        </w:tc>
        <w:tc>
          <w:tcPr>
            <w:tcW w:w="1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10,795</w:t>
            </w:r>
          </w:p>
        </w:tc>
      </w:tr>
      <w:tr>
        <w:trPr>
          <w:trHeight w:val="135"/>
        </w:trPr>
        <w:tc>
          <w:tcPr>
            <w:tcW w:w="1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(6,020)</w:t>
            </w:r>
          </w:p>
        </w:tc>
      </w:tr>
      <w:tr>
        <w:trPr>
          <w:trHeight w:val="113"/>
        </w:trPr>
        <w:tc>
          <w:tcPr>
            <w:tcW w:w="1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152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10,929</w:t>
            </w:r>
          </w:p>
        </w:tc>
      </w:tr>
    </w:tbl>
    <w:p>
      <w:pPr>
        <w:spacing w:after="0" w:line="106" w:lineRule="exact"/>
        <w:rPr>
          <w:sz w:val="20"/>
          <w:szCs w:val="20"/>
          <w:color w:val="auto"/>
        </w:rPr>
      </w:pPr>
    </w:p>
    <w:p>
      <w:pPr>
        <w:sectPr>
          <w:pgSz w:w="11900" w:h="16838" w:orient="portrait"/>
          <w:cols w:equalWidth="0" w:num="3">
            <w:col w:w="6460" w:space="620"/>
            <w:col w:w="2140" w:space="420"/>
            <w:col w:w="1660"/>
          </w:cols>
          <w:pgMar w:left="300" w:top="123"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The following table provides the breakdown of contract liabilities included within accrued expenses and other current liabilities on the condensed consolidated balance sheets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0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06"/>
        </w:trPr>
        <w:tc>
          <w:tcPr>
            <w:tcW w:w="70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Balance at beginning of period</w:t>
            </w:r>
          </w:p>
        </w:tc>
        <w:tc>
          <w:tcPr>
            <w:tcW w:w="18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ind w:left="780"/>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0" w:type="dxa"/>
            <w:vAlign w:val="bottom"/>
          </w:tcPr>
          <w:p>
            <w:pPr>
              <w:spacing w:after="0"/>
              <w:rPr>
                <w:sz w:val="1"/>
                <w:szCs w:val="1"/>
                <w:color w:val="auto"/>
              </w:rPr>
            </w:pPr>
          </w:p>
        </w:tc>
      </w:tr>
      <w:tr>
        <w:trPr>
          <w:trHeight w:val="88"/>
        </w:trPr>
        <w:tc>
          <w:tcPr>
            <w:tcW w:w="7080" w:type="dxa"/>
            <w:vAlign w:val="bottom"/>
            <w:vMerge w:val="continue"/>
          </w:tcPr>
          <w:p>
            <w:pPr>
              <w:spacing w:after="0"/>
              <w:rPr>
                <w:sz w:val="7"/>
                <w:szCs w:val="7"/>
                <w:color w:val="auto"/>
              </w:rPr>
            </w:pPr>
          </w:p>
        </w:tc>
        <w:tc>
          <w:tcPr>
            <w:tcW w:w="180" w:type="dxa"/>
            <w:vAlign w:val="bottom"/>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1960" w:type="dxa"/>
            <w:vAlign w:val="bottom"/>
          </w:tcPr>
          <w:p>
            <w:pPr>
              <w:ind w:left="1760"/>
              <w:spacing w:after="0" w:line="88" w:lineRule="exact"/>
              <w:rPr>
                <w:sz w:val="20"/>
                <w:szCs w:val="20"/>
                <w:color w:val="auto"/>
              </w:rPr>
            </w:pPr>
            <w:r>
              <w:rPr>
                <w:rFonts w:ascii="Times New Roman" w:cs="Times New Roman" w:eastAsia="Times New Roman" w:hAnsi="Times New Roman"/>
                <w:sz w:val="10"/>
                <w:szCs w:val="10"/>
                <w:color w:val="auto"/>
              </w:rPr>
              <w:t>327</w:t>
            </w:r>
          </w:p>
        </w:tc>
        <w:tc>
          <w:tcPr>
            <w:tcW w:w="0" w:type="dxa"/>
            <w:vAlign w:val="bottom"/>
          </w:tcPr>
          <w:p>
            <w:pPr>
              <w:spacing w:after="0"/>
              <w:rPr>
                <w:sz w:val="1"/>
                <w:szCs w:val="1"/>
                <w:color w:val="auto"/>
              </w:rPr>
            </w:pPr>
          </w:p>
        </w:tc>
      </w:tr>
      <w:tr>
        <w:trPr>
          <w:trHeight w:val="117"/>
        </w:trPr>
        <w:tc>
          <w:tcPr>
            <w:tcW w:w="708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Contract liabilities added</w:t>
            </w:r>
          </w:p>
        </w:tc>
        <w:tc>
          <w:tcPr>
            <w:tcW w:w="180" w:type="dxa"/>
            <w:vAlign w:val="bottom"/>
          </w:tcPr>
          <w:p>
            <w:pPr>
              <w:spacing w:after="0"/>
              <w:rPr>
                <w:sz w:val="10"/>
                <w:szCs w:val="10"/>
                <w:color w:val="auto"/>
              </w:rPr>
            </w:pPr>
          </w:p>
        </w:tc>
        <w:tc>
          <w:tcPr>
            <w:tcW w:w="1960" w:type="dxa"/>
            <w:vAlign w:val="bottom"/>
          </w:tcPr>
          <w:p>
            <w:pPr>
              <w:ind w:left="1760"/>
              <w:spacing w:after="0" w:line="117" w:lineRule="exact"/>
              <w:rPr>
                <w:sz w:val="20"/>
                <w:szCs w:val="20"/>
                <w:color w:val="auto"/>
              </w:rPr>
            </w:pPr>
            <w:r>
              <w:rPr>
                <w:rFonts w:ascii="Times New Roman" w:cs="Times New Roman" w:eastAsia="Times New Roman" w:hAnsi="Times New Roman"/>
                <w:sz w:val="11"/>
                <w:szCs w:val="11"/>
                <w:color w:val="auto"/>
              </w:rPr>
              <w:t>148</w:t>
            </w:r>
          </w:p>
        </w:tc>
        <w:tc>
          <w:tcPr>
            <w:tcW w:w="0" w:type="dxa"/>
            <w:vAlign w:val="bottom"/>
          </w:tcPr>
          <w:p>
            <w:pPr>
              <w:spacing w:after="0"/>
              <w:rPr>
                <w:sz w:val="1"/>
                <w:szCs w:val="1"/>
                <w:color w:val="auto"/>
              </w:rPr>
            </w:pPr>
          </w:p>
        </w:tc>
      </w:tr>
      <w:tr>
        <w:trPr>
          <w:trHeight w:val="135"/>
        </w:trPr>
        <w:tc>
          <w:tcPr>
            <w:tcW w:w="7080" w:type="dxa"/>
            <w:vAlign w:val="bottom"/>
          </w:tcPr>
          <w:p>
            <w:pPr>
              <w:spacing w:after="0"/>
              <w:rPr>
                <w:sz w:val="20"/>
                <w:szCs w:val="20"/>
                <w:color w:val="auto"/>
              </w:rPr>
            </w:pPr>
            <w:r>
              <w:rPr>
                <w:rFonts w:ascii="Times New Roman" w:cs="Times New Roman" w:eastAsia="Times New Roman" w:hAnsi="Times New Roman"/>
                <w:sz w:val="11"/>
                <w:szCs w:val="11"/>
                <w:color w:val="auto"/>
              </w:rPr>
              <w:t>Contract liabilities recognized as revenue</w:t>
            </w:r>
          </w:p>
        </w:tc>
        <w:tc>
          <w:tcPr>
            <w:tcW w:w="18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1"/>
                <w:szCs w:val="11"/>
                <w:color w:val="auto"/>
                <w:w w:val="87"/>
              </w:rPr>
              <w:t>(89)</w:t>
            </w:r>
          </w:p>
        </w:tc>
        <w:tc>
          <w:tcPr>
            <w:tcW w:w="0" w:type="dxa"/>
            <w:vAlign w:val="bottom"/>
          </w:tcPr>
          <w:p>
            <w:pPr>
              <w:spacing w:after="0"/>
              <w:rPr>
                <w:sz w:val="1"/>
                <w:szCs w:val="1"/>
                <w:color w:val="auto"/>
              </w:rPr>
            </w:pPr>
          </w:p>
        </w:tc>
      </w:tr>
      <w:tr>
        <w:trPr>
          <w:trHeight w:val="113"/>
        </w:trPr>
        <w:tc>
          <w:tcPr>
            <w:tcW w:w="708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Balance at end of period</w:t>
            </w:r>
          </w:p>
        </w:tc>
        <w:tc>
          <w:tcPr>
            <w:tcW w:w="1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1960" w:type="dxa"/>
            <w:vAlign w:val="bottom"/>
            <w:tcBorders>
              <w:bottom w:val="single" w:sz="8" w:color="auto"/>
            </w:tcBorders>
          </w:tcPr>
          <w:p>
            <w:pPr>
              <w:ind w:left="1760"/>
              <w:spacing w:after="0" w:line="106" w:lineRule="exact"/>
              <w:rPr>
                <w:sz w:val="20"/>
                <w:szCs w:val="20"/>
                <w:color w:val="auto"/>
              </w:rPr>
            </w:pPr>
            <w:r>
              <w:rPr>
                <w:rFonts w:ascii="Times New Roman" w:cs="Times New Roman" w:eastAsia="Times New Roman" w:hAnsi="Times New Roman"/>
                <w:sz w:val="11"/>
                <w:szCs w:val="11"/>
                <w:color w:val="auto"/>
              </w:rPr>
              <w:t>386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-325120</wp:posOffset>
            </wp:positionV>
            <wp:extent cx="7178040" cy="800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8001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-170815</wp:posOffset>
            </wp:positionV>
            <wp:extent cx="7178040" cy="742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74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7"/>
        </w:trPr>
        <w:tc>
          <w:tcPr>
            <w:tcW w:w="1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1"/>
                <w:szCs w:val="11"/>
                <w:b w:val="1"/>
                <w:bCs w:val="1"/>
                <w:color w:val="auto"/>
                <w:w w:val="97"/>
              </w:rPr>
              <w:t>Year Ended December 31,</w:t>
            </w:r>
          </w:p>
        </w:tc>
      </w:tr>
      <w:tr>
        <w:trPr>
          <w:trHeight w:val="106"/>
        </w:trPr>
        <w:tc>
          <w:tcPr>
            <w:tcW w:w="1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jc w:val="right"/>
              <w:ind w:right="667"/>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r>
      <w:tr>
        <w:trPr>
          <w:trHeight w:val="88"/>
        </w:trPr>
        <w:tc>
          <w:tcPr>
            <w:tcW w:w="140" w:type="dxa"/>
            <w:vAlign w:val="bottom"/>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1520" w:type="dxa"/>
            <w:vAlign w:val="bottom"/>
          </w:tcPr>
          <w:p>
            <w:pPr>
              <w:jc w:val="center"/>
              <w:ind w:left="1227"/>
              <w:spacing w:after="0" w:line="88" w:lineRule="exact"/>
              <w:rPr>
                <w:sz w:val="20"/>
                <w:szCs w:val="20"/>
                <w:color w:val="auto"/>
              </w:rPr>
            </w:pPr>
            <w:r>
              <w:rPr>
                <w:rFonts w:ascii="Times New Roman" w:cs="Times New Roman" w:eastAsia="Times New Roman" w:hAnsi="Times New Roman"/>
                <w:sz w:val="10"/>
                <w:szCs w:val="10"/>
                <w:color w:val="auto"/>
              </w:rPr>
              <w:t>182</w:t>
            </w:r>
          </w:p>
        </w:tc>
      </w:tr>
      <w:tr>
        <w:trPr>
          <w:trHeight w:val="117"/>
        </w:trPr>
        <w:tc>
          <w:tcPr>
            <w:tcW w:w="140" w:type="dxa"/>
            <w:vAlign w:val="bottom"/>
          </w:tcPr>
          <w:p>
            <w:pPr>
              <w:spacing w:after="0"/>
              <w:rPr>
                <w:sz w:val="10"/>
                <w:szCs w:val="10"/>
                <w:color w:val="auto"/>
              </w:rPr>
            </w:pPr>
          </w:p>
        </w:tc>
        <w:tc>
          <w:tcPr>
            <w:tcW w:w="1520" w:type="dxa"/>
            <w:vAlign w:val="bottom"/>
          </w:tcPr>
          <w:p>
            <w:pPr>
              <w:jc w:val="center"/>
              <w:ind w:left="1227"/>
              <w:spacing w:after="0" w:line="117" w:lineRule="exact"/>
              <w:rPr>
                <w:sz w:val="20"/>
                <w:szCs w:val="20"/>
                <w:color w:val="auto"/>
              </w:rPr>
            </w:pPr>
            <w:r>
              <w:rPr>
                <w:rFonts w:ascii="Times New Roman" w:cs="Times New Roman" w:eastAsia="Times New Roman" w:hAnsi="Times New Roman"/>
                <w:sz w:val="11"/>
                <w:szCs w:val="11"/>
                <w:color w:val="auto"/>
                <w:w w:val="96"/>
              </w:rPr>
              <w:t>279</w:t>
            </w:r>
          </w:p>
        </w:tc>
      </w:tr>
      <w:tr>
        <w:trPr>
          <w:trHeight w:val="135"/>
        </w:trPr>
        <w:tc>
          <w:tcPr>
            <w:tcW w:w="1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center"/>
              <w:ind w:left="1227"/>
              <w:spacing w:after="0"/>
              <w:rPr>
                <w:sz w:val="20"/>
                <w:szCs w:val="20"/>
                <w:color w:val="auto"/>
              </w:rPr>
            </w:pPr>
            <w:r>
              <w:rPr>
                <w:rFonts w:ascii="Times New Roman" w:cs="Times New Roman" w:eastAsia="Times New Roman" w:hAnsi="Times New Roman"/>
                <w:sz w:val="11"/>
                <w:szCs w:val="11"/>
                <w:color w:val="auto"/>
              </w:rPr>
              <w:t>(134)</w:t>
            </w:r>
          </w:p>
        </w:tc>
      </w:tr>
      <w:tr>
        <w:trPr>
          <w:trHeight w:val="113"/>
        </w:trPr>
        <w:tc>
          <w:tcPr>
            <w:tcW w:w="1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1520" w:type="dxa"/>
            <w:vAlign w:val="bottom"/>
            <w:tcBorders>
              <w:bottom w:val="single" w:sz="8" w:color="auto"/>
            </w:tcBorders>
          </w:tcPr>
          <w:p>
            <w:pPr>
              <w:jc w:val="center"/>
              <w:ind w:left="1227"/>
              <w:spacing w:after="0" w:line="106" w:lineRule="exact"/>
              <w:rPr>
                <w:sz w:val="20"/>
                <w:szCs w:val="20"/>
                <w:color w:val="auto"/>
              </w:rPr>
            </w:pPr>
            <w:r>
              <w:rPr>
                <w:rFonts w:ascii="Times New Roman" w:cs="Times New Roman" w:eastAsia="Times New Roman" w:hAnsi="Times New Roman"/>
                <w:sz w:val="11"/>
                <w:szCs w:val="11"/>
                <w:color w:val="auto"/>
                <w:w w:val="96"/>
              </w:rPr>
              <w:t>327</w:t>
            </w:r>
          </w:p>
        </w:tc>
      </w:tr>
    </w:tbl>
    <w:p>
      <w:pPr>
        <w:spacing w:after="0" w:line="115" w:lineRule="exact"/>
        <w:rPr>
          <w:sz w:val="20"/>
          <w:szCs w:val="20"/>
          <w:color w:val="auto"/>
        </w:rPr>
      </w:pPr>
    </w:p>
    <w:p>
      <w:pPr>
        <w:sectPr>
          <w:pgSz w:w="11900" w:h="16838" w:orient="portrait"/>
          <w:cols w:equalWidth="0" w:num="2">
            <w:col w:w="9220" w:space="420"/>
            <w:col w:w="1660"/>
          </w:cols>
          <w:pgMar w:left="300" w:top="123"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color w:val="auto"/>
        </w:rPr>
        <w:t>4. Fair Value Measurement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summarizes the Company’s financial assets and liabilities measured at fair value on a recurring basis by level within the fair value hierarchy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40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3"/>
          </w:tcPr>
          <w:p>
            <w:pPr>
              <w:jc w:val="right"/>
              <w:ind w:right="986"/>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r>
      <w:tr>
        <w:trPr>
          <w:trHeight w:val="106"/>
        </w:trPr>
        <w:tc>
          <w:tcPr>
            <w:tcW w:w="4400" w:type="dxa"/>
            <w:vAlign w:val="bottom"/>
            <w:tcBorders>
              <w:bottom w:val="single" w:sz="8" w:color="CCEEFF"/>
            </w:tcBorders>
          </w:tcPr>
          <w:p>
            <w:pPr>
              <w:spacing w:after="0"/>
              <w:rPr>
                <w:sz w:val="9"/>
                <w:szCs w:val="9"/>
                <w:color w:val="auto"/>
              </w:rPr>
            </w:pPr>
          </w:p>
        </w:tc>
        <w:tc>
          <w:tcPr>
            <w:tcW w:w="1120" w:type="dxa"/>
            <w:vAlign w:val="bottom"/>
            <w:tcBorders>
              <w:bottom w:val="single" w:sz="8" w:color="auto"/>
            </w:tcBorders>
          </w:tcPr>
          <w:p>
            <w:pPr>
              <w:jc w:val="right"/>
              <w:ind w:right="106"/>
              <w:spacing w:after="0" w:line="106" w:lineRule="exact"/>
              <w:rPr>
                <w:sz w:val="20"/>
                <w:szCs w:val="20"/>
                <w:color w:val="auto"/>
              </w:rPr>
            </w:pPr>
            <w:r>
              <w:rPr>
                <w:rFonts w:ascii="Times New Roman" w:cs="Times New Roman" w:eastAsia="Times New Roman" w:hAnsi="Times New Roman"/>
                <w:sz w:val="11"/>
                <w:szCs w:val="11"/>
                <w:b w:val="1"/>
                <w:bCs w:val="1"/>
                <w:color w:val="auto"/>
              </w:rPr>
              <w:t>Level 1</w:t>
            </w:r>
          </w:p>
        </w:tc>
        <w:tc>
          <w:tcPr>
            <w:tcW w:w="4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140" w:type="dxa"/>
            <w:vAlign w:val="bottom"/>
            <w:tcBorders>
              <w:bottom w:val="single" w:sz="8" w:color="auto"/>
            </w:tcBorders>
          </w:tcPr>
          <w:p>
            <w:pPr>
              <w:jc w:val="right"/>
              <w:ind w:right="86"/>
              <w:spacing w:after="0" w:line="106" w:lineRule="exact"/>
              <w:rPr>
                <w:sz w:val="20"/>
                <w:szCs w:val="20"/>
                <w:color w:val="auto"/>
              </w:rPr>
            </w:pPr>
            <w:r>
              <w:rPr>
                <w:rFonts w:ascii="Times New Roman" w:cs="Times New Roman" w:eastAsia="Times New Roman" w:hAnsi="Times New Roman"/>
                <w:sz w:val="11"/>
                <w:szCs w:val="11"/>
                <w:b w:val="1"/>
                <w:bCs w:val="1"/>
                <w:color w:val="auto"/>
              </w:rPr>
              <w:t>Level 2</w:t>
            </w:r>
          </w:p>
        </w:tc>
        <w:tc>
          <w:tcPr>
            <w:tcW w:w="540" w:type="dxa"/>
            <w:vAlign w:val="bottom"/>
            <w:tcBorders>
              <w:bottom w:val="single" w:sz="8" w:color="auto"/>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1300" w:type="dxa"/>
            <w:vAlign w:val="bottom"/>
            <w:tcBorders>
              <w:bottom w:val="single" w:sz="8" w:color="auto"/>
            </w:tcBorders>
          </w:tcPr>
          <w:p>
            <w:pPr>
              <w:jc w:val="right"/>
              <w:ind w:right="226"/>
              <w:spacing w:after="0" w:line="106" w:lineRule="exact"/>
              <w:rPr>
                <w:sz w:val="20"/>
                <w:szCs w:val="20"/>
                <w:color w:val="auto"/>
              </w:rPr>
            </w:pPr>
            <w:r>
              <w:rPr>
                <w:rFonts w:ascii="Times New Roman" w:cs="Times New Roman" w:eastAsia="Times New Roman" w:hAnsi="Times New Roman"/>
                <w:sz w:val="11"/>
                <w:szCs w:val="11"/>
                <w:b w:val="1"/>
                <w:bCs w:val="1"/>
                <w:color w:val="auto"/>
              </w:rPr>
              <w:t>Level 3</w:t>
            </w: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jc w:val="right"/>
              <w:ind w:right="626"/>
              <w:spacing w:after="0" w:line="106" w:lineRule="exact"/>
              <w:rPr>
                <w:sz w:val="20"/>
                <w:szCs w:val="20"/>
                <w:color w:val="auto"/>
              </w:rPr>
            </w:pPr>
            <w:r>
              <w:rPr>
                <w:rFonts w:ascii="Times New Roman" w:cs="Times New Roman" w:eastAsia="Times New Roman" w:hAnsi="Times New Roman"/>
                <w:sz w:val="11"/>
                <w:szCs w:val="11"/>
                <w:b w:val="1"/>
                <w:bCs w:val="1"/>
                <w:color w:val="auto"/>
              </w:rPr>
              <w:t>Total</w:t>
            </w:r>
          </w:p>
        </w:tc>
      </w:tr>
      <w:tr>
        <w:trPr>
          <w:trHeight w:val="106"/>
        </w:trPr>
        <w:tc>
          <w:tcPr>
            <w:tcW w:w="44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Assets</w:t>
            </w:r>
          </w:p>
        </w:tc>
        <w:tc>
          <w:tcPr>
            <w:tcW w:w="1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r>
      <w:tr>
        <w:trPr>
          <w:trHeight w:val="117"/>
        </w:trPr>
        <w:tc>
          <w:tcPr>
            <w:tcW w:w="440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Money market funds, included in cash equivalents</w:t>
            </w:r>
          </w:p>
        </w:tc>
        <w:tc>
          <w:tcPr>
            <w:tcW w:w="1120" w:type="dxa"/>
            <w:vAlign w:val="bottom"/>
          </w:tcPr>
          <w:p>
            <w:pPr>
              <w:jc w:val="right"/>
              <w:ind w:right="100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ind w:left="180"/>
              <w:spacing w:after="0" w:line="117" w:lineRule="exact"/>
              <w:rPr>
                <w:sz w:val="20"/>
                <w:szCs w:val="20"/>
                <w:color w:val="auto"/>
              </w:rPr>
            </w:pPr>
            <w:r>
              <w:rPr>
                <w:rFonts w:ascii="Times New Roman" w:cs="Times New Roman" w:eastAsia="Times New Roman" w:hAnsi="Times New Roman"/>
                <w:sz w:val="11"/>
                <w:szCs w:val="11"/>
                <w:color w:val="auto"/>
                <w:w w:val="96"/>
              </w:rPr>
              <w:t>1,348</w:t>
            </w:r>
          </w:p>
        </w:tc>
        <w:tc>
          <w:tcPr>
            <w:tcW w:w="100" w:type="dxa"/>
            <w:vAlign w:val="bottom"/>
          </w:tcPr>
          <w:p>
            <w:pPr>
              <w:spacing w:after="0"/>
              <w:rPr>
                <w:sz w:val="10"/>
                <w:szCs w:val="10"/>
                <w:color w:val="auto"/>
              </w:rPr>
            </w:pPr>
          </w:p>
        </w:tc>
        <w:tc>
          <w:tcPr>
            <w:tcW w:w="1140" w:type="dxa"/>
            <w:vAlign w:val="bottom"/>
          </w:tcPr>
          <w:p>
            <w:pPr>
              <w:jc w:val="right"/>
              <w:ind w:right="102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ind w:left="4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ind w:right="118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ind w:left="280"/>
              <w:spacing w:after="0" w:line="117"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ind w:right="24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1,348</w:t>
            </w:r>
          </w:p>
        </w:tc>
      </w:tr>
      <w:tr>
        <w:trPr>
          <w:trHeight w:val="117"/>
        </w:trPr>
        <w:tc>
          <w:tcPr>
            <w:tcW w:w="44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Money market funds, included in restricted cash, non-current</w:t>
            </w:r>
          </w:p>
        </w:tc>
        <w:tc>
          <w:tcPr>
            <w:tcW w:w="1120" w:type="dxa"/>
            <w:vAlign w:val="bottom"/>
            <w:shd w:val="clear" w:color="auto" w:fill="CCEEFF"/>
          </w:tcPr>
          <w:p>
            <w:pPr>
              <w:spacing w:after="0"/>
              <w:rPr>
                <w:sz w:val="10"/>
                <w:szCs w:val="10"/>
                <w:color w:val="auto"/>
              </w:rPr>
            </w:pPr>
          </w:p>
        </w:tc>
        <w:tc>
          <w:tcPr>
            <w:tcW w:w="440" w:type="dxa"/>
            <w:vAlign w:val="bottom"/>
            <w:shd w:val="clear" w:color="auto" w:fill="CCEEFF"/>
          </w:tcPr>
          <w:p>
            <w:pPr>
              <w:ind w:left="180"/>
              <w:spacing w:after="0" w:line="117" w:lineRule="exact"/>
              <w:rPr>
                <w:sz w:val="20"/>
                <w:szCs w:val="20"/>
                <w:color w:val="auto"/>
              </w:rPr>
            </w:pPr>
            <w:r>
              <w:rPr>
                <w:rFonts w:ascii="Times New Roman" w:cs="Times New Roman" w:eastAsia="Times New Roman" w:hAnsi="Times New Roman"/>
                <w:sz w:val="11"/>
                <w:szCs w:val="11"/>
                <w:color w:val="auto"/>
                <w:w w:val="96"/>
              </w:rPr>
              <w:t>4,702</w:t>
            </w: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4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3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280"/>
              <w:spacing w:after="0" w:line="117"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4,702</w:t>
            </w:r>
          </w:p>
        </w:tc>
      </w:tr>
      <w:tr>
        <w:trPr>
          <w:trHeight w:val="117"/>
        </w:trPr>
        <w:tc>
          <w:tcPr>
            <w:tcW w:w="440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U.S. government securities</w:t>
            </w:r>
          </w:p>
        </w:tc>
        <w:tc>
          <w:tcPr>
            <w:tcW w:w="1120" w:type="dxa"/>
            <w:vAlign w:val="bottom"/>
          </w:tcPr>
          <w:p>
            <w:pPr>
              <w:spacing w:after="0"/>
              <w:rPr>
                <w:sz w:val="10"/>
                <w:szCs w:val="10"/>
                <w:color w:val="auto"/>
              </w:rPr>
            </w:pPr>
          </w:p>
        </w:tc>
        <w:tc>
          <w:tcPr>
            <w:tcW w:w="540" w:type="dxa"/>
            <w:vAlign w:val="bottom"/>
            <w:gridSpan w:val="2"/>
          </w:tcPr>
          <w:p>
            <w:pPr>
              <w:ind w:left="3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81,422</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80" w:type="dxa"/>
            <w:vAlign w:val="bottom"/>
            <w:gridSpan w:val="2"/>
          </w:tcPr>
          <w:p>
            <w:pPr>
              <w:ind w:left="280"/>
              <w:spacing w:after="0" w:line="117"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0"/>
                <w:szCs w:val="10"/>
                <w:color w:val="auto"/>
              </w:rPr>
            </w:pPr>
          </w:p>
        </w:tc>
        <w:tc>
          <w:tcPr>
            <w:tcW w:w="12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81,422</w:t>
            </w:r>
          </w:p>
        </w:tc>
      </w:tr>
      <w:tr>
        <w:trPr>
          <w:trHeight w:val="117"/>
        </w:trPr>
        <w:tc>
          <w:tcPr>
            <w:tcW w:w="44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U.S. treasury bills</w:t>
            </w:r>
          </w:p>
        </w:tc>
        <w:tc>
          <w:tcPr>
            <w:tcW w:w="1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19,865</w:t>
            </w:r>
          </w:p>
        </w:tc>
        <w:tc>
          <w:tcPr>
            <w:tcW w:w="2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19,865</w:t>
            </w:r>
          </w:p>
        </w:tc>
      </w:tr>
      <w:tr>
        <w:trPr>
          <w:trHeight w:val="117"/>
        </w:trPr>
        <w:tc>
          <w:tcPr>
            <w:tcW w:w="440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Corporate bonds/notes</w:t>
            </w:r>
          </w:p>
        </w:tc>
        <w:tc>
          <w:tcPr>
            <w:tcW w:w="1120" w:type="dxa"/>
            <w:vAlign w:val="bottom"/>
          </w:tcPr>
          <w:p>
            <w:pPr>
              <w:spacing w:after="0"/>
              <w:rPr>
                <w:sz w:val="10"/>
                <w:szCs w:val="10"/>
                <w:color w:val="auto"/>
              </w:rPr>
            </w:pPr>
          </w:p>
        </w:tc>
        <w:tc>
          <w:tcPr>
            <w:tcW w:w="540" w:type="dxa"/>
            <w:vAlign w:val="bottom"/>
            <w:gridSpan w:val="2"/>
          </w:tcPr>
          <w:p>
            <w:pPr>
              <w:ind w:left="3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63,364</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80" w:type="dxa"/>
            <w:vAlign w:val="bottom"/>
            <w:gridSpan w:val="2"/>
          </w:tcPr>
          <w:p>
            <w:pPr>
              <w:ind w:left="280"/>
              <w:spacing w:after="0" w:line="117"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0"/>
                <w:szCs w:val="10"/>
                <w:color w:val="auto"/>
              </w:rPr>
            </w:pPr>
          </w:p>
        </w:tc>
        <w:tc>
          <w:tcPr>
            <w:tcW w:w="12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63,364</w:t>
            </w:r>
          </w:p>
        </w:tc>
      </w:tr>
      <w:tr>
        <w:trPr>
          <w:trHeight w:val="117"/>
        </w:trPr>
        <w:tc>
          <w:tcPr>
            <w:tcW w:w="44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Agency bonds/notes</w:t>
            </w:r>
          </w:p>
        </w:tc>
        <w:tc>
          <w:tcPr>
            <w:tcW w:w="1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44,029</w:t>
            </w:r>
          </w:p>
        </w:tc>
        <w:tc>
          <w:tcPr>
            <w:tcW w:w="2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280"/>
              <w:spacing w:after="0" w:line="117"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44,029</w:t>
            </w:r>
          </w:p>
        </w:tc>
      </w:tr>
      <w:tr>
        <w:trPr>
          <w:trHeight w:val="117"/>
        </w:trPr>
        <w:tc>
          <w:tcPr>
            <w:tcW w:w="440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Asset-backed securities</w:t>
            </w:r>
          </w:p>
        </w:tc>
        <w:tc>
          <w:tcPr>
            <w:tcW w:w="1120" w:type="dxa"/>
            <w:vAlign w:val="bottom"/>
          </w:tcPr>
          <w:p>
            <w:pPr>
              <w:spacing w:after="0"/>
              <w:rPr>
                <w:sz w:val="10"/>
                <w:szCs w:val="10"/>
                <w:color w:val="auto"/>
              </w:rPr>
            </w:pPr>
          </w:p>
        </w:tc>
        <w:tc>
          <w:tcPr>
            <w:tcW w:w="540" w:type="dxa"/>
            <w:vAlign w:val="bottom"/>
            <w:gridSpan w:val="2"/>
          </w:tcPr>
          <w:p>
            <w:pPr>
              <w:ind w:left="3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21,613</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80" w:type="dxa"/>
            <w:vAlign w:val="bottom"/>
            <w:gridSpan w:val="2"/>
          </w:tcPr>
          <w:p>
            <w:pPr>
              <w:ind w:left="280"/>
              <w:spacing w:after="0" w:line="117"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0"/>
                <w:szCs w:val="10"/>
                <w:color w:val="auto"/>
              </w:rPr>
            </w:pPr>
          </w:p>
        </w:tc>
        <w:tc>
          <w:tcPr>
            <w:tcW w:w="12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21,613</w:t>
            </w:r>
          </w:p>
        </w:tc>
      </w:tr>
      <w:tr>
        <w:trPr>
          <w:trHeight w:val="117"/>
        </w:trPr>
        <w:tc>
          <w:tcPr>
            <w:tcW w:w="44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Commercial paper</w:t>
            </w:r>
          </w:p>
        </w:tc>
        <w:tc>
          <w:tcPr>
            <w:tcW w:w="1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4,934</w:t>
            </w:r>
          </w:p>
        </w:tc>
        <w:tc>
          <w:tcPr>
            <w:tcW w:w="2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280"/>
              <w:spacing w:after="0" w:line="117"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4,934</w:t>
            </w:r>
          </w:p>
        </w:tc>
      </w:tr>
      <w:tr>
        <w:trPr>
          <w:trHeight w:val="113"/>
        </w:trPr>
        <w:tc>
          <w:tcPr>
            <w:tcW w:w="4400" w:type="dxa"/>
            <w:vAlign w:val="bottom"/>
          </w:tcPr>
          <w:p>
            <w:pPr>
              <w:ind w:left="60"/>
              <w:spacing w:after="0" w:line="106" w:lineRule="exact"/>
              <w:rPr>
                <w:sz w:val="20"/>
                <w:szCs w:val="20"/>
                <w:color w:val="auto"/>
              </w:rPr>
            </w:pPr>
            <w:r>
              <w:rPr>
                <w:rFonts w:ascii="Times New Roman" w:cs="Times New Roman" w:eastAsia="Times New Roman" w:hAnsi="Times New Roman"/>
                <w:sz w:val="11"/>
                <w:szCs w:val="11"/>
                <w:color w:val="auto"/>
              </w:rPr>
              <w:t>Total</w:t>
            </w:r>
          </w:p>
        </w:tc>
        <w:tc>
          <w:tcPr>
            <w:tcW w:w="1120" w:type="dxa"/>
            <w:vAlign w:val="bottom"/>
            <w:tcBorders>
              <w:top w:val="single" w:sz="8" w:color="auto"/>
              <w:bottom w:val="single" w:sz="8" w:color="auto"/>
            </w:tcBorders>
          </w:tcPr>
          <w:p>
            <w:pPr>
              <w:jc w:val="right"/>
              <w:ind w:right="100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ind w:left="180"/>
              <w:spacing w:after="0" w:line="106" w:lineRule="exact"/>
              <w:rPr>
                <w:sz w:val="20"/>
                <w:szCs w:val="20"/>
                <w:color w:val="auto"/>
              </w:rPr>
            </w:pPr>
            <w:r>
              <w:rPr>
                <w:rFonts w:ascii="Times New Roman" w:cs="Times New Roman" w:eastAsia="Times New Roman" w:hAnsi="Times New Roman"/>
                <w:sz w:val="11"/>
                <w:szCs w:val="11"/>
                <w:color w:val="auto"/>
                <w:w w:val="96"/>
              </w:rPr>
              <w:t>6,050</w:t>
            </w:r>
          </w:p>
        </w:tc>
        <w:tc>
          <w:tcPr>
            <w:tcW w:w="100" w:type="dxa"/>
            <w:vAlign w:val="bottom"/>
          </w:tcPr>
          <w:p>
            <w:pPr>
              <w:spacing w:after="0"/>
              <w:rPr>
                <w:sz w:val="9"/>
                <w:szCs w:val="9"/>
                <w:color w:val="auto"/>
              </w:rPr>
            </w:pPr>
          </w:p>
        </w:tc>
        <w:tc>
          <w:tcPr>
            <w:tcW w:w="1140" w:type="dxa"/>
            <w:vAlign w:val="bottom"/>
            <w:tcBorders>
              <w:top w:val="single" w:sz="8" w:color="auto"/>
              <w:bottom w:val="single" w:sz="8" w:color="auto"/>
            </w:tcBorders>
          </w:tcPr>
          <w:p>
            <w:pPr>
              <w:jc w:val="right"/>
              <w:ind w:right="10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235,227</w:t>
            </w:r>
          </w:p>
        </w:tc>
        <w:tc>
          <w:tcPr>
            <w:tcW w:w="200" w:type="dxa"/>
            <w:vAlign w:val="bottom"/>
          </w:tcPr>
          <w:p>
            <w:pPr>
              <w:spacing w:after="0"/>
              <w:rPr>
                <w:sz w:val="9"/>
                <w:szCs w:val="9"/>
                <w:color w:val="auto"/>
              </w:rPr>
            </w:pPr>
          </w:p>
        </w:tc>
        <w:tc>
          <w:tcPr>
            <w:tcW w:w="1300" w:type="dxa"/>
            <w:vAlign w:val="bottom"/>
            <w:tcBorders>
              <w:top w:val="single" w:sz="8" w:color="auto"/>
              <w:bottom w:val="single" w:sz="8" w:color="auto"/>
            </w:tcBorders>
          </w:tcPr>
          <w:p>
            <w:pPr>
              <w:jc w:val="right"/>
              <w:ind w:right="118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ind w:left="280"/>
              <w:spacing w:after="0" w:line="106" w:lineRule="exact"/>
              <w:rPr>
                <w:sz w:val="20"/>
                <w:szCs w:val="20"/>
                <w:color w:val="auto"/>
              </w:rPr>
            </w:pPr>
            <w:r>
              <w:rPr>
                <w:rFonts w:ascii="Times New Roman" w:cs="Times New Roman" w:eastAsia="Times New Roman" w:hAnsi="Times New Roman"/>
                <w:sz w:val="11"/>
                <w:szCs w:val="11"/>
                <w:color w:val="auto"/>
                <w:w w:val="90"/>
              </w:rPr>
              <w:t>—</w:t>
            </w:r>
          </w:p>
        </w:tc>
        <w:tc>
          <w:tcPr>
            <w:tcW w:w="80" w:type="dxa"/>
            <w:vAlign w:val="bottom"/>
          </w:tcPr>
          <w:p>
            <w:pPr>
              <w:spacing w:after="0"/>
              <w:rPr>
                <w:sz w:val="9"/>
                <w:szCs w:val="9"/>
                <w:color w:val="auto"/>
              </w:rPr>
            </w:pPr>
          </w:p>
        </w:tc>
        <w:tc>
          <w:tcPr>
            <w:tcW w:w="360" w:type="dxa"/>
            <w:vAlign w:val="bottom"/>
            <w:tcBorders>
              <w:top w:val="single" w:sz="8" w:color="auto"/>
              <w:bottom w:val="single" w:sz="8" w:color="auto"/>
            </w:tcBorders>
          </w:tcPr>
          <w:p>
            <w:pPr>
              <w:jc w:val="right"/>
              <w:ind w:right="24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241,277</w:t>
            </w:r>
          </w:p>
        </w:tc>
      </w:tr>
    </w:tbl>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40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3"/>
          </w:tcPr>
          <w:p>
            <w:pPr>
              <w:jc w:val="right"/>
              <w:ind w:right="906"/>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r>
      <w:tr>
        <w:trPr>
          <w:trHeight w:val="106"/>
        </w:trPr>
        <w:tc>
          <w:tcPr>
            <w:tcW w:w="4400" w:type="dxa"/>
            <w:vAlign w:val="bottom"/>
            <w:tcBorders>
              <w:bottom w:val="single" w:sz="8" w:color="CCEEFF"/>
            </w:tcBorders>
          </w:tcPr>
          <w:p>
            <w:pPr>
              <w:spacing w:after="0"/>
              <w:rPr>
                <w:sz w:val="9"/>
                <w:szCs w:val="9"/>
                <w:color w:val="auto"/>
              </w:rPr>
            </w:pPr>
          </w:p>
        </w:tc>
        <w:tc>
          <w:tcPr>
            <w:tcW w:w="1060" w:type="dxa"/>
            <w:vAlign w:val="bottom"/>
            <w:tcBorders>
              <w:bottom w:val="single" w:sz="8" w:color="auto"/>
            </w:tcBorders>
          </w:tcPr>
          <w:p>
            <w:pPr>
              <w:jc w:val="right"/>
              <w:ind w:right="46"/>
              <w:spacing w:after="0" w:line="106" w:lineRule="exact"/>
              <w:rPr>
                <w:sz w:val="20"/>
                <w:szCs w:val="20"/>
                <w:color w:val="auto"/>
              </w:rPr>
            </w:pPr>
            <w:r>
              <w:rPr>
                <w:rFonts w:ascii="Times New Roman" w:cs="Times New Roman" w:eastAsia="Times New Roman" w:hAnsi="Times New Roman"/>
                <w:sz w:val="11"/>
                <w:szCs w:val="11"/>
                <w:b w:val="1"/>
                <w:bCs w:val="1"/>
                <w:color w:val="auto"/>
              </w:rPr>
              <w:t>Level 1</w:t>
            </w:r>
          </w:p>
        </w:tc>
        <w:tc>
          <w:tcPr>
            <w:tcW w:w="50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140" w:type="dxa"/>
            <w:vAlign w:val="bottom"/>
            <w:tcBorders>
              <w:bottom w:val="single" w:sz="8" w:color="auto"/>
            </w:tcBorders>
          </w:tcPr>
          <w:p>
            <w:pPr>
              <w:jc w:val="right"/>
              <w:ind w:right="86"/>
              <w:spacing w:after="0" w:line="106" w:lineRule="exact"/>
              <w:rPr>
                <w:sz w:val="20"/>
                <w:szCs w:val="20"/>
                <w:color w:val="auto"/>
              </w:rPr>
            </w:pPr>
            <w:r>
              <w:rPr>
                <w:rFonts w:ascii="Times New Roman" w:cs="Times New Roman" w:eastAsia="Times New Roman" w:hAnsi="Times New Roman"/>
                <w:sz w:val="11"/>
                <w:szCs w:val="11"/>
                <w:b w:val="1"/>
                <w:bCs w:val="1"/>
                <w:color w:val="auto"/>
              </w:rPr>
              <w:t>Level 2</w:t>
            </w:r>
          </w:p>
        </w:tc>
        <w:tc>
          <w:tcPr>
            <w:tcW w:w="540" w:type="dxa"/>
            <w:vAlign w:val="bottom"/>
            <w:tcBorders>
              <w:bottom w:val="single" w:sz="8" w:color="auto"/>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1300" w:type="dxa"/>
            <w:vAlign w:val="bottom"/>
            <w:tcBorders>
              <w:bottom w:val="single" w:sz="8" w:color="auto"/>
            </w:tcBorders>
          </w:tcPr>
          <w:p>
            <w:pPr>
              <w:jc w:val="right"/>
              <w:ind w:right="226"/>
              <w:spacing w:after="0" w:line="106" w:lineRule="exact"/>
              <w:rPr>
                <w:sz w:val="20"/>
                <w:szCs w:val="20"/>
                <w:color w:val="auto"/>
              </w:rPr>
            </w:pPr>
            <w:r>
              <w:rPr>
                <w:rFonts w:ascii="Times New Roman" w:cs="Times New Roman" w:eastAsia="Times New Roman" w:hAnsi="Times New Roman"/>
                <w:sz w:val="11"/>
                <w:szCs w:val="11"/>
                <w:b w:val="1"/>
                <w:bCs w:val="1"/>
                <w:color w:val="auto"/>
              </w:rPr>
              <w:t>Level 3</w:t>
            </w: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jc w:val="right"/>
              <w:ind w:right="626"/>
              <w:spacing w:after="0" w:line="106" w:lineRule="exact"/>
              <w:rPr>
                <w:sz w:val="20"/>
                <w:szCs w:val="20"/>
                <w:color w:val="auto"/>
              </w:rPr>
            </w:pPr>
            <w:r>
              <w:rPr>
                <w:rFonts w:ascii="Times New Roman" w:cs="Times New Roman" w:eastAsia="Times New Roman" w:hAnsi="Times New Roman"/>
                <w:sz w:val="11"/>
                <w:szCs w:val="11"/>
                <w:b w:val="1"/>
                <w:bCs w:val="1"/>
                <w:color w:val="auto"/>
              </w:rPr>
              <w:t>Total</w:t>
            </w:r>
          </w:p>
        </w:tc>
      </w:tr>
      <w:tr>
        <w:trPr>
          <w:trHeight w:val="106"/>
        </w:trPr>
        <w:tc>
          <w:tcPr>
            <w:tcW w:w="44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Assets</w:t>
            </w:r>
          </w:p>
        </w:tc>
        <w:tc>
          <w:tcPr>
            <w:tcW w:w="10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r>
      <w:tr>
        <w:trPr>
          <w:trHeight w:val="117"/>
        </w:trPr>
        <w:tc>
          <w:tcPr>
            <w:tcW w:w="440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Money market funds, included in cash equivalents</w:t>
            </w:r>
          </w:p>
        </w:tc>
        <w:tc>
          <w:tcPr>
            <w:tcW w:w="1060" w:type="dxa"/>
            <w:vAlign w:val="bottom"/>
          </w:tcPr>
          <w:p>
            <w:pPr>
              <w:jc w:val="right"/>
              <w:ind w:right="94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27,806</w:t>
            </w:r>
          </w:p>
        </w:tc>
        <w:tc>
          <w:tcPr>
            <w:tcW w:w="100" w:type="dxa"/>
            <w:vAlign w:val="bottom"/>
          </w:tcPr>
          <w:p>
            <w:pPr>
              <w:spacing w:after="0"/>
              <w:rPr>
                <w:sz w:val="10"/>
                <w:szCs w:val="10"/>
                <w:color w:val="auto"/>
              </w:rPr>
            </w:pPr>
          </w:p>
        </w:tc>
        <w:tc>
          <w:tcPr>
            <w:tcW w:w="1140" w:type="dxa"/>
            <w:vAlign w:val="bottom"/>
          </w:tcPr>
          <w:p>
            <w:pPr>
              <w:jc w:val="right"/>
              <w:ind w:right="102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ind w:left="4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ind w:right="118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ind w:left="280"/>
              <w:spacing w:after="0" w:line="117"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ind w:right="24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27,806</w:t>
            </w:r>
          </w:p>
        </w:tc>
      </w:tr>
      <w:tr>
        <w:trPr>
          <w:trHeight w:val="117"/>
        </w:trPr>
        <w:tc>
          <w:tcPr>
            <w:tcW w:w="44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Money market funds, included in restricted cash, non-current</w:t>
            </w:r>
          </w:p>
        </w:tc>
        <w:tc>
          <w:tcPr>
            <w:tcW w:w="10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4,709</w:t>
            </w: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4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3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280"/>
              <w:spacing w:after="0" w:line="117"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4,709</w:t>
            </w:r>
          </w:p>
        </w:tc>
      </w:tr>
      <w:tr>
        <w:trPr>
          <w:trHeight w:val="117"/>
        </w:trPr>
        <w:tc>
          <w:tcPr>
            <w:tcW w:w="440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U.S. government securities</w:t>
            </w:r>
          </w:p>
        </w:tc>
        <w:tc>
          <w:tcPr>
            <w:tcW w:w="1060" w:type="dxa"/>
            <w:vAlign w:val="bottom"/>
          </w:tcPr>
          <w:p>
            <w:pPr>
              <w:spacing w:after="0"/>
              <w:rPr>
                <w:sz w:val="10"/>
                <w:szCs w:val="10"/>
                <w:color w:val="auto"/>
              </w:rPr>
            </w:pPr>
          </w:p>
        </w:tc>
        <w:tc>
          <w:tcPr>
            <w:tcW w:w="600" w:type="dxa"/>
            <w:vAlign w:val="bottom"/>
            <w:gridSpan w:val="2"/>
          </w:tcPr>
          <w:p>
            <w:pPr>
              <w:ind w:left="4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81,479</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80" w:type="dxa"/>
            <w:vAlign w:val="bottom"/>
            <w:gridSpan w:val="2"/>
          </w:tcPr>
          <w:p>
            <w:pPr>
              <w:ind w:left="280"/>
              <w:spacing w:after="0" w:line="117"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0"/>
                <w:szCs w:val="10"/>
                <w:color w:val="auto"/>
              </w:rPr>
            </w:pPr>
          </w:p>
        </w:tc>
        <w:tc>
          <w:tcPr>
            <w:tcW w:w="12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81,479</w:t>
            </w:r>
          </w:p>
        </w:tc>
      </w:tr>
      <w:tr>
        <w:trPr>
          <w:trHeight w:val="117"/>
        </w:trPr>
        <w:tc>
          <w:tcPr>
            <w:tcW w:w="44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U.S. treasury bills</w:t>
            </w:r>
          </w:p>
        </w:tc>
        <w:tc>
          <w:tcPr>
            <w:tcW w:w="10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ind w:left="4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39,593</w:t>
            </w:r>
          </w:p>
        </w:tc>
        <w:tc>
          <w:tcPr>
            <w:tcW w:w="2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39,593</w:t>
            </w:r>
          </w:p>
        </w:tc>
      </w:tr>
      <w:tr>
        <w:trPr>
          <w:trHeight w:val="117"/>
        </w:trPr>
        <w:tc>
          <w:tcPr>
            <w:tcW w:w="440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Corporate bonds/notes</w:t>
            </w:r>
          </w:p>
        </w:tc>
        <w:tc>
          <w:tcPr>
            <w:tcW w:w="1060" w:type="dxa"/>
            <w:vAlign w:val="bottom"/>
          </w:tcPr>
          <w:p>
            <w:pPr>
              <w:spacing w:after="0"/>
              <w:rPr>
                <w:sz w:val="10"/>
                <w:szCs w:val="10"/>
                <w:color w:val="auto"/>
              </w:rPr>
            </w:pPr>
          </w:p>
        </w:tc>
        <w:tc>
          <w:tcPr>
            <w:tcW w:w="600" w:type="dxa"/>
            <w:vAlign w:val="bottom"/>
            <w:gridSpan w:val="2"/>
          </w:tcPr>
          <w:p>
            <w:pPr>
              <w:ind w:left="4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57,571</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80" w:type="dxa"/>
            <w:vAlign w:val="bottom"/>
            <w:gridSpan w:val="2"/>
          </w:tcPr>
          <w:p>
            <w:pPr>
              <w:ind w:left="280"/>
              <w:spacing w:after="0" w:line="117"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0"/>
                <w:szCs w:val="10"/>
                <w:color w:val="auto"/>
              </w:rPr>
            </w:pPr>
          </w:p>
        </w:tc>
        <w:tc>
          <w:tcPr>
            <w:tcW w:w="12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57,571</w:t>
            </w:r>
          </w:p>
        </w:tc>
      </w:tr>
      <w:tr>
        <w:trPr>
          <w:trHeight w:val="117"/>
        </w:trPr>
        <w:tc>
          <w:tcPr>
            <w:tcW w:w="44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Agency bonds/notes</w:t>
            </w:r>
          </w:p>
        </w:tc>
        <w:tc>
          <w:tcPr>
            <w:tcW w:w="10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ind w:left="4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25,151</w:t>
            </w:r>
          </w:p>
        </w:tc>
        <w:tc>
          <w:tcPr>
            <w:tcW w:w="2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280"/>
              <w:spacing w:after="0" w:line="117"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25,151</w:t>
            </w:r>
          </w:p>
        </w:tc>
      </w:tr>
      <w:tr>
        <w:trPr>
          <w:trHeight w:val="117"/>
        </w:trPr>
        <w:tc>
          <w:tcPr>
            <w:tcW w:w="440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Asset-backed securities</w:t>
            </w:r>
          </w:p>
        </w:tc>
        <w:tc>
          <w:tcPr>
            <w:tcW w:w="1060" w:type="dxa"/>
            <w:vAlign w:val="bottom"/>
          </w:tcPr>
          <w:p>
            <w:pPr>
              <w:spacing w:after="0"/>
              <w:rPr>
                <w:sz w:val="10"/>
                <w:szCs w:val="10"/>
                <w:color w:val="auto"/>
              </w:rPr>
            </w:pPr>
          </w:p>
        </w:tc>
        <w:tc>
          <w:tcPr>
            <w:tcW w:w="600" w:type="dxa"/>
            <w:vAlign w:val="bottom"/>
            <w:gridSpan w:val="2"/>
          </w:tcPr>
          <w:p>
            <w:pPr>
              <w:ind w:left="4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21,711</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80" w:type="dxa"/>
            <w:vAlign w:val="bottom"/>
            <w:gridSpan w:val="2"/>
          </w:tcPr>
          <w:p>
            <w:pPr>
              <w:ind w:left="280"/>
              <w:spacing w:after="0" w:line="117"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0"/>
                <w:szCs w:val="10"/>
                <w:color w:val="auto"/>
              </w:rPr>
            </w:pPr>
          </w:p>
        </w:tc>
        <w:tc>
          <w:tcPr>
            <w:tcW w:w="12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21,711</w:t>
            </w:r>
          </w:p>
        </w:tc>
      </w:tr>
      <w:tr>
        <w:trPr>
          <w:trHeight w:val="117"/>
        </w:trPr>
        <w:tc>
          <w:tcPr>
            <w:tcW w:w="44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Commercial paper</w:t>
            </w:r>
          </w:p>
        </w:tc>
        <w:tc>
          <w:tcPr>
            <w:tcW w:w="10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ind w:left="4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9,870</w:t>
            </w:r>
          </w:p>
        </w:tc>
        <w:tc>
          <w:tcPr>
            <w:tcW w:w="2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280"/>
              <w:spacing w:after="0" w:line="117"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9,870</w:t>
            </w:r>
          </w:p>
        </w:tc>
      </w:tr>
      <w:tr>
        <w:trPr>
          <w:trHeight w:val="113"/>
        </w:trPr>
        <w:tc>
          <w:tcPr>
            <w:tcW w:w="4400" w:type="dxa"/>
            <w:vAlign w:val="bottom"/>
          </w:tcPr>
          <w:p>
            <w:pPr>
              <w:ind w:left="60"/>
              <w:spacing w:after="0" w:line="106" w:lineRule="exact"/>
              <w:rPr>
                <w:sz w:val="20"/>
                <w:szCs w:val="20"/>
                <w:color w:val="auto"/>
              </w:rPr>
            </w:pPr>
            <w:r>
              <w:rPr>
                <w:rFonts w:ascii="Times New Roman" w:cs="Times New Roman" w:eastAsia="Times New Roman" w:hAnsi="Times New Roman"/>
                <w:sz w:val="11"/>
                <w:szCs w:val="11"/>
                <w:color w:val="auto"/>
              </w:rPr>
              <w:t>Total</w:t>
            </w:r>
          </w:p>
        </w:tc>
        <w:tc>
          <w:tcPr>
            <w:tcW w:w="1060" w:type="dxa"/>
            <w:vAlign w:val="bottom"/>
            <w:tcBorders>
              <w:top w:val="single" w:sz="8" w:color="auto"/>
              <w:bottom w:val="single" w:sz="8" w:color="auto"/>
            </w:tcBorders>
          </w:tcPr>
          <w:p>
            <w:pPr>
              <w:jc w:val="right"/>
              <w:ind w:right="94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32,515</w:t>
            </w:r>
          </w:p>
        </w:tc>
        <w:tc>
          <w:tcPr>
            <w:tcW w:w="100" w:type="dxa"/>
            <w:vAlign w:val="bottom"/>
          </w:tcPr>
          <w:p>
            <w:pPr>
              <w:spacing w:after="0"/>
              <w:rPr>
                <w:sz w:val="9"/>
                <w:szCs w:val="9"/>
                <w:color w:val="auto"/>
              </w:rPr>
            </w:pPr>
          </w:p>
        </w:tc>
        <w:tc>
          <w:tcPr>
            <w:tcW w:w="1140" w:type="dxa"/>
            <w:vAlign w:val="bottom"/>
            <w:tcBorders>
              <w:top w:val="single" w:sz="8" w:color="auto"/>
              <w:bottom w:val="single" w:sz="8" w:color="auto"/>
            </w:tcBorders>
          </w:tcPr>
          <w:p>
            <w:pPr>
              <w:jc w:val="right"/>
              <w:ind w:right="10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235,375</w:t>
            </w:r>
          </w:p>
        </w:tc>
        <w:tc>
          <w:tcPr>
            <w:tcW w:w="200" w:type="dxa"/>
            <w:vAlign w:val="bottom"/>
          </w:tcPr>
          <w:p>
            <w:pPr>
              <w:spacing w:after="0"/>
              <w:rPr>
                <w:sz w:val="9"/>
                <w:szCs w:val="9"/>
                <w:color w:val="auto"/>
              </w:rPr>
            </w:pPr>
          </w:p>
        </w:tc>
        <w:tc>
          <w:tcPr>
            <w:tcW w:w="1300" w:type="dxa"/>
            <w:vAlign w:val="bottom"/>
            <w:tcBorders>
              <w:top w:val="single" w:sz="8" w:color="auto"/>
              <w:bottom w:val="single" w:sz="8" w:color="auto"/>
            </w:tcBorders>
          </w:tcPr>
          <w:p>
            <w:pPr>
              <w:jc w:val="right"/>
              <w:ind w:right="118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ind w:left="280"/>
              <w:spacing w:after="0" w:line="106" w:lineRule="exact"/>
              <w:rPr>
                <w:sz w:val="20"/>
                <w:szCs w:val="20"/>
                <w:color w:val="auto"/>
              </w:rPr>
            </w:pPr>
            <w:r>
              <w:rPr>
                <w:rFonts w:ascii="Times New Roman" w:cs="Times New Roman" w:eastAsia="Times New Roman" w:hAnsi="Times New Roman"/>
                <w:sz w:val="11"/>
                <w:szCs w:val="11"/>
                <w:color w:val="auto"/>
                <w:w w:val="90"/>
              </w:rPr>
              <w:t>—</w:t>
            </w:r>
          </w:p>
        </w:tc>
        <w:tc>
          <w:tcPr>
            <w:tcW w:w="80" w:type="dxa"/>
            <w:vAlign w:val="bottom"/>
          </w:tcPr>
          <w:p>
            <w:pPr>
              <w:spacing w:after="0"/>
              <w:rPr>
                <w:sz w:val="9"/>
                <w:szCs w:val="9"/>
                <w:color w:val="auto"/>
              </w:rPr>
            </w:pPr>
          </w:p>
        </w:tc>
        <w:tc>
          <w:tcPr>
            <w:tcW w:w="360" w:type="dxa"/>
            <w:vAlign w:val="bottom"/>
            <w:tcBorders>
              <w:top w:val="single" w:sz="8" w:color="auto"/>
              <w:bottom w:val="single" w:sz="8" w:color="auto"/>
            </w:tcBorders>
          </w:tcPr>
          <w:p>
            <w:pPr>
              <w:jc w:val="right"/>
              <w:ind w:right="24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267,890</w:t>
            </w:r>
          </w:p>
        </w:tc>
      </w:tr>
      <w:tr>
        <w:trPr>
          <w:trHeight w:val="155"/>
        </w:trPr>
        <w:tc>
          <w:tcPr>
            <w:tcW w:w="4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jc w:val="right"/>
              <w:ind w:right="205"/>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96"/>
        </w:trPr>
        <w:tc>
          <w:tcPr>
            <w:tcW w:w="440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3" w:right="2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jc w:val="center"/>
        <w:spacing w:after="0" w:line="234" w:lineRule="auto"/>
        <w:rPr>
          <w:sz w:val="20"/>
          <w:szCs w:val="20"/>
          <w:color w:val="auto"/>
        </w:rPr>
      </w:pPr>
      <w:r>
        <w:rPr>
          <w:rFonts w:ascii="Times New Roman" w:cs="Times New Roman" w:eastAsia="Times New Roman" w:hAnsi="Times New Roman"/>
          <w:sz w:val="19"/>
          <w:szCs w:val="19"/>
          <w:b w:val="1"/>
          <w:bCs w:val="1"/>
          <w:color w:val="auto"/>
        </w:rPr>
        <w:t>Heartflow, Inc.</w:t>
      </w:r>
    </w:p>
    <w:p>
      <w:pPr>
        <w:jc w:val="center"/>
        <w:spacing w:after="0" w:line="220" w:lineRule="auto"/>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37" w:lineRule="exact"/>
        <w:rPr>
          <w:sz w:val="20"/>
          <w:szCs w:val="20"/>
          <w:color w:val="auto"/>
        </w:rPr>
      </w:pPr>
    </w:p>
    <w:p>
      <w:pPr>
        <w:ind w:right="400"/>
        <w:spacing w:after="0" w:line="248" w:lineRule="auto"/>
        <w:rPr>
          <w:sz w:val="20"/>
          <w:szCs w:val="20"/>
          <w:color w:val="auto"/>
        </w:rPr>
      </w:pPr>
      <w:r>
        <w:rPr>
          <w:rFonts w:ascii="Times New Roman" w:cs="Times New Roman" w:eastAsia="Times New Roman" w:hAnsi="Times New Roman"/>
          <w:sz w:val="12"/>
          <w:szCs w:val="12"/>
          <w:color w:val="auto"/>
        </w:rPr>
        <w:t>The following tables present a reconciliation of the Company’s financial liabilities measured at fair value using significant unobservable inputs (Level 3) and the change in fair value during the year ended December 31, 2025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89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Common Stock Warrant Liability</w:t>
            </w:r>
          </w:p>
        </w:tc>
      </w:tr>
      <w:tr>
        <w:trPr>
          <w:trHeight w:val="106"/>
        </w:trPr>
        <w:tc>
          <w:tcPr>
            <w:tcW w:w="89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Fair value as of January 1, 2024</w:t>
            </w:r>
          </w:p>
        </w:tc>
        <w:tc>
          <w:tcPr>
            <w:tcW w:w="240" w:type="dxa"/>
            <w:vAlign w:val="bottom"/>
            <w:shd w:val="clear" w:color="auto" w:fill="CCEEFF"/>
          </w:tcPr>
          <w:p>
            <w:pPr>
              <w:jc w:val="right"/>
              <w:ind w:right="1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214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20,835</w:t>
            </w:r>
          </w:p>
        </w:tc>
      </w:tr>
      <w:tr>
        <w:trPr>
          <w:trHeight w:val="117"/>
        </w:trPr>
        <w:tc>
          <w:tcPr>
            <w:tcW w:w="892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Change in fair value</w:t>
            </w:r>
          </w:p>
        </w:tc>
        <w:tc>
          <w:tcPr>
            <w:tcW w:w="240" w:type="dxa"/>
            <w:vAlign w:val="bottom"/>
          </w:tcPr>
          <w:p>
            <w:pPr>
              <w:spacing w:after="0"/>
              <w:rPr>
                <w:sz w:val="10"/>
                <w:szCs w:val="10"/>
                <w:color w:val="auto"/>
              </w:rPr>
            </w:pPr>
          </w:p>
        </w:tc>
        <w:tc>
          <w:tcPr>
            <w:tcW w:w="21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43,894</w:t>
            </w:r>
          </w:p>
        </w:tc>
      </w:tr>
      <w:tr>
        <w:trPr>
          <w:trHeight w:val="117"/>
        </w:trPr>
        <w:tc>
          <w:tcPr>
            <w:tcW w:w="89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Reclassification to common stock upon net exercise</w:t>
            </w:r>
          </w:p>
        </w:tc>
        <w:tc>
          <w:tcPr>
            <w:tcW w:w="240" w:type="dxa"/>
            <w:vAlign w:val="bottom"/>
            <w:tcBorders>
              <w:bottom w:val="single" w:sz="8" w:color="auto"/>
            </w:tcBorders>
            <w:shd w:val="clear" w:color="auto" w:fill="CCEEFF"/>
          </w:tcPr>
          <w:p>
            <w:pPr>
              <w:spacing w:after="0"/>
              <w:rPr>
                <w:sz w:val="10"/>
                <w:szCs w:val="10"/>
                <w:color w:val="auto"/>
              </w:rPr>
            </w:pPr>
          </w:p>
        </w:tc>
        <w:tc>
          <w:tcPr>
            <w:tcW w:w="214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(64,729)</w:t>
            </w:r>
          </w:p>
        </w:tc>
      </w:tr>
      <w:tr>
        <w:trPr>
          <w:trHeight w:val="113"/>
        </w:trPr>
        <w:tc>
          <w:tcPr>
            <w:tcW w:w="892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Fair value as of December 31, 2025</w:t>
            </w:r>
          </w:p>
        </w:tc>
        <w:tc>
          <w:tcPr>
            <w:tcW w:w="240" w:type="dxa"/>
            <w:vAlign w:val="bottom"/>
            <w:tcBorders>
              <w:bottom w:val="single" w:sz="8" w:color="auto"/>
            </w:tcBorders>
          </w:tcPr>
          <w:p>
            <w:pPr>
              <w:jc w:val="right"/>
              <w:ind w:right="1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214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w:t>
            </w:r>
          </w:p>
        </w:tc>
      </w:tr>
    </w:tbl>
    <w:p>
      <w:pPr>
        <w:spacing w:after="0" w:line="106"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12"/>
          <w:szCs w:val="12"/>
          <w:color w:val="auto"/>
        </w:rPr>
        <w:t>In determining the fair value of the common stock warrant liability, the Company used the Black-Scholes option pricing model to estimate the fair value using unobservable inputs including the expected term, expected volatility, risk-free interest rate and dividend yield (see Note 12).</w:t>
      </w:r>
    </w:p>
    <w:p>
      <w:pPr>
        <w:sectPr>
          <w:pgSz w:w="11900" w:h="16838" w:orient="portrait"/>
          <w:cols w:equalWidth="0" w:num="1">
            <w:col w:w="11300"/>
          </w:cols>
          <w:pgMar w:left="300" w:top="123" w:right="299" w:bottom="1440" w:gutter="0" w:footer="0" w:header="0"/>
        </w:sect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Fair value as of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-73660</wp:posOffset>
            </wp:positionV>
            <wp:extent cx="7178040" cy="800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800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0"/>
          <w:szCs w:val="10"/>
          <w:color w:val="auto"/>
        </w:rPr>
        <w:t>Recognition of derivative liability related to Convertible Notes</w:t>
      </w:r>
    </w:p>
    <w:p>
      <w:pPr>
        <w:spacing w:after="0" w:line="225" w:lineRule="auto"/>
        <w:rPr>
          <w:sz w:val="20"/>
          <w:szCs w:val="20"/>
          <w:color w:val="auto"/>
        </w:rPr>
      </w:pPr>
      <w:r>
        <w:rPr>
          <w:rFonts w:ascii="Times New Roman" w:cs="Times New Roman" w:eastAsia="Times New Roman" w:hAnsi="Times New Roman"/>
          <w:sz w:val="11"/>
          <w:szCs w:val="11"/>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78040" cy="742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742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0"/>
          <w:szCs w:val="10"/>
          <w:color w:val="auto"/>
        </w:rPr>
        <w:t>Derecognition upon conversion into common stock upon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78040" cy="857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857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Fair value as of December 31, 2025</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1"/>
          <w:szCs w:val="11"/>
          <w:b w:val="1"/>
          <w:bCs w:val="1"/>
          <w:color w:val="auto"/>
        </w:rPr>
        <w:t>Convertible Notes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Derivative‎</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Liability</w:t>
            </w:r>
          </w:p>
        </w:tc>
      </w:tr>
      <w:tr>
        <w:trPr>
          <w:trHeight w:val="88"/>
        </w:trPr>
        <w:tc>
          <w:tcPr>
            <w:tcW w:w="1220" w:type="dxa"/>
            <w:vAlign w:val="bottom"/>
            <w:tcBorders>
              <w:top w:val="single" w:sz="8" w:color="auto"/>
            </w:tcBorders>
          </w:tcPr>
          <w:p>
            <w:pPr>
              <w:jc w:val="right"/>
              <w:ind w:right="1108"/>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gridSpan w:val="2"/>
          </w:tcPr>
          <w:p>
            <w:pPr>
              <w:spacing w:after="0"/>
              <w:rPr>
                <w:sz w:val="7"/>
                <w:szCs w:val="7"/>
                <w:color w:val="auto"/>
              </w:rPr>
            </w:pPr>
          </w:p>
        </w:tc>
      </w:tr>
      <w:tr>
        <w:trPr>
          <w:trHeight w:val="117"/>
        </w:trPr>
        <w:tc>
          <w:tcPr>
            <w:tcW w:w="1220" w:type="dxa"/>
            <w:vAlign w:val="bottom"/>
          </w:tcPr>
          <w:p>
            <w:pPr>
              <w:spacing w:after="0"/>
              <w:rPr>
                <w:sz w:val="10"/>
                <w:szCs w:val="10"/>
                <w:color w:val="auto"/>
              </w:rPr>
            </w:pPr>
          </w:p>
        </w:tc>
        <w:tc>
          <w:tcPr>
            <w:tcW w:w="11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31,900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7"/>
        </w:trPr>
        <w:tc>
          <w:tcPr>
            <w:tcW w:w="1220" w:type="dxa"/>
            <w:vAlign w:val="bottom"/>
          </w:tcPr>
          <w:p>
            <w:pPr>
              <w:spacing w:after="0"/>
              <w:rPr>
                <w:sz w:val="10"/>
                <w:szCs w:val="10"/>
                <w:color w:val="auto"/>
              </w:rPr>
            </w:pPr>
          </w:p>
        </w:tc>
        <w:tc>
          <w:tcPr>
            <w:tcW w:w="1200" w:type="dxa"/>
            <w:vAlign w:val="bottom"/>
            <w:gridSpan w:val="3"/>
          </w:tcPr>
          <w:p>
            <w:pPr>
              <w:jc w:val="right"/>
              <w:ind w:right="40"/>
              <w:spacing w:after="0" w:line="117" w:lineRule="exact"/>
              <w:rPr>
                <w:sz w:val="20"/>
                <w:szCs w:val="20"/>
                <w:color w:val="auto"/>
              </w:rPr>
            </w:pPr>
            <w:r>
              <w:rPr>
                <w:rFonts w:ascii="Times New Roman" w:cs="Times New Roman" w:eastAsia="Times New Roman" w:hAnsi="Times New Roman"/>
                <w:sz w:val="11"/>
                <w:szCs w:val="11"/>
                <w:color w:val="auto"/>
              </w:rPr>
              <w:t>(7,311)</w:t>
            </w:r>
          </w:p>
        </w:tc>
      </w:tr>
      <w:tr>
        <w:trPr>
          <w:trHeight w:val="135"/>
        </w:trPr>
        <w:tc>
          <w:tcPr>
            <w:tcW w:w="1220" w:type="dxa"/>
            <w:vAlign w:val="bottom"/>
          </w:tcPr>
          <w:p>
            <w:pPr>
              <w:spacing w:after="0"/>
              <w:rPr>
                <w:sz w:val="11"/>
                <w:szCs w:val="11"/>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(24,589)</w:t>
            </w:r>
          </w:p>
        </w:tc>
      </w:tr>
      <w:tr>
        <w:trPr>
          <w:trHeight w:val="113"/>
        </w:trPr>
        <w:tc>
          <w:tcPr>
            <w:tcW w:w="1220" w:type="dxa"/>
            <w:vAlign w:val="bottom"/>
            <w:tcBorders>
              <w:top w:val="single" w:sz="8" w:color="auto"/>
              <w:bottom w:val="single" w:sz="8" w:color="auto"/>
            </w:tcBorders>
          </w:tcPr>
          <w:p>
            <w:pPr>
              <w:jc w:val="right"/>
              <w:ind w:right="1108"/>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gridSpan w:val="2"/>
          </w:tcPr>
          <w:p>
            <w:pPr>
              <w:jc w:val="right"/>
              <w:ind w:right="20"/>
              <w:spacing w:after="0" w:line="106"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r>
    </w:tbl>
    <w:p>
      <w:pPr>
        <w:spacing w:after="0" w:line="106" w:lineRule="exact"/>
        <w:rPr>
          <w:sz w:val="20"/>
          <w:szCs w:val="20"/>
          <w:color w:val="auto"/>
        </w:rPr>
      </w:pPr>
    </w:p>
    <w:p>
      <w:pPr>
        <w:sectPr>
          <w:pgSz w:w="11900" w:h="16838" w:orient="portrait"/>
          <w:cols w:equalWidth="0" w:num="2">
            <w:col w:w="8200" w:space="720"/>
            <w:col w:w="2380"/>
          </w:cols>
          <w:pgMar w:left="300" w:top="123" w:right="299" w:bottom="1440" w:gutter="0" w:footer="0" w:header="0"/>
          <w:type w:val="continuous"/>
        </w:sectPr>
      </w:pPr>
    </w:p>
    <w:p>
      <w:pPr>
        <w:ind w:right="240"/>
        <w:spacing w:after="0" w:line="241" w:lineRule="auto"/>
        <w:rPr>
          <w:sz w:val="20"/>
          <w:szCs w:val="20"/>
          <w:color w:val="auto"/>
        </w:rPr>
      </w:pPr>
      <w:r>
        <w:rPr>
          <w:rFonts w:ascii="Times New Roman" w:cs="Times New Roman" w:eastAsia="Times New Roman" w:hAnsi="Times New Roman"/>
          <w:sz w:val="12"/>
          <w:szCs w:val="12"/>
          <w:color w:val="auto"/>
        </w:rPr>
        <w:t>In determining the fair value of the convertible notes derivative liability, a two-step valuation approach was employed, which included a probability-weighted scenario valuation method, the Monte Carlo Simulation method, and the option pricing method, using unobservable inputs (see Note 13), which are classified as Level 3 within the fair value hierarchy, and then comparing the instrument’s value with and without the derivative features to estimate their combined fair value. The debt instrument is carried at amortized cost, which approximates its fair value.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Balance Sheet Components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Investments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fair value of the Company’s available-for-sale investments and restricted cash as of March 31, 2026 and December 31, 2025 are as follows (in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2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3"/>
          </w:tcPr>
          <w:p>
            <w:pPr>
              <w:jc w:val="right"/>
              <w:ind w:right="213"/>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8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r>
        <w:trPr>
          <w:trHeight w:val="106"/>
        </w:trPr>
        <w:tc>
          <w:tcPr>
            <w:tcW w:w="5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gridSpan w:val="2"/>
          </w:tcPr>
          <w:p>
            <w:pPr>
              <w:ind w:left="240"/>
              <w:spacing w:after="0" w:line="106" w:lineRule="exact"/>
              <w:rPr>
                <w:sz w:val="20"/>
                <w:szCs w:val="20"/>
                <w:color w:val="auto"/>
              </w:rPr>
            </w:pPr>
            <w:r>
              <w:rPr>
                <w:rFonts w:ascii="Times New Roman" w:cs="Times New Roman" w:eastAsia="Times New Roman" w:hAnsi="Times New Roman"/>
                <w:sz w:val="11"/>
                <w:szCs w:val="11"/>
                <w:b w:val="1"/>
                <w:bCs w:val="1"/>
                <w:color w:val="auto"/>
              </w:rPr>
              <w:t>Amortized</w:t>
            </w:r>
          </w:p>
        </w:tc>
        <w:tc>
          <w:tcPr>
            <w:tcW w:w="28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gridSpan w:val="3"/>
          </w:tcPr>
          <w:p>
            <w:pPr>
              <w:jc w:val="right"/>
              <w:ind w:right="33"/>
              <w:spacing w:after="0" w:line="106"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8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jc w:val="right"/>
              <w:ind w:right="266"/>
              <w:spacing w:after="0" w:line="106" w:lineRule="exact"/>
              <w:rPr>
                <w:sz w:val="20"/>
                <w:szCs w:val="20"/>
                <w:color w:val="auto"/>
              </w:rPr>
            </w:pPr>
            <w:r>
              <w:rPr>
                <w:rFonts w:ascii="Times New Roman" w:cs="Times New Roman" w:eastAsia="Times New Roman" w:hAnsi="Times New Roman"/>
                <w:sz w:val="11"/>
                <w:szCs w:val="11"/>
                <w:b w:val="1"/>
                <w:bCs w:val="1"/>
                <w:color w:val="auto"/>
              </w:rPr>
              <w:t>Estimated</w:t>
            </w:r>
          </w:p>
        </w:tc>
      </w:tr>
      <w:tr>
        <w:trPr>
          <w:trHeight w:val="106"/>
        </w:trPr>
        <w:tc>
          <w:tcPr>
            <w:tcW w:w="5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gridSpan w:val="2"/>
          </w:tcPr>
          <w:p>
            <w:pPr>
              <w:ind w:left="280"/>
              <w:spacing w:after="0" w:line="106" w:lineRule="exact"/>
              <w:rPr>
                <w:sz w:val="20"/>
                <w:szCs w:val="20"/>
                <w:color w:val="auto"/>
              </w:rPr>
            </w:pPr>
            <w:r>
              <w:rPr>
                <w:rFonts w:ascii="Times New Roman" w:cs="Times New Roman" w:eastAsia="Times New Roman" w:hAnsi="Times New Roman"/>
                <w:sz w:val="11"/>
                <w:szCs w:val="11"/>
                <w:b w:val="1"/>
                <w:bCs w:val="1"/>
                <w:color w:val="auto"/>
              </w:rPr>
              <w:t>Cost</w:t>
            </w:r>
          </w:p>
        </w:tc>
        <w:tc>
          <w:tcPr>
            <w:tcW w:w="280" w:type="dxa"/>
            <w:vAlign w:val="bottom"/>
          </w:tcPr>
          <w:p>
            <w:pPr>
              <w:spacing w:after="0"/>
              <w:rPr>
                <w:sz w:val="9"/>
                <w:szCs w:val="9"/>
                <w:color w:val="auto"/>
              </w:rPr>
            </w:pPr>
          </w:p>
        </w:tc>
        <w:tc>
          <w:tcPr>
            <w:tcW w:w="1280" w:type="dxa"/>
            <w:vAlign w:val="bottom"/>
            <w:gridSpan w:val="2"/>
          </w:tcPr>
          <w:p>
            <w:pPr>
              <w:ind w:left="240"/>
              <w:spacing w:after="0" w:line="106" w:lineRule="exact"/>
              <w:rPr>
                <w:sz w:val="20"/>
                <w:szCs w:val="20"/>
                <w:color w:val="auto"/>
              </w:rPr>
            </w:pPr>
            <w:r>
              <w:rPr>
                <w:rFonts w:ascii="Times New Roman" w:cs="Times New Roman" w:eastAsia="Times New Roman" w:hAnsi="Times New Roman"/>
                <w:sz w:val="11"/>
                <w:szCs w:val="11"/>
                <w:b w:val="1"/>
                <w:bCs w:val="1"/>
                <w:color w:val="auto"/>
              </w:rPr>
              <w:t>Gains</w:t>
            </w:r>
          </w:p>
        </w:tc>
        <w:tc>
          <w:tcPr>
            <w:tcW w:w="420" w:type="dxa"/>
            <w:vAlign w:val="bottom"/>
          </w:tcPr>
          <w:p>
            <w:pPr>
              <w:spacing w:after="0"/>
              <w:rPr>
                <w:sz w:val="9"/>
                <w:szCs w:val="9"/>
                <w:color w:val="auto"/>
              </w:rPr>
            </w:pPr>
          </w:p>
        </w:tc>
        <w:tc>
          <w:tcPr>
            <w:tcW w:w="860" w:type="dxa"/>
            <w:vAlign w:val="bottom"/>
          </w:tcPr>
          <w:p>
            <w:pPr>
              <w:jc w:val="right"/>
              <w:ind w:right="426"/>
              <w:spacing w:after="0" w:line="106" w:lineRule="exact"/>
              <w:rPr>
                <w:sz w:val="20"/>
                <w:szCs w:val="20"/>
                <w:color w:val="auto"/>
              </w:rPr>
            </w:pPr>
            <w:r>
              <w:rPr>
                <w:rFonts w:ascii="Times New Roman" w:cs="Times New Roman" w:eastAsia="Times New Roman" w:hAnsi="Times New Roman"/>
                <w:sz w:val="11"/>
                <w:szCs w:val="11"/>
                <w:b w:val="1"/>
                <w:bCs w:val="1"/>
                <w:color w:val="auto"/>
              </w:rPr>
              <w:t>Losses</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jc w:val="right"/>
              <w:ind w:right="266"/>
              <w:spacing w:after="0" w:line="106" w:lineRule="exact"/>
              <w:rPr>
                <w:sz w:val="20"/>
                <w:szCs w:val="20"/>
                <w:color w:val="auto"/>
              </w:rPr>
            </w:pPr>
            <w:r>
              <w:rPr>
                <w:rFonts w:ascii="Times New Roman" w:cs="Times New Roman" w:eastAsia="Times New Roman" w:hAnsi="Times New Roman"/>
                <w:sz w:val="11"/>
                <w:szCs w:val="11"/>
                <w:b w:val="1"/>
                <w:bCs w:val="1"/>
                <w:color w:val="auto"/>
              </w:rPr>
              <w:t>Fair Value</w:t>
            </w:r>
          </w:p>
        </w:tc>
      </w:tr>
      <w:tr>
        <w:trPr>
          <w:trHeight w:val="106"/>
        </w:trPr>
        <w:tc>
          <w:tcPr>
            <w:tcW w:w="526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Assets</w:t>
            </w:r>
          </w:p>
        </w:tc>
        <w:tc>
          <w:tcPr>
            <w:tcW w:w="280" w:type="dxa"/>
            <w:vAlign w:val="bottom"/>
            <w:tcBorders>
              <w:top w:val="single" w:sz="8" w:color="auto"/>
            </w:tcBorders>
            <w:shd w:val="clear" w:color="auto" w:fill="CCEEFF"/>
          </w:tcPr>
          <w:p>
            <w:pPr>
              <w:spacing w:after="0"/>
              <w:rPr>
                <w:sz w:val="9"/>
                <w:szCs w:val="9"/>
                <w:color w:val="auto"/>
              </w:rPr>
            </w:pPr>
          </w:p>
        </w:tc>
        <w:tc>
          <w:tcPr>
            <w:tcW w:w="104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spacing w:after="0"/>
              <w:rPr>
                <w:sz w:val="9"/>
                <w:szCs w:val="9"/>
                <w:color w:val="auto"/>
              </w:rPr>
            </w:pPr>
          </w:p>
        </w:tc>
      </w:tr>
      <w:tr>
        <w:trPr>
          <w:trHeight w:val="117"/>
        </w:trPr>
        <w:tc>
          <w:tcPr>
            <w:tcW w:w="526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Money market funds, included in cash equivalents</w:t>
            </w:r>
          </w:p>
        </w:tc>
        <w:tc>
          <w:tcPr>
            <w:tcW w:w="280" w:type="dxa"/>
            <w:vAlign w:val="bottom"/>
          </w:tcPr>
          <w:p>
            <w:pPr>
              <w:jc w:val="right"/>
              <w:ind w:right="16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1,348</w:t>
            </w:r>
          </w:p>
        </w:tc>
        <w:tc>
          <w:tcPr>
            <w:tcW w:w="320" w:type="dxa"/>
            <w:vAlign w:val="bottom"/>
          </w:tcPr>
          <w:p>
            <w:pPr>
              <w:spacing w:after="0"/>
              <w:rPr>
                <w:sz w:val="10"/>
                <w:szCs w:val="10"/>
                <w:color w:val="auto"/>
              </w:rPr>
            </w:pPr>
          </w:p>
        </w:tc>
        <w:tc>
          <w:tcPr>
            <w:tcW w:w="280" w:type="dxa"/>
            <w:vAlign w:val="bottom"/>
          </w:tcPr>
          <w:p>
            <w:pPr>
              <w:jc w:val="right"/>
              <w:ind w:right="16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center"/>
              <w:ind w:left="606"/>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420" w:type="dxa"/>
            <w:vAlign w:val="bottom"/>
          </w:tcPr>
          <w:p>
            <w:pPr>
              <w:jc w:val="right"/>
              <w:ind w:right="353"/>
              <w:spacing w:after="0"/>
              <w:rPr>
                <w:sz w:val="20"/>
                <w:szCs w:val="20"/>
                <w:color w:val="auto"/>
              </w:rPr>
            </w:pPr>
            <w:r>
              <w:rPr>
                <w:rFonts w:ascii="Times New Roman" w:cs="Times New Roman" w:eastAsia="Times New Roman" w:hAnsi="Times New Roman"/>
                <w:sz w:val="5"/>
                <w:szCs w:val="5"/>
                <w:color w:val="auto"/>
                <w:w w:val="78"/>
              </w:rPr>
              <w:t>$</w:t>
            </w:r>
          </w:p>
        </w:tc>
        <w:tc>
          <w:tcPr>
            <w:tcW w:w="112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16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1,348</w:t>
            </w:r>
          </w:p>
        </w:tc>
      </w:tr>
      <w:tr>
        <w:trPr>
          <w:trHeight w:val="117"/>
        </w:trPr>
        <w:tc>
          <w:tcPr>
            <w:tcW w:w="52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Money market funds, included in restricted cash, non-current</w:t>
            </w:r>
          </w:p>
        </w:tc>
        <w:tc>
          <w:tcPr>
            <w:tcW w:w="28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4,702</w:t>
            </w:r>
          </w:p>
        </w:tc>
        <w:tc>
          <w:tcPr>
            <w:tcW w:w="3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center"/>
              <w:ind w:left="606"/>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4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4,702</w:t>
            </w:r>
          </w:p>
        </w:tc>
      </w:tr>
      <w:tr>
        <w:trPr>
          <w:trHeight w:val="117"/>
        </w:trPr>
        <w:tc>
          <w:tcPr>
            <w:tcW w:w="526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U.S. government securities</w:t>
            </w:r>
          </w:p>
        </w:tc>
        <w:tc>
          <w:tcPr>
            <w:tcW w:w="280" w:type="dxa"/>
            <w:vAlign w:val="bottom"/>
          </w:tcPr>
          <w:p>
            <w:pPr>
              <w:spacing w:after="0"/>
              <w:rPr>
                <w:sz w:val="10"/>
                <w:szCs w:val="10"/>
                <w:color w:val="auto"/>
              </w:rPr>
            </w:pPr>
          </w:p>
        </w:tc>
        <w:tc>
          <w:tcPr>
            <w:tcW w:w="10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81,500</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gridSpan w:val="2"/>
          </w:tcPr>
          <w:p>
            <w:pPr>
              <w:jc w:val="center"/>
              <w:ind w:left="606"/>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420" w:type="dxa"/>
            <w:vAlign w:val="bottom"/>
          </w:tcPr>
          <w:p>
            <w:pPr>
              <w:spacing w:after="0"/>
              <w:rPr>
                <w:sz w:val="10"/>
                <w:szCs w:val="10"/>
                <w:color w:val="auto"/>
              </w:rPr>
            </w:pPr>
          </w:p>
        </w:tc>
        <w:tc>
          <w:tcPr>
            <w:tcW w:w="112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(78)</w:t>
            </w:r>
          </w:p>
        </w:tc>
        <w:tc>
          <w:tcPr>
            <w:tcW w:w="280" w:type="dxa"/>
            <w:vAlign w:val="bottom"/>
          </w:tcPr>
          <w:p>
            <w:pPr>
              <w:spacing w:after="0"/>
              <w:rPr>
                <w:sz w:val="10"/>
                <w:szCs w:val="10"/>
                <w:color w:val="auto"/>
              </w:rPr>
            </w:pPr>
          </w:p>
        </w:tc>
        <w:tc>
          <w:tcPr>
            <w:tcW w:w="10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81,422</w:t>
            </w:r>
          </w:p>
        </w:tc>
      </w:tr>
      <w:tr>
        <w:trPr>
          <w:trHeight w:val="117"/>
        </w:trPr>
        <w:tc>
          <w:tcPr>
            <w:tcW w:w="52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U.S. treasury bills</w:t>
            </w:r>
          </w:p>
        </w:tc>
        <w:tc>
          <w:tcPr>
            <w:tcW w:w="28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19,864</w:t>
            </w:r>
          </w:p>
        </w:tc>
        <w:tc>
          <w:tcPr>
            <w:tcW w:w="3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20" w:type="dxa"/>
            <w:vAlign w:val="bottom"/>
            <w:shd w:val="clear" w:color="auto" w:fill="CCEEFF"/>
          </w:tcPr>
          <w:p>
            <w:pPr>
              <w:jc w:val="center"/>
              <w:ind w:left="866"/>
              <w:spacing w:after="0" w:line="117" w:lineRule="exact"/>
              <w:rPr>
                <w:sz w:val="20"/>
                <w:szCs w:val="20"/>
                <w:color w:val="auto"/>
              </w:rPr>
            </w:pPr>
            <w:r>
              <w:rPr>
                <w:rFonts w:ascii="Times New Roman" w:cs="Times New Roman" w:eastAsia="Times New Roman" w:hAnsi="Times New Roman"/>
                <w:sz w:val="11"/>
                <w:szCs w:val="11"/>
                <w:color w:val="auto"/>
              </w:rPr>
              <w:t>1</w:t>
            </w:r>
          </w:p>
        </w:tc>
        <w:tc>
          <w:tcPr>
            <w:tcW w:w="2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19,865</w:t>
            </w:r>
          </w:p>
        </w:tc>
      </w:tr>
      <w:tr>
        <w:trPr>
          <w:trHeight w:val="117"/>
        </w:trPr>
        <w:tc>
          <w:tcPr>
            <w:tcW w:w="526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Corporate bonds/notes</w:t>
            </w:r>
          </w:p>
        </w:tc>
        <w:tc>
          <w:tcPr>
            <w:tcW w:w="280" w:type="dxa"/>
            <w:vAlign w:val="bottom"/>
          </w:tcPr>
          <w:p>
            <w:pPr>
              <w:spacing w:after="0"/>
              <w:rPr>
                <w:sz w:val="10"/>
                <w:szCs w:val="10"/>
                <w:color w:val="auto"/>
              </w:rPr>
            </w:pPr>
          </w:p>
        </w:tc>
        <w:tc>
          <w:tcPr>
            <w:tcW w:w="10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63,517</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gridSpan w:val="2"/>
          </w:tcPr>
          <w:p>
            <w:pPr>
              <w:jc w:val="center"/>
              <w:ind w:left="606"/>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420" w:type="dxa"/>
            <w:vAlign w:val="bottom"/>
          </w:tcPr>
          <w:p>
            <w:pPr>
              <w:spacing w:after="0"/>
              <w:rPr>
                <w:sz w:val="10"/>
                <w:szCs w:val="10"/>
                <w:color w:val="auto"/>
              </w:rPr>
            </w:pPr>
          </w:p>
        </w:tc>
        <w:tc>
          <w:tcPr>
            <w:tcW w:w="112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(153)</w:t>
            </w:r>
          </w:p>
        </w:tc>
        <w:tc>
          <w:tcPr>
            <w:tcW w:w="280" w:type="dxa"/>
            <w:vAlign w:val="bottom"/>
          </w:tcPr>
          <w:p>
            <w:pPr>
              <w:spacing w:after="0"/>
              <w:rPr>
                <w:sz w:val="10"/>
                <w:szCs w:val="10"/>
                <w:color w:val="auto"/>
              </w:rPr>
            </w:pPr>
          </w:p>
        </w:tc>
        <w:tc>
          <w:tcPr>
            <w:tcW w:w="10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63,364</w:t>
            </w:r>
          </w:p>
        </w:tc>
      </w:tr>
      <w:tr>
        <w:trPr>
          <w:trHeight w:val="117"/>
        </w:trPr>
        <w:tc>
          <w:tcPr>
            <w:tcW w:w="52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Agency bonds/notes</w:t>
            </w:r>
          </w:p>
        </w:tc>
        <w:tc>
          <w:tcPr>
            <w:tcW w:w="28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44,137</w:t>
            </w:r>
          </w:p>
        </w:tc>
        <w:tc>
          <w:tcPr>
            <w:tcW w:w="3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center"/>
              <w:ind w:left="606"/>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4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(108)</w:t>
            </w:r>
          </w:p>
        </w:tc>
        <w:tc>
          <w:tcPr>
            <w:tcW w:w="28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44,029</w:t>
            </w:r>
          </w:p>
        </w:tc>
      </w:tr>
      <w:tr>
        <w:trPr>
          <w:trHeight w:val="117"/>
        </w:trPr>
        <w:tc>
          <w:tcPr>
            <w:tcW w:w="526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Asset-backed securities</w:t>
            </w:r>
          </w:p>
        </w:tc>
        <w:tc>
          <w:tcPr>
            <w:tcW w:w="280" w:type="dxa"/>
            <w:vAlign w:val="bottom"/>
          </w:tcPr>
          <w:p>
            <w:pPr>
              <w:spacing w:after="0"/>
              <w:rPr>
                <w:sz w:val="10"/>
                <w:szCs w:val="10"/>
                <w:color w:val="auto"/>
              </w:rPr>
            </w:pPr>
          </w:p>
        </w:tc>
        <w:tc>
          <w:tcPr>
            <w:tcW w:w="10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21,638</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gridSpan w:val="2"/>
          </w:tcPr>
          <w:p>
            <w:pPr>
              <w:jc w:val="center"/>
              <w:ind w:left="606"/>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420" w:type="dxa"/>
            <w:vAlign w:val="bottom"/>
          </w:tcPr>
          <w:p>
            <w:pPr>
              <w:spacing w:after="0"/>
              <w:rPr>
                <w:sz w:val="10"/>
                <w:szCs w:val="10"/>
                <w:color w:val="auto"/>
              </w:rPr>
            </w:pPr>
          </w:p>
        </w:tc>
        <w:tc>
          <w:tcPr>
            <w:tcW w:w="112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(25)</w:t>
            </w:r>
          </w:p>
        </w:tc>
        <w:tc>
          <w:tcPr>
            <w:tcW w:w="280" w:type="dxa"/>
            <w:vAlign w:val="bottom"/>
          </w:tcPr>
          <w:p>
            <w:pPr>
              <w:spacing w:after="0"/>
              <w:rPr>
                <w:sz w:val="10"/>
                <w:szCs w:val="10"/>
                <w:color w:val="auto"/>
              </w:rPr>
            </w:pPr>
          </w:p>
        </w:tc>
        <w:tc>
          <w:tcPr>
            <w:tcW w:w="10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21,613</w:t>
            </w:r>
          </w:p>
        </w:tc>
      </w:tr>
      <w:tr>
        <w:trPr>
          <w:trHeight w:val="117"/>
        </w:trPr>
        <w:tc>
          <w:tcPr>
            <w:tcW w:w="52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Commercial paper</w:t>
            </w:r>
          </w:p>
        </w:tc>
        <w:tc>
          <w:tcPr>
            <w:tcW w:w="28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4,935</w:t>
            </w:r>
          </w:p>
        </w:tc>
        <w:tc>
          <w:tcPr>
            <w:tcW w:w="3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center"/>
              <w:ind w:left="606"/>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4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(1)</w:t>
            </w:r>
          </w:p>
        </w:tc>
        <w:tc>
          <w:tcPr>
            <w:tcW w:w="28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4,934</w:t>
            </w:r>
          </w:p>
        </w:tc>
      </w:tr>
      <w:tr>
        <w:trPr>
          <w:trHeight w:val="113"/>
        </w:trPr>
        <w:tc>
          <w:tcPr>
            <w:tcW w:w="5260" w:type="dxa"/>
            <w:vAlign w:val="bottom"/>
            <w:tcBorders>
              <w:bottom w:val="single" w:sz="8" w:color="CCEEFF"/>
            </w:tcBorders>
          </w:tcPr>
          <w:p>
            <w:pPr>
              <w:ind w:left="60"/>
              <w:spacing w:after="0" w:line="106" w:lineRule="exact"/>
              <w:rPr>
                <w:sz w:val="20"/>
                <w:szCs w:val="20"/>
                <w:color w:val="auto"/>
              </w:rPr>
            </w:pPr>
            <w:r>
              <w:rPr>
                <w:rFonts w:ascii="Times New Roman" w:cs="Times New Roman" w:eastAsia="Times New Roman" w:hAnsi="Times New Roman"/>
                <w:sz w:val="11"/>
                <w:szCs w:val="11"/>
                <w:color w:val="auto"/>
              </w:rPr>
              <w:t>Total</w:t>
            </w:r>
          </w:p>
        </w:tc>
        <w:tc>
          <w:tcPr>
            <w:tcW w:w="280" w:type="dxa"/>
            <w:vAlign w:val="bottom"/>
            <w:tcBorders>
              <w:top w:val="single" w:sz="8" w:color="auto"/>
              <w:bottom w:val="single" w:sz="8" w:color="auto"/>
            </w:tcBorders>
          </w:tcPr>
          <w:p>
            <w:pPr>
              <w:jc w:val="right"/>
              <w:ind w:right="16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241,641</w:t>
            </w:r>
          </w:p>
        </w:tc>
        <w:tc>
          <w:tcPr>
            <w:tcW w:w="320" w:type="dxa"/>
            <w:vAlign w:val="bottom"/>
            <w:tcBorders>
              <w:bottom w:val="single" w:sz="8" w:color="CCEEFF"/>
            </w:tcBorders>
          </w:tcPr>
          <w:p>
            <w:pPr>
              <w:spacing w:after="0"/>
              <w:rPr>
                <w:sz w:val="9"/>
                <w:szCs w:val="9"/>
                <w:color w:val="auto"/>
              </w:rPr>
            </w:pPr>
          </w:p>
        </w:tc>
        <w:tc>
          <w:tcPr>
            <w:tcW w:w="280" w:type="dxa"/>
            <w:vAlign w:val="bottom"/>
            <w:tcBorders>
              <w:top w:val="single" w:sz="8" w:color="auto"/>
              <w:bottom w:val="single" w:sz="8" w:color="auto"/>
            </w:tcBorders>
          </w:tcPr>
          <w:p>
            <w:pPr>
              <w:jc w:val="right"/>
              <w:ind w:right="16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center"/>
              <w:ind w:left="866"/>
              <w:spacing w:after="0" w:line="106" w:lineRule="exact"/>
              <w:rPr>
                <w:sz w:val="20"/>
                <w:szCs w:val="20"/>
                <w:color w:val="auto"/>
              </w:rPr>
            </w:pPr>
            <w:r>
              <w:rPr>
                <w:rFonts w:ascii="Times New Roman" w:cs="Times New Roman" w:eastAsia="Times New Roman" w:hAnsi="Times New Roman"/>
                <w:sz w:val="11"/>
                <w:szCs w:val="11"/>
                <w:color w:val="auto"/>
              </w:rPr>
              <w:t>1</w:t>
            </w:r>
          </w:p>
        </w:tc>
        <w:tc>
          <w:tcPr>
            <w:tcW w:w="260" w:type="dxa"/>
            <w:vAlign w:val="bottom"/>
            <w:tcBorders>
              <w:bottom w:val="single" w:sz="8" w:color="CCEEFF"/>
            </w:tcBorders>
          </w:tcPr>
          <w:p>
            <w:pPr>
              <w:spacing w:after="0"/>
              <w:rPr>
                <w:sz w:val="9"/>
                <w:szCs w:val="9"/>
                <w:color w:val="auto"/>
              </w:rPr>
            </w:pPr>
          </w:p>
        </w:tc>
        <w:tc>
          <w:tcPr>
            <w:tcW w:w="42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(365)</w:t>
            </w:r>
          </w:p>
        </w:tc>
        <w:tc>
          <w:tcPr>
            <w:tcW w:w="260" w:type="dxa"/>
            <w:vAlign w:val="bottom"/>
            <w:tcBorders>
              <w:bottom w:val="single" w:sz="8" w:color="CCEEFF"/>
            </w:tcBorders>
          </w:tcPr>
          <w:p>
            <w:pPr>
              <w:spacing w:after="0"/>
              <w:rPr>
                <w:sz w:val="9"/>
                <w:szCs w:val="9"/>
                <w:color w:val="auto"/>
              </w:rPr>
            </w:pPr>
          </w:p>
        </w:tc>
        <w:tc>
          <w:tcPr>
            <w:tcW w:w="280" w:type="dxa"/>
            <w:vAlign w:val="bottom"/>
            <w:tcBorders>
              <w:top w:val="single" w:sz="8" w:color="auto"/>
              <w:bottom w:val="single" w:sz="8" w:color="auto"/>
            </w:tcBorders>
          </w:tcPr>
          <w:p>
            <w:pPr>
              <w:jc w:val="right"/>
              <w:ind w:right="16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241,277</w:t>
            </w:r>
          </w:p>
        </w:tc>
      </w:tr>
      <w:tr>
        <w:trPr>
          <w:trHeight w:val="117"/>
        </w:trPr>
        <w:tc>
          <w:tcPr>
            <w:tcW w:w="52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117"/>
        </w:trPr>
        <w:tc>
          <w:tcPr>
            <w:tcW w:w="5260" w:type="dxa"/>
            <w:vAlign w:val="bottom"/>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Classified as:</w:t>
            </w: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17"/>
        </w:trPr>
        <w:tc>
          <w:tcPr>
            <w:tcW w:w="52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Cash equivalents</w:t>
            </w:r>
          </w:p>
        </w:tc>
        <w:tc>
          <w:tcPr>
            <w:tcW w:w="2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16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1,348</w:t>
            </w:r>
          </w:p>
        </w:tc>
      </w:tr>
      <w:tr>
        <w:trPr>
          <w:trHeight w:val="117"/>
        </w:trPr>
        <w:tc>
          <w:tcPr>
            <w:tcW w:w="526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Short-term investments</w:t>
            </w: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138,645</w:t>
            </w:r>
          </w:p>
        </w:tc>
      </w:tr>
      <w:tr>
        <w:trPr>
          <w:trHeight w:val="117"/>
        </w:trPr>
        <w:tc>
          <w:tcPr>
            <w:tcW w:w="52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Long-term investments</w:t>
            </w:r>
          </w:p>
        </w:tc>
        <w:tc>
          <w:tcPr>
            <w:tcW w:w="2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96,582</w:t>
            </w:r>
          </w:p>
        </w:tc>
      </w:tr>
      <w:tr>
        <w:trPr>
          <w:trHeight w:val="117"/>
        </w:trPr>
        <w:tc>
          <w:tcPr>
            <w:tcW w:w="5260" w:type="dxa"/>
            <w:vAlign w:val="bottom"/>
            <w:tcBorders>
              <w:bottom w:val="single" w:sz="8" w:color="CCEEFF"/>
            </w:tcBorders>
          </w:tcPr>
          <w:p>
            <w:pPr>
              <w:spacing w:after="0" w:line="117" w:lineRule="exact"/>
              <w:rPr>
                <w:sz w:val="20"/>
                <w:szCs w:val="20"/>
                <w:color w:val="auto"/>
              </w:rPr>
            </w:pPr>
            <w:r>
              <w:rPr>
                <w:rFonts w:ascii="Times New Roman" w:cs="Times New Roman" w:eastAsia="Times New Roman" w:hAnsi="Times New Roman"/>
                <w:sz w:val="11"/>
                <w:szCs w:val="11"/>
                <w:color w:val="auto"/>
              </w:rPr>
              <w:t>Restricted cash</w:t>
            </w:r>
          </w:p>
        </w:tc>
        <w:tc>
          <w:tcPr>
            <w:tcW w:w="280" w:type="dxa"/>
            <w:vAlign w:val="bottom"/>
            <w:tcBorders>
              <w:bottom w:val="single" w:sz="8" w:color="CCEEFF"/>
            </w:tcBorders>
          </w:tcPr>
          <w:p>
            <w:pPr>
              <w:spacing w:after="0"/>
              <w:rPr>
                <w:sz w:val="10"/>
                <w:szCs w:val="10"/>
                <w:color w:val="auto"/>
              </w:rPr>
            </w:pPr>
          </w:p>
        </w:tc>
        <w:tc>
          <w:tcPr>
            <w:tcW w:w="1040" w:type="dxa"/>
            <w:vAlign w:val="bottom"/>
            <w:tcBorders>
              <w:bottom w:val="single" w:sz="8" w:color="CCEEFF"/>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280" w:type="dxa"/>
            <w:vAlign w:val="bottom"/>
            <w:tcBorders>
              <w:bottom w:val="single" w:sz="8" w:color="CCEEFF"/>
            </w:tcBorders>
          </w:tcPr>
          <w:p>
            <w:pPr>
              <w:spacing w:after="0"/>
              <w:rPr>
                <w:sz w:val="10"/>
                <w:szCs w:val="10"/>
                <w:color w:val="auto"/>
              </w:rPr>
            </w:pPr>
          </w:p>
        </w:tc>
        <w:tc>
          <w:tcPr>
            <w:tcW w:w="1020" w:type="dxa"/>
            <w:vAlign w:val="bottom"/>
            <w:tcBorders>
              <w:bottom w:val="single" w:sz="8" w:color="CCEEFF"/>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42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4,702</w:t>
            </w:r>
          </w:p>
        </w:tc>
      </w:tr>
      <w:tr>
        <w:trPr>
          <w:trHeight w:val="113"/>
        </w:trPr>
        <w:tc>
          <w:tcPr>
            <w:tcW w:w="5260" w:type="dxa"/>
            <w:vAlign w:val="bottom"/>
            <w:tcBorders>
              <w:bottom w:val="single" w:sz="8" w:color="CCEEFF"/>
            </w:tcBorders>
            <w:shd w:val="clear" w:color="auto" w:fill="CCEEFF"/>
          </w:tcPr>
          <w:p>
            <w:pPr>
              <w:ind w:left="60"/>
              <w:spacing w:after="0" w:line="106" w:lineRule="exact"/>
              <w:rPr>
                <w:sz w:val="20"/>
                <w:szCs w:val="20"/>
                <w:color w:val="auto"/>
              </w:rPr>
            </w:pPr>
            <w:r>
              <w:rPr>
                <w:rFonts w:ascii="Times New Roman" w:cs="Times New Roman" w:eastAsia="Times New Roman" w:hAnsi="Times New Roman"/>
                <w:sz w:val="11"/>
                <w:szCs w:val="11"/>
                <w:color w:val="auto"/>
              </w:rPr>
              <w:t>Total</w:t>
            </w:r>
          </w:p>
        </w:tc>
        <w:tc>
          <w:tcPr>
            <w:tcW w:w="280" w:type="dxa"/>
            <w:vAlign w:val="bottom"/>
            <w:tcBorders>
              <w:bottom w:val="single" w:sz="8" w:color="CCEEFF"/>
            </w:tcBorders>
            <w:shd w:val="clear" w:color="auto" w:fill="CCEEFF"/>
          </w:tcPr>
          <w:p>
            <w:pPr>
              <w:spacing w:after="0"/>
              <w:rPr>
                <w:sz w:val="9"/>
                <w:szCs w:val="9"/>
                <w:color w:val="auto"/>
              </w:rPr>
            </w:pPr>
          </w:p>
        </w:tc>
        <w:tc>
          <w:tcPr>
            <w:tcW w:w="104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102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42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jc w:val="right"/>
              <w:ind w:right="16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241,277</w:t>
            </w: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129540</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3" w:right="2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jc w:val="center"/>
        <w:spacing w:after="0" w:line="234" w:lineRule="auto"/>
        <w:rPr>
          <w:sz w:val="20"/>
          <w:szCs w:val="20"/>
          <w:color w:val="auto"/>
        </w:rPr>
      </w:pPr>
      <w:r>
        <w:rPr>
          <w:rFonts w:ascii="Times New Roman" w:cs="Times New Roman" w:eastAsia="Times New Roman" w:hAnsi="Times New Roman"/>
          <w:sz w:val="19"/>
          <w:szCs w:val="19"/>
          <w:b w:val="1"/>
          <w:bCs w:val="1"/>
          <w:color w:val="auto"/>
        </w:rPr>
        <w:t>Heartflow, Inc.</w:t>
      </w:r>
    </w:p>
    <w:p>
      <w:pPr>
        <w:jc w:val="center"/>
        <w:spacing w:after="0" w:line="220" w:lineRule="auto"/>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8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gridSpan w:val="3"/>
          </w:tcPr>
          <w:p>
            <w:pPr>
              <w:jc w:val="right"/>
              <w:ind w:right="606"/>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3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r>
      <w:tr>
        <w:trPr>
          <w:trHeight w:val="106"/>
        </w:trPr>
        <w:tc>
          <w:tcPr>
            <w:tcW w:w="4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gridSpan w:val="2"/>
          </w:tcPr>
          <w:p>
            <w:pPr>
              <w:ind w:left="220"/>
              <w:spacing w:after="0" w:line="106" w:lineRule="exact"/>
              <w:rPr>
                <w:sz w:val="20"/>
                <w:szCs w:val="20"/>
                <w:color w:val="auto"/>
              </w:rPr>
            </w:pPr>
            <w:r>
              <w:rPr>
                <w:rFonts w:ascii="Times New Roman" w:cs="Times New Roman" w:eastAsia="Times New Roman" w:hAnsi="Times New Roman"/>
                <w:sz w:val="11"/>
                <w:szCs w:val="11"/>
                <w:b w:val="1"/>
                <w:bCs w:val="1"/>
                <w:color w:val="auto"/>
              </w:rPr>
              <w:t>Amortized</w:t>
            </w:r>
          </w:p>
        </w:tc>
        <w:tc>
          <w:tcPr>
            <w:tcW w:w="32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gridSpan w:val="3"/>
          </w:tcPr>
          <w:p>
            <w:pPr>
              <w:jc w:val="right"/>
              <w:ind w:right="646"/>
              <w:spacing w:after="0" w:line="106"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3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jc w:val="right"/>
              <w:ind w:right="406"/>
              <w:spacing w:after="0" w:line="106" w:lineRule="exact"/>
              <w:rPr>
                <w:sz w:val="20"/>
                <w:szCs w:val="20"/>
                <w:color w:val="auto"/>
              </w:rPr>
            </w:pPr>
            <w:r>
              <w:rPr>
                <w:rFonts w:ascii="Times New Roman" w:cs="Times New Roman" w:eastAsia="Times New Roman" w:hAnsi="Times New Roman"/>
                <w:sz w:val="11"/>
                <w:szCs w:val="11"/>
                <w:b w:val="1"/>
                <w:bCs w:val="1"/>
                <w:color w:val="auto"/>
              </w:rPr>
              <w:t>Estimated</w:t>
            </w:r>
          </w:p>
        </w:tc>
      </w:tr>
      <w:tr>
        <w:trPr>
          <w:trHeight w:val="106"/>
        </w:trPr>
        <w:tc>
          <w:tcPr>
            <w:tcW w:w="4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gridSpan w:val="2"/>
          </w:tcPr>
          <w:p>
            <w:pPr>
              <w:ind w:left="280"/>
              <w:spacing w:after="0" w:line="106" w:lineRule="exact"/>
              <w:rPr>
                <w:sz w:val="20"/>
                <w:szCs w:val="20"/>
                <w:color w:val="auto"/>
              </w:rPr>
            </w:pPr>
            <w:r>
              <w:rPr>
                <w:rFonts w:ascii="Times New Roman" w:cs="Times New Roman" w:eastAsia="Times New Roman" w:hAnsi="Times New Roman"/>
                <w:sz w:val="11"/>
                <w:szCs w:val="11"/>
                <w:b w:val="1"/>
                <w:bCs w:val="1"/>
                <w:color w:val="auto"/>
              </w:rPr>
              <w:t>Cost</w:t>
            </w:r>
          </w:p>
        </w:tc>
        <w:tc>
          <w:tcPr>
            <w:tcW w:w="320" w:type="dxa"/>
            <w:vAlign w:val="bottom"/>
          </w:tcPr>
          <w:p>
            <w:pPr>
              <w:spacing w:after="0"/>
              <w:rPr>
                <w:sz w:val="9"/>
                <w:szCs w:val="9"/>
                <w:color w:val="auto"/>
              </w:rPr>
            </w:pPr>
          </w:p>
        </w:tc>
        <w:tc>
          <w:tcPr>
            <w:tcW w:w="1380" w:type="dxa"/>
            <w:vAlign w:val="bottom"/>
            <w:gridSpan w:val="2"/>
          </w:tcPr>
          <w:p>
            <w:pPr>
              <w:ind w:left="280"/>
              <w:spacing w:after="0" w:line="106" w:lineRule="exact"/>
              <w:rPr>
                <w:sz w:val="20"/>
                <w:szCs w:val="20"/>
                <w:color w:val="auto"/>
              </w:rPr>
            </w:pPr>
            <w:r>
              <w:rPr>
                <w:rFonts w:ascii="Times New Roman" w:cs="Times New Roman" w:eastAsia="Times New Roman" w:hAnsi="Times New Roman"/>
                <w:sz w:val="11"/>
                <w:szCs w:val="11"/>
                <w:b w:val="1"/>
                <w:bCs w:val="1"/>
                <w:color w:val="auto"/>
              </w:rPr>
              <w:t>Gains</w:t>
            </w:r>
          </w:p>
        </w:tc>
        <w:tc>
          <w:tcPr>
            <w:tcW w:w="1040" w:type="dxa"/>
            <w:vAlign w:val="bottom"/>
          </w:tcPr>
          <w:p>
            <w:pPr>
              <w:jc w:val="right"/>
              <w:ind w:right="146"/>
              <w:spacing w:after="0" w:line="106" w:lineRule="exact"/>
              <w:rPr>
                <w:sz w:val="20"/>
                <w:szCs w:val="20"/>
                <w:color w:val="auto"/>
              </w:rPr>
            </w:pPr>
            <w:r>
              <w:rPr>
                <w:rFonts w:ascii="Times New Roman" w:cs="Times New Roman" w:eastAsia="Times New Roman" w:hAnsi="Times New Roman"/>
                <w:sz w:val="11"/>
                <w:szCs w:val="11"/>
                <w:b w:val="1"/>
                <w:bCs w:val="1"/>
                <w:color w:val="auto"/>
              </w:rPr>
              <w:t>Losses</w:t>
            </w: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jc w:val="right"/>
              <w:ind w:right="386"/>
              <w:spacing w:after="0" w:line="106" w:lineRule="exact"/>
              <w:rPr>
                <w:sz w:val="20"/>
                <w:szCs w:val="20"/>
                <w:color w:val="auto"/>
              </w:rPr>
            </w:pPr>
            <w:r>
              <w:rPr>
                <w:rFonts w:ascii="Times New Roman" w:cs="Times New Roman" w:eastAsia="Times New Roman" w:hAnsi="Times New Roman"/>
                <w:sz w:val="11"/>
                <w:szCs w:val="11"/>
                <w:b w:val="1"/>
                <w:bCs w:val="1"/>
                <w:color w:val="auto"/>
              </w:rPr>
              <w:t>Fair Value</w:t>
            </w:r>
          </w:p>
        </w:tc>
      </w:tr>
      <w:tr>
        <w:trPr>
          <w:trHeight w:val="106"/>
        </w:trPr>
        <w:tc>
          <w:tcPr>
            <w:tcW w:w="482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Assets</w:t>
            </w:r>
          </w:p>
        </w:tc>
        <w:tc>
          <w:tcPr>
            <w:tcW w:w="280" w:type="dxa"/>
            <w:vAlign w:val="bottom"/>
            <w:tcBorders>
              <w:top w:val="single" w:sz="8" w:color="auto"/>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104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220" w:type="dxa"/>
            <w:vAlign w:val="bottom"/>
            <w:tcBorders>
              <w:top w:val="single" w:sz="8" w:color="auto"/>
            </w:tcBorders>
            <w:shd w:val="clear" w:color="auto" w:fill="CCEEFF"/>
          </w:tcPr>
          <w:p>
            <w:pPr>
              <w:spacing w:after="0"/>
              <w:rPr>
                <w:sz w:val="9"/>
                <w:szCs w:val="9"/>
                <w:color w:val="auto"/>
              </w:rPr>
            </w:pPr>
          </w:p>
        </w:tc>
      </w:tr>
      <w:tr>
        <w:trPr>
          <w:trHeight w:val="117"/>
        </w:trPr>
        <w:tc>
          <w:tcPr>
            <w:tcW w:w="482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Money market funds, included in cash equivalents</w:t>
            </w:r>
          </w:p>
        </w:tc>
        <w:tc>
          <w:tcPr>
            <w:tcW w:w="280" w:type="dxa"/>
            <w:vAlign w:val="bottom"/>
          </w:tcPr>
          <w:p>
            <w:pPr>
              <w:jc w:val="right"/>
              <w:ind w:right="16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27,806</w:t>
            </w:r>
          </w:p>
        </w:tc>
        <w:tc>
          <w:tcPr>
            <w:tcW w:w="300" w:type="dxa"/>
            <w:vAlign w:val="bottom"/>
          </w:tcPr>
          <w:p>
            <w:pPr>
              <w:spacing w:after="0"/>
              <w:rPr>
                <w:sz w:val="10"/>
                <w:szCs w:val="10"/>
                <w:color w:val="auto"/>
              </w:rPr>
            </w:pPr>
          </w:p>
        </w:tc>
        <w:tc>
          <w:tcPr>
            <w:tcW w:w="320" w:type="dxa"/>
            <w:vAlign w:val="bottom"/>
          </w:tcPr>
          <w:p>
            <w:pPr>
              <w:jc w:val="right"/>
              <w:ind w:right="20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tcPr>
          <w:p>
            <w:pPr>
              <w:ind w:left="10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92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ind w:right="22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27,806</w:t>
            </w:r>
          </w:p>
        </w:tc>
      </w:tr>
      <w:tr>
        <w:trPr>
          <w:trHeight w:val="117"/>
        </w:trPr>
        <w:tc>
          <w:tcPr>
            <w:tcW w:w="48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Money market funds, included in restricted cash, non-current</w:t>
            </w:r>
          </w:p>
        </w:tc>
        <w:tc>
          <w:tcPr>
            <w:tcW w:w="28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4,709</w:t>
            </w: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4,709</w:t>
            </w:r>
          </w:p>
        </w:tc>
      </w:tr>
      <w:tr>
        <w:trPr>
          <w:trHeight w:val="117"/>
        </w:trPr>
        <w:tc>
          <w:tcPr>
            <w:tcW w:w="482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U.S. government securities</w:t>
            </w:r>
          </w:p>
        </w:tc>
        <w:tc>
          <w:tcPr>
            <w:tcW w:w="280" w:type="dxa"/>
            <w:vAlign w:val="bottom"/>
          </w:tcPr>
          <w:p>
            <w:pPr>
              <w:spacing w:after="0"/>
              <w:rPr>
                <w:sz w:val="10"/>
                <w:szCs w:val="10"/>
                <w:color w:val="auto"/>
              </w:rPr>
            </w:pPr>
          </w:p>
        </w:tc>
        <w:tc>
          <w:tcPr>
            <w:tcW w:w="10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81,385</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94</w:t>
            </w: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0"/>
                <w:szCs w:val="10"/>
                <w:color w:val="auto"/>
              </w:rPr>
            </w:pPr>
          </w:p>
        </w:tc>
        <w:tc>
          <w:tcPr>
            <w:tcW w:w="12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81,479</w:t>
            </w:r>
          </w:p>
        </w:tc>
      </w:tr>
      <w:tr>
        <w:trPr>
          <w:trHeight w:val="117"/>
        </w:trPr>
        <w:tc>
          <w:tcPr>
            <w:tcW w:w="48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U.S. treasury bills</w:t>
            </w:r>
          </w:p>
        </w:tc>
        <w:tc>
          <w:tcPr>
            <w:tcW w:w="28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39,568</w:t>
            </w: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25</w:t>
            </w:r>
          </w:p>
        </w:tc>
        <w:tc>
          <w:tcPr>
            <w:tcW w:w="2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39,593</w:t>
            </w:r>
          </w:p>
        </w:tc>
      </w:tr>
      <w:tr>
        <w:trPr>
          <w:trHeight w:val="117"/>
        </w:trPr>
        <w:tc>
          <w:tcPr>
            <w:tcW w:w="482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Corporate bonds/notes</w:t>
            </w:r>
          </w:p>
        </w:tc>
        <w:tc>
          <w:tcPr>
            <w:tcW w:w="280" w:type="dxa"/>
            <w:vAlign w:val="bottom"/>
          </w:tcPr>
          <w:p>
            <w:pPr>
              <w:spacing w:after="0"/>
              <w:rPr>
                <w:sz w:val="10"/>
                <w:szCs w:val="10"/>
                <w:color w:val="auto"/>
              </w:rPr>
            </w:pPr>
          </w:p>
        </w:tc>
        <w:tc>
          <w:tcPr>
            <w:tcW w:w="10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57,564</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w:t>
            </w: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(12)</w:t>
            </w:r>
          </w:p>
        </w:tc>
        <w:tc>
          <w:tcPr>
            <w:tcW w:w="340" w:type="dxa"/>
            <w:vAlign w:val="bottom"/>
          </w:tcPr>
          <w:p>
            <w:pPr>
              <w:spacing w:after="0"/>
              <w:rPr>
                <w:sz w:val="10"/>
                <w:szCs w:val="10"/>
                <w:color w:val="auto"/>
              </w:rPr>
            </w:pPr>
          </w:p>
        </w:tc>
        <w:tc>
          <w:tcPr>
            <w:tcW w:w="12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57,571</w:t>
            </w:r>
          </w:p>
        </w:tc>
      </w:tr>
      <w:tr>
        <w:trPr>
          <w:trHeight w:val="117"/>
        </w:trPr>
        <w:tc>
          <w:tcPr>
            <w:tcW w:w="48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Agency bonds/notes</w:t>
            </w:r>
          </w:p>
        </w:tc>
        <w:tc>
          <w:tcPr>
            <w:tcW w:w="28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25,147</w:t>
            </w: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7</w:t>
            </w:r>
          </w:p>
        </w:tc>
        <w:tc>
          <w:tcPr>
            <w:tcW w:w="2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(3)</w:t>
            </w:r>
          </w:p>
        </w:tc>
        <w:tc>
          <w:tcPr>
            <w:tcW w:w="34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25,151</w:t>
            </w:r>
          </w:p>
        </w:tc>
      </w:tr>
      <w:tr>
        <w:trPr>
          <w:trHeight w:val="117"/>
        </w:trPr>
        <w:tc>
          <w:tcPr>
            <w:tcW w:w="482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Asset-backed securities</w:t>
            </w:r>
          </w:p>
        </w:tc>
        <w:tc>
          <w:tcPr>
            <w:tcW w:w="280" w:type="dxa"/>
            <w:vAlign w:val="bottom"/>
          </w:tcPr>
          <w:p>
            <w:pPr>
              <w:spacing w:after="0"/>
              <w:rPr>
                <w:sz w:val="10"/>
                <w:szCs w:val="10"/>
                <w:color w:val="auto"/>
              </w:rPr>
            </w:pPr>
          </w:p>
        </w:tc>
        <w:tc>
          <w:tcPr>
            <w:tcW w:w="10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21,689</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22</w:t>
            </w: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0"/>
                <w:szCs w:val="10"/>
                <w:color w:val="auto"/>
              </w:rPr>
            </w:pPr>
          </w:p>
        </w:tc>
        <w:tc>
          <w:tcPr>
            <w:tcW w:w="12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21,711</w:t>
            </w:r>
          </w:p>
        </w:tc>
      </w:tr>
      <w:tr>
        <w:trPr>
          <w:trHeight w:val="117"/>
        </w:trPr>
        <w:tc>
          <w:tcPr>
            <w:tcW w:w="48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Commercial paper</w:t>
            </w:r>
          </w:p>
        </w:tc>
        <w:tc>
          <w:tcPr>
            <w:tcW w:w="28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9,868</w:t>
            </w: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2</w:t>
            </w:r>
          </w:p>
        </w:tc>
        <w:tc>
          <w:tcPr>
            <w:tcW w:w="2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9,870</w:t>
            </w:r>
          </w:p>
        </w:tc>
      </w:tr>
      <w:tr>
        <w:trPr>
          <w:trHeight w:val="113"/>
        </w:trPr>
        <w:tc>
          <w:tcPr>
            <w:tcW w:w="4820" w:type="dxa"/>
            <w:vAlign w:val="bottom"/>
            <w:tcBorders>
              <w:bottom w:val="single" w:sz="8" w:color="CCEEFF"/>
            </w:tcBorders>
          </w:tcPr>
          <w:p>
            <w:pPr>
              <w:ind w:left="60"/>
              <w:spacing w:after="0" w:line="106" w:lineRule="exact"/>
              <w:rPr>
                <w:sz w:val="20"/>
                <w:szCs w:val="20"/>
                <w:color w:val="auto"/>
              </w:rPr>
            </w:pPr>
            <w:r>
              <w:rPr>
                <w:rFonts w:ascii="Times New Roman" w:cs="Times New Roman" w:eastAsia="Times New Roman" w:hAnsi="Times New Roman"/>
                <w:sz w:val="11"/>
                <w:szCs w:val="11"/>
                <w:color w:val="auto"/>
              </w:rPr>
              <w:t>Total</w:t>
            </w:r>
          </w:p>
        </w:tc>
        <w:tc>
          <w:tcPr>
            <w:tcW w:w="280" w:type="dxa"/>
            <w:vAlign w:val="bottom"/>
            <w:tcBorders>
              <w:top w:val="single" w:sz="8" w:color="auto"/>
              <w:bottom w:val="single" w:sz="8" w:color="auto"/>
            </w:tcBorders>
          </w:tcPr>
          <w:p>
            <w:pPr>
              <w:jc w:val="right"/>
              <w:ind w:right="16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267,736</w:t>
            </w:r>
          </w:p>
        </w:tc>
        <w:tc>
          <w:tcPr>
            <w:tcW w:w="300" w:type="dxa"/>
            <w:vAlign w:val="bottom"/>
            <w:tcBorders>
              <w:bottom w:val="single" w:sz="8" w:color="CCEEFF"/>
            </w:tcBorders>
          </w:tcPr>
          <w:p>
            <w:pPr>
              <w:spacing w:after="0"/>
              <w:rPr>
                <w:sz w:val="9"/>
                <w:szCs w:val="9"/>
                <w:color w:val="auto"/>
              </w:rPr>
            </w:pPr>
          </w:p>
        </w:tc>
        <w:tc>
          <w:tcPr>
            <w:tcW w:w="320" w:type="dxa"/>
            <w:vAlign w:val="bottom"/>
            <w:tcBorders>
              <w:top w:val="single" w:sz="8" w:color="auto"/>
              <w:bottom w:val="single" w:sz="8" w:color="auto"/>
            </w:tcBorders>
          </w:tcPr>
          <w:p>
            <w:pPr>
              <w:jc w:val="right"/>
              <w:ind w:right="20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169</w:t>
            </w:r>
          </w:p>
        </w:tc>
        <w:tc>
          <w:tcPr>
            <w:tcW w:w="240" w:type="dxa"/>
            <w:vAlign w:val="bottom"/>
            <w:tcBorders>
              <w:bottom w:val="single" w:sz="8" w:color="CCEEFF"/>
            </w:tcBorders>
          </w:tcPr>
          <w:p>
            <w:pPr>
              <w:spacing w:after="0"/>
              <w:rPr>
                <w:sz w:val="9"/>
                <w:szCs w:val="9"/>
                <w:color w:val="auto"/>
              </w:rPr>
            </w:pPr>
          </w:p>
        </w:tc>
        <w:tc>
          <w:tcPr>
            <w:tcW w:w="1040" w:type="dxa"/>
            <w:vAlign w:val="bottom"/>
            <w:tcBorders>
              <w:top w:val="single" w:sz="8" w:color="auto"/>
              <w:bottom w:val="single" w:sz="8" w:color="auto"/>
            </w:tcBorders>
          </w:tcPr>
          <w:p>
            <w:pPr>
              <w:jc w:val="right"/>
              <w:ind w:right="9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(15)</w:t>
            </w:r>
          </w:p>
        </w:tc>
        <w:tc>
          <w:tcPr>
            <w:tcW w:w="220" w:type="dxa"/>
            <w:vAlign w:val="bottom"/>
            <w:tcBorders>
              <w:bottom w:val="single" w:sz="8" w:color="CCEEFF"/>
            </w:tcBorders>
          </w:tcPr>
          <w:p>
            <w:pPr>
              <w:spacing w:after="0"/>
              <w:rPr>
                <w:sz w:val="9"/>
                <w:szCs w:val="9"/>
                <w:color w:val="auto"/>
              </w:rPr>
            </w:pPr>
          </w:p>
        </w:tc>
        <w:tc>
          <w:tcPr>
            <w:tcW w:w="340" w:type="dxa"/>
            <w:vAlign w:val="bottom"/>
            <w:tcBorders>
              <w:top w:val="single" w:sz="8" w:color="auto"/>
              <w:bottom w:val="single" w:sz="8" w:color="auto"/>
            </w:tcBorders>
          </w:tcPr>
          <w:p>
            <w:pPr>
              <w:jc w:val="right"/>
              <w:ind w:right="2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267,890</w:t>
            </w:r>
          </w:p>
        </w:tc>
      </w:tr>
      <w:tr>
        <w:trPr>
          <w:trHeight w:val="117"/>
        </w:trPr>
        <w:tc>
          <w:tcPr>
            <w:tcW w:w="48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r>
      <w:tr>
        <w:trPr>
          <w:trHeight w:val="117"/>
        </w:trPr>
        <w:tc>
          <w:tcPr>
            <w:tcW w:w="4820" w:type="dxa"/>
            <w:vAlign w:val="bottom"/>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Classified as:</w:t>
            </w: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17"/>
        </w:trPr>
        <w:tc>
          <w:tcPr>
            <w:tcW w:w="48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Cash equivalents</w:t>
            </w:r>
          </w:p>
        </w:tc>
        <w:tc>
          <w:tcPr>
            <w:tcW w:w="2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22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27,806</w:t>
            </w:r>
          </w:p>
        </w:tc>
      </w:tr>
      <w:tr>
        <w:trPr>
          <w:trHeight w:val="117"/>
        </w:trPr>
        <w:tc>
          <w:tcPr>
            <w:tcW w:w="482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Short-term investments</w:t>
            </w: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132,010</w:t>
            </w:r>
          </w:p>
        </w:tc>
      </w:tr>
      <w:tr>
        <w:trPr>
          <w:trHeight w:val="117"/>
        </w:trPr>
        <w:tc>
          <w:tcPr>
            <w:tcW w:w="48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Long-term investments</w:t>
            </w:r>
          </w:p>
        </w:tc>
        <w:tc>
          <w:tcPr>
            <w:tcW w:w="2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103,365</w:t>
            </w:r>
          </w:p>
        </w:tc>
      </w:tr>
      <w:tr>
        <w:trPr>
          <w:trHeight w:val="117"/>
        </w:trPr>
        <w:tc>
          <w:tcPr>
            <w:tcW w:w="4820" w:type="dxa"/>
            <w:vAlign w:val="bottom"/>
            <w:tcBorders>
              <w:bottom w:val="single" w:sz="8" w:color="CCEEFF"/>
            </w:tcBorders>
          </w:tcPr>
          <w:p>
            <w:pPr>
              <w:spacing w:after="0" w:line="117" w:lineRule="exact"/>
              <w:rPr>
                <w:sz w:val="20"/>
                <w:szCs w:val="20"/>
                <w:color w:val="auto"/>
              </w:rPr>
            </w:pPr>
            <w:r>
              <w:rPr>
                <w:rFonts w:ascii="Times New Roman" w:cs="Times New Roman" w:eastAsia="Times New Roman" w:hAnsi="Times New Roman"/>
                <w:sz w:val="11"/>
                <w:szCs w:val="11"/>
                <w:color w:val="auto"/>
              </w:rPr>
              <w:t>Restricted cash</w:t>
            </w:r>
          </w:p>
        </w:tc>
        <w:tc>
          <w:tcPr>
            <w:tcW w:w="280" w:type="dxa"/>
            <w:vAlign w:val="bottom"/>
            <w:tcBorders>
              <w:bottom w:val="single" w:sz="8" w:color="CCEEFF"/>
            </w:tcBorders>
          </w:tcPr>
          <w:p>
            <w:pPr>
              <w:spacing w:after="0"/>
              <w:rPr>
                <w:sz w:val="10"/>
                <w:szCs w:val="10"/>
                <w:color w:val="auto"/>
              </w:rPr>
            </w:pPr>
          </w:p>
        </w:tc>
        <w:tc>
          <w:tcPr>
            <w:tcW w:w="102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114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1040" w:type="dxa"/>
            <w:vAlign w:val="bottom"/>
            <w:tcBorders>
              <w:bottom w:val="single" w:sz="8" w:color="CCEEFF"/>
            </w:tcBorders>
          </w:tcPr>
          <w:p>
            <w:pPr>
              <w:spacing w:after="0"/>
              <w:rPr>
                <w:sz w:val="10"/>
                <w:szCs w:val="10"/>
                <w:color w:val="auto"/>
              </w:rPr>
            </w:pPr>
          </w:p>
        </w:tc>
        <w:tc>
          <w:tcPr>
            <w:tcW w:w="36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4,709</w:t>
            </w:r>
          </w:p>
        </w:tc>
      </w:tr>
      <w:tr>
        <w:trPr>
          <w:trHeight w:val="126"/>
        </w:trPr>
        <w:tc>
          <w:tcPr>
            <w:tcW w:w="4820" w:type="dxa"/>
            <w:vAlign w:val="bottom"/>
            <w:tcBorders>
              <w:bottom w:val="single" w:sz="8" w:color="CCEEFF"/>
            </w:tcBorders>
            <w:shd w:val="clear" w:color="auto" w:fill="CCEEFF"/>
          </w:tcPr>
          <w:p>
            <w:pPr>
              <w:ind w:left="60"/>
              <w:spacing w:after="0" w:line="106" w:lineRule="exact"/>
              <w:rPr>
                <w:sz w:val="20"/>
                <w:szCs w:val="20"/>
                <w:color w:val="auto"/>
              </w:rPr>
            </w:pPr>
            <w:r>
              <w:rPr>
                <w:rFonts w:ascii="Times New Roman" w:cs="Times New Roman" w:eastAsia="Times New Roman" w:hAnsi="Times New Roman"/>
                <w:sz w:val="11"/>
                <w:szCs w:val="11"/>
                <w:color w:val="auto"/>
              </w:rPr>
              <w:t>Total</w:t>
            </w:r>
          </w:p>
        </w:tc>
        <w:tc>
          <w:tcPr>
            <w:tcW w:w="28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14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jc w:val="right"/>
              <w:ind w:right="2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267,890</w:t>
            </w:r>
          </w:p>
        </w:tc>
      </w:tr>
      <w:tr>
        <w:trPr>
          <w:trHeight w:val="248"/>
        </w:trPr>
        <w:tc>
          <w:tcPr>
            <w:tcW w:w="9160" w:type="dxa"/>
            <w:vAlign w:val="bottom"/>
            <w:gridSpan w:val="8"/>
          </w:tcPr>
          <w:p>
            <w:pPr>
              <w:spacing w:after="0"/>
              <w:rPr>
                <w:sz w:val="20"/>
                <w:szCs w:val="20"/>
                <w:color w:val="auto"/>
              </w:rPr>
            </w:pPr>
            <w:r>
              <w:rPr>
                <w:rFonts w:ascii="Times New Roman" w:cs="Times New Roman" w:eastAsia="Times New Roman" w:hAnsi="Times New Roman"/>
                <w:sz w:val="12"/>
                <w:szCs w:val="12"/>
                <w:color w:val="auto"/>
              </w:rPr>
              <w:t>The following table summarizes the fair value of the Company’s cash equivalents, and available-for-sale investments classified by maturity as of March 31, 2026 (in thousands):</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bl>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6940" w:type="dxa"/>
            <w:vAlign w:val="bottom"/>
            <w:tcBorders>
              <w:bottom w:val="single" w:sz="8" w:color="CCEEFF"/>
            </w:tcBorders>
          </w:tcPr>
          <w:p>
            <w:pPr>
              <w:spacing w:after="0"/>
              <w:rPr>
                <w:sz w:val="11"/>
                <w:szCs w:val="11"/>
                <w:color w:val="auto"/>
              </w:rPr>
            </w:pPr>
          </w:p>
        </w:tc>
        <w:tc>
          <w:tcPr>
            <w:tcW w:w="13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480" w:type="dxa"/>
            <w:vAlign w:val="bottom"/>
            <w:tcBorders>
              <w:bottom w:val="single" w:sz="8" w:color="auto"/>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24"/>
        </w:trPr>
        <w:tc>
          <w:tcPr>
            <w:tcW w:w="69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Amounts maturing within one year</w:t>
            </w:r>
          </w:p>
        </w:tc>
        <w:tc>
          <w:tcPr>
            <w:tcW w:w="1360" w:type="dxa"/>
            <w:vAlign w:val="bottom"/>
            <w:shd w:val="clear" w:color="auto" w:fill="CCEEFF"/>
          </w:tcPr>
          <w:p>
            <w:pPr>
              <w:jc w:val="right"/>
              <w:ind w:right="124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139,993</w:t>
            </w:r>
          </w:p>
        </w:tc>
        <w:tc>
          <w:tcPr>
            <w:tcW w:w="40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22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17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159,816</w:t>
            </w:r>
          </w:p>
        </w:tc>
      </w:tr>
      <w:tr>
        <w:trPr>
          <w:trHeight w:val="144"/>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Amounts maturing after one year through two years</w:t>
            </w:r>
          </w:p>
        </w:tc>
        <w:tc>
          <w:tcPr>
            <w:tcW w:w="13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96,582</w:t>
            </w:r>
          </w:p>
        </w:tc>
        <w:tc>
          <w:tcPr>
            <w:tcW w:w="4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103,365</w:t>
            </w:r>
          </w:p>
        </w:tc>
      </w:tr>
      <w:tr>
        <w:trPr>
          <w:trHeight w:val="122"/>
        </w:trPr>
        <w:tc>
          <w:tcPr>
            <w:tcW w:w="6940" w:type="dxa"/>
            <w:vAlign w:val="bottom"/>
            <w:tcBorders>
              <w:bottom w:val="single" w:sz="8" w:color="CCEEFF"/>
            </w:tcBorders>
            <w:shd w:val="clear" w:color="auto" w:fill="CCEEFF"/>
          </w:tcPr>
          <w:p>
            <w:pPr>
              <w:ind w:left="60"/>
              <w:spacing w:after="0" w:line="115" w:lineRule="exact"/>
              <w:rPr>
                <w:sz w:val="20"/>
                <w:szCs w:val="20"/>
                <w:color w:val="auto"/>
              </w:rPr>
            </w:pPr>
            <w:r>
              <w:rPr>
                <w:rFonts w:ascii="Times New Roman" w:cs="Times New Roman" w:eastAsia="Times New Roman" w:hAnsi="Times New Roman"/>
                <w:sz w:val="11"/>
                <w:szCs w:val="11"/>
                <w:color w:val="auto"/>
              </w:rPr>
              <w:t>Total</w:t>
            </w:r>
          </w:p>
        </w:tc>
        <w:tc>
          <w:tcPr>
            <w:tcW w:w="1360" w:type="dxa"/>
            <w:vAlign w:val="bottom"/>
            <w:tcBorders>
              <w:bottom w:val="single" w:sz="8" w:color="auto"/>
            </w:tcBorders>
            <w:shd w:val="clear" w:color="auto" w:fill="CCEEFF"/>
          </w:tcPr>
          <w:p>
            <w:pPr>
              <w:jc w:val="right"/>
              <w:ind w:right="12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236,575</w:t>
            </w:r>
          </w:p>
        </w:tc>
        <w:tc>
          <w:tcPr>
            <w:tcW w:w="40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jc w:val="right"/>
              <w:ind w:right="2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7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263,181</w:t>
            </w: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Available-for-sale investments held as of March 31, 2026 and December 31, 2025 had a weighted average days to maturity of 325 days and 346 days,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the Company’s available-for-sale investments that were in an unrealized loss position as of March 31, 2026 and December 31, 2025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514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3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2"/>
          </w:tcPr>
          <w:p>
            <w:pPr>
              <w:jc w:val="center"/>
              <w:ind w:left="486"/>
              <w:spacing w:after="0"/>
              <w:rPr>
                <w:sz w:val="20"/>
                <w:szCs w:val="20"/>
                <w:color w:val="auto"/>
              </w:rPr>
            </w:pPr>
            <w:r>
              <w:rPr>
                <w:rFonts w:ascii="Times New Roman" w:cs="Times New Roman" w:eastAsia="Times New Roman" w:hAnsi="Times New Roman"/>
                <w:sz w:val="11"/>
                <w:szCs w:val="11"/>
                <w:b w:val="1"/>
                <w:bCs w:val="1"/>
                <w:color w:val="auto"/>
                <w:w w:val="98"/>
              </w:rPr>
              <w:t>December 31, 2025</w:t>
            </w: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24"/>
        </w:trPr>
        <w:tc>
          <w:tcPr>
            <w:tcW w:w="514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3"/>
          </w:tcPr>
          <w:p>
            <w:pPr>
              <w:jc w:val="right"/>
              <w:ind w:right="726"/>
              <w:spacing w:after="0" w:line="124" w:lineRule="exact"/>
              <w:rPr>
                <w:sz w:val="20"/>
                <w:szCs w:val="20"/>
                <w:color w:val="auto"/>
              </w:rPr>
            </w:pPr>
            <w:r>
              <w:rPr>
                <w:rFonts w:ascii="Times New Roman" w:cs="Times New Roman" w:eastAsia="Times New Roman" w:hAnsi="Times New Roman"/>
                <w:sz w:val="11"/>
                <w:szCs w:val="11"/>
                <w:b w:val="1"/>
                <w:bCs w:val="1"/>
                <w:color w:val="auto"/>
              </w:rPr>
              <w:t>Less than 12 months</w:t>
            </w:r>
          </w:p>
        </w:tc>
        <w:tc>
          <w:tcPr>
            <w:tcW w:w="3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2"/>
          </w:tcPr>
          <w:p>
            <w:pPr>
              <w:jc w:val="center"/>
              <w:ind w:left="486"/>
              <w:spacing w:after="0" w:line="124" w:lineRule="exact"/>
              <w:rPr>
                <w:sz w:val="20"/>
                <w:szCs w:val="20"/>
                <w:color w:val="auto"/>
              </w:rPr>
            </w:pPr>
            <w:r>
              <w:rPr>
                <w:rFonts w:ascii="Times New Roman" w:cs="Times New Roman" w:eastAsia="Times New Roman" w:hAnsi="Times New Roman"/>
                <w:sz w:val="11"/>
                <w:szCs w:val="11"/>
                <w:b w:val="1"/>
                <w:bCs w:val="1"/>
                <w:color w:val="auto"/>
                <w:w w:val="99"/>
              </w:rPr>
              <w:t>Less than 12 months</w:t>
            </w:r>
          </w:p>
        </w:tc>
        <w:tc>
          <w:tcPr>
            <w:tcW w:w="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5140" w:type="dxa"/>
            <w:vAlign w:val="bottom"/>
          </w:tcPr>
          <w:p>
            <w:pPr>
              <w:spacing w:after="0"/>
              <w:rPr>
                <w:sz w:val="10"/>
                <w:szCs w:val="10"/>
                <w:color w:val="auto"/>
              </w:rPr>
            </w:pPr>
          </w:p>
        </w:tc>
        <w:tc>
          <w:tcPr>
            <w:tcW w:w="98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b w:val="1"/>
                <w:bCs w:val="1"/>
                <w:color w:val="auto"/>
              </w:rPr>
              <w:t>Fair Value</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right"/>
              <w:ind w:right="26"/>
              <w:spacing w:after="0" w:line="124" w:lineRule="exact"/>
              <w:rPr>
                <w:sz w:val="20"/>
                <w:szCs w:val="20"/>
                <w:color w:val="auto"/>
              </w:rPr>
            </w:pPr>
            <w:r>
              <w:rPr>
                <w:rFonts w:ascii="Times New Roman" w:cs="Times New Roman" w:eastAsia="Times New Roman" w:hAnsi="Times New Roman"/>
                <w:sz w:val="11"/>
                <w:szCs w:val="11"/>
                <w:b w:val="1"/>
                <w:bCs w:val="1"/>
                <w:color w:val="auto"/>
              </w:rPr>
              <w:t>Unrealized Loss</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8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1"/>
                <w:szCs w:val="11"/>
                <w:b w:val="1"/>
                <w:bCs w:val="1"/>
                <w:color w:val="auto"/>
              </w:rPr>
              <w:t>Fair Value</w:t>
            </w:r>
          </w:p>
        </w:tc>
        <w:tc>
          <w:tcPr>
            <w:tcW w:w="60" w:type="dxa"/>
            <w:vAlign w:val="bottom"/>
          </w:tcPr>
          <w:p>
            <w:pPr>
              <w:spacing w:after="0"/>
              <w:rPr>
                <w:sz w:val="10"/>
                <w:szCs w:val="10"/>
                <w:color w:val="auto"/>
              </w:rPr>
            </w:pPr>
          </w:p>
        </w:tc>
        <w:tc>
          <w:tcPr>
            <w:tcW w:w="800" w:type="dxa"/>
            <w:vAlign w:val="bottom"/>
          </w:tcPr>
          <w:p>
            <w:pPr>
              <w:jc w:val="right"/>
              <w:ind w:right="6"/>
              <w:spacing w:after="0" w:line="124" w:lineRule="exact"/>
              <w:rPr>
                <w:sz w:val="20"/>
                <w:szCs w:val="20"/>
                <w:color w:val="auto"/>
              </w:rPr>
            </w:pPr>
            <w:r>
              <w:rPr>
                <w:rFonts w:ascii="Times New Roman" w:cs="Times New Roman" w:eastAsia="Times New Roman" w:hAnsi="Times New Roman"/>
                <w:sz w:val="11"/>
                <w:szCs w:val="11"/>
                <w:b w:val="1"/>
                <w:bCs w:val="1"/>
                <w:color w:val="auto"/>
                <w:w w:val="95"/>
              </w:rPr>
              <w:t>Unrealized Loss</w:t>
            </w:r>
          </w:p>
        </w:tc>
        <w:tc>
          <w:tcPr>
            <w:tcW w:w="20" w:type="dxa"/>
            <w:vAlign w:val="bottom"/>
          </w:tcPr>
          <w:p>
            <w:pPr>
              <w:spacing w:after="0"/>
              <w:rPr>
                <w:sz w:val="10"/>
                <w:szCs w:val="10"/>
                <w:color w:val="auto"/>
              </w:rPr>
            </w:pPr>
          </w:p>
        </w:tc>
      </w:tr>
      <w:tr>
        <w:trPr>
          <w:trHeight w:val="124"/>
        </w:trPr>
        <w:tc>
          <w:tcPr>
            <w:tcW w:w="514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Assets</w:t>
            </w:r>
          </w:p>
        </w:tc>
        <w:tc>
          <w:tcPr>
            <w:tcW w:w="9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3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44"/>
        </w:trPr>
        <w:tc>
          <w:tcPr>
            <w:tcW w:w="5140" w:type="dxa"/>
            <w:vAlign w:val="bottom"/>
          </w:tcPr>
          <w:p>
            <w:pPr>
              <w:spacing w:after="0"/>
              <w:rPr>
                <w:sz w:val="20"/>
                <w:szCs w:val="20"/>
                <w:color w:val="auto"/>
              </w:rPr>
            </w:pPr>
            <w:r>
              <w:rPr>
                <w:rFonts w:ascii="Times New Roman" w:cs="Times New Roman" w:eastAsia="Times New Roman" w:hAnsi="Times New Roman"/>
                <w:sz w:val="11"/>
                <w:szCs w:val="11"/>
                <w:color w:val="auto"/>
              </w:rPr>
              <w:t>U.S. government securities</w:t>
            </w:r>
          </w:p>
        </w:tc>
        <w:tc>
          <w:tcPr>
            <w:tcW w:w="980" w:type="dxa"/>
            <w:vAlign w:val="bottom"/>
          </w:tcPr>
          <w:p>
            <w:pPr>
              <w:jc w:val="right"/>
              <w:ind w:right="904"/>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566</w:t>
            </w:r>
          </w:p>
        </w:tc>
        <w:tc>
          <w:tcPr>
            <w:tcW w:w="300" w:type="dxa"/>
            <w:vAlign w:val="bottom"/>
          </w:tcPr>
          <w:p>
            <w:pPr>
              <w:spacing w:after="0"/>
              <w:rPr>
                <w:sz w:val="12"/>
                <w:szCs w:val="12"/>
                <w:color w:val="auto"/>
              </w:rPr>
            </w:pPr>
          </w:p>
        </w:tc>
        <w:tc>
          <w:tcPr>
            <w:tcW w:w="1220" w:type="dxa"/>
            <w:vAlign w:val="bottom"/>
          </w:tcPr>
          <w:p>
            <w:pPr>
              <w:jc w:val="right"/>
              <w:ind w:right="110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(78)</w:t>
            </w: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gridSpan w:val="2"/>
          </w:tcPr>
          <w:p>
            <w:pPr>
              <w:ind w:left="11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Corporate bonds/notes</w:t>
            </w:r>
          </w:p>
        </w:tc>
        <w:tc>
          <w:tcPr>
            <w:tcW w:w="9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413</w:t>
            </w:r>
          </w:p>
        </w:tc>
        <w:tc>
          <w:tcPr>
            <w:tcW w:w="3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(153)</w:t>
            </w:r>
          </w:p>
        </w:tc>
        <w:tc>
          <w:tcPr>
            <w:tcW w:w="3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26,716</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20" w:type="dxa"/>
            <w:vAlign w:val="bottom"/>
          </w:tcPr>
          <w:p>
            <w:pPr>
              <w:spacing w:after="0"/>
              <w:rPr>
                <w:sz w:val="12"/>
                <w:szCs w:val="12"/>
                <w:color w:val="auto"/>
              </w:rPr>
            </w:pPr>
          </w:p>
        </w:tc>
      </w:tr>
      <w:tr>
        <w:trPr>
          <w:trHeight w:val="144"/>
        </w:trPr>
        <w:tc>
          <w:tcPr>
            <w:tcW w:w="5140" w:type="dxa"/>
            <w:vAlign w:val="bottom"/>
          </w:tcPr>
          <w:p>
            <w:pPr>
              <w:spacing w:after="0"/>
              <w:rPr>
                <w:sz w:val="20"/>
                <w:szCs w:val="20"/>
                <w:color w:val="auto"/>
              </w:rPr>
            </w:pPr>
            <w:r>
              <w:rPr>
                <w:rFonts w:ascii="Times New Roman" w:cs="Times New Roman" w:eastAsia="Times New Roman" w:hAnsi="Times New Roman"/>
                <w:sz w:val="11"/>
                <w:szCs w:val="11"/>
                <w:color w:val="auto"/>
              </w:rPr>
              <w:t>Agency bonds/notes</w:t>
            </w:r>
          </w:p>
        </w:tc>
        <w:tc>
          <w:tcPr>
            <w:tcW w:w="9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389</w:t>
            </w: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(108)</w:t>
            </w:r>
          </w:p>
        </w:tc>
        <w:tc>
          <w:tcPr>
            <w:tcW w:w="3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3,995</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w:t>
            </w:r>
          </w:p>
        </w:tc>
      </w:tr>
      <w:tr>
        <w:trPr>
          <w:trHeight w:val="144"/>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Asset-backed securities</w:t>
            </w:r>
          </w:p>
        </w:tc>
        <w:tc>
          <w:tcPr>
            <w:tcW w:w="9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3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(25)</w:t>
            </w:r>
          </w:p>
        </w:tc>
        <w:tc>
          <w:tcPr>
            <w:tcW w:w="3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r>
      <w:tr>
        <w:trPr>
          <w:trHeight w:val="144"/>
        </w:trPr>
        <w:tc>
          <w:tcPr>
            <w:tcW w:w="5140" w:type="dxa"/>
            <w:vAlign w:val="bottom"/>
          </w:tcPr>
          <w:p>
            <w:pPr>
              <w:spacing w:after="0"/>
              <w:rPr>
                <w:sz w:val="20"/>
                <w:szCs w:val="20"/>
                <w:color w:val="auto"/>
              </w:rPr>
            </w:pPr>
            <w:r>
              <w:rPr>
                <w:rFonts w:ascii="Times New Roman" w:cs="Times New Roman" w:eastAsia="Times New Roman" w:hAnsi="Times New Roman"/>
                <w:sz w:val="11"/>
                <w:szCs w:val="11"/>
                <w:color w:val="auto"/>
              </w:rPr>
              <w:t>Commercial paper</w:t>
            </w:r>
          </w:p>
        </w:tc>
        <w:tc>
          <w:tcPr>
            <w:tcW w:w="980" w:type="dxa"/>
            <w:vAlign w:val="bottom"/>
          </w:tcPr>
          <w:p>
            <w:pPr>
              <w:spacing w:after="0"/>
              <w:rPr>
                <w:sz w:val="12"/>
                <w:szCs w:val="12"/>
                <w:color w:val="auto"/>
              </w:rPr>
            </w:pP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spacing w:after="0"/>
              <w:rPr>
                <w:sz w:val="12"/>
                <w:szCs w:val="12"/>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w:t>
            </w:r>
          </w:p>
        </w:tc>
        <w:tc>
          <w:tcPr>
            <w:tcW w:w="320" w:type="dxa"/>
            <w:vAlign w:val="bottom"/>
          </w:tcPr>
          <w:p>
            <w:pPr>
              <w:spacing w:after="0"/>
              <w:rPr>
                <w:sz w:val="12"/>
                <w:szCs w:val="12"/>
                <w:color w:val="auto"/>
              </w:rPr>
            </w:pPr>
          </w:p>
        </w:tc>
        <w:tc>
          <w:tcPr>
            <w:tcW w:w="1580" w:type="dxa"/>
            <w:vAlign w:val="bottom"/>
            <w:gridSpan w:val="2"/>
          </w:tcPr>
          <w:p>
            <w:pPr>
              <w:ind w:left="11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r>
      <w:tr>
        <w:trPr>
          <w:trHeight w:val="122"/>
        </w:trPr>
        <w:tc>
          <w:tcPr>
            <w:tcW w:w="5140" w:type="dxa"/>
            <w:vAlign w:val="bottom"/>
            <w:tcBorders>
              <w:top w:val="single" w:sz="8" w:color="CCEEFF"/>
              <w:bottom w:val="single" w:sz="8" w:color="CCEEFF"/>
            </w:tcBorders>
            <w:shd w:val="clear" w:color="auto" w:fill="CCEEFF"/>
          </w:tcPr>
          <w:p>
            <w:pPr>
              <w:ind w:left="60"/>
              <w:spacing w:after="0" w:line="115" w:lineRule="exact"/>
              <w:rPr>
                <w:sz w:val="20"/>
                <w:szCs w:val="20"/>
                <w:color w:val="auto"/>
              </w:rPr>
            </w:pPr>
            <w:r>
              <w:rPr>
                <w:rFonts w:ascii="Times New Roman" w:cs="Times New Roman" w:eastAsia="Times New Roman" w:hAnsi="Times New Roman"/>
                <w:sz w:val="11"/>
                <w:szCs w:val="11"/>
                <w:color w:val="auto"/>
              </w:rPr>
              <w:t>Total</w:t>
            </w:r>
          </w:p>
        </w:tc>
        <w:tc>
          <w:tcPr>
            <w:tcW w:w="980" w:type="dxa"/>
            <w:vAlign w:val="bottom"/>
            <w:tcBorders>
              <w:top w:val="single" w:sz="8" w:color="auto"/>
              <w:bottom w:val="single" w:sz="8" w:color="auto"/>
            </w:tcBorders>
            <w:shd w:val="clear" w:color="auto" w:fill="CCEEFF"/>
          </w:tcPr>
          <w:p>
            <w:pPr>
              <w:jc w:val="right"/>
              <w:ind w:right="904"/>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1,415</w:t>
            </w:r>
          </w:p>
        </w:tc>
        <w:tc>
          <w:tcPr>
            <w:tcW w:w="300" w:type="dxa"/>
            <w:vAlign w:val="bottom"/>
            <w:tcBorders>
              <w:top w:val="single" w:sz="8" w:color="CCEEFF"/>
              <w:bottom w:val="single" w:sz="8" w:color="CCEEFF"/>
            </w:tcBorders>
            <w:shd w:val="clear" w:color="auto" w:fill="CCEEFF"/>
          </w:tcPr>
          <w:p>
            <w:pPr>
              <w:spacing w:after="0"/>
              <w:rPr>
                <w:sz w:val="10"/>
                <w:szCs w:val="10"/>
                <w:color w:val="auto"/>
              </w:rPr>
            </w:pPr>
          </w:p>
        </w:tc>
        <w:tc>
          <w:tcPr>
            <w:tcW w:w="1220" w:type="dxa"/>
            <w:vAlign w:val="bottom"/>
            <w:tcBorders>
              <w:top w:val="single" w:sz="8" w:color="auto"/>
              <w:bottom w:val="single" w:sz="8" w:color="auto"/>
            </w:tcBorders>
            <w:shd w:val="clear" w:color="auto" w:fill="CCEEFF"/>
          </w:tcPr>
          <w:p>
            <w:pPr>
              <w:jc w:val="right"/>
              <w:ind w:right="11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(365)</w:t>
            </w:r>
          </w:p>
        </w:tc>
        <w:tc>
          <w:tcPr>
            <w:tcW w:w="240" w:type="dxa"/>
            <w:vAlign w:val="bottom"/>
            <w:tcBorders>
              <w:top w:val="single" w:sz="8" w:color="CCEEFF"/>
              <w:bottom w:val="single" w:sz="8" w:color="CCEEFF"/>
            </w:tcBorders>
            <w:shd w:val="clear" w:color="auto" w:fill="CCEEFF"/>
          </w:tcPr>
          <w:p>
            <w:pPr>
              <w:spacing w:after="0"/>
              <w:rPr>
                <w:sz w:val="10"/>
                <w:szCs w:val="10"/>
                <w:color w:val="auto"/>
              </w:rPr>
            </w:pPr>
          </w:p>
        </w:tc>
        <w:tc>
          <w:tcPr>
            <w:tcW w:w="320" w:type="dxa"/>
            <w:vAlign w:val="bottom"/>
            <w:tcBorders>
              <w:top w:val="single" w:sz="8" w:color="auto"/>
              <w:bottom w:val="single" w:sz="8" w:color="auto"/>
            </w:tcBorders>
            <w:shd w:val="clear" w:color="auto" w:fill="CCEEFF"/>
          </w:tcPr>
          <w:p>
            <w:pPr>
              <w:jc w:val="right"/>
              <w:ind w:right="2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30,711</w:t>
            </w:r>
          </w:p>
        </w:tc>
        <w:tc>
          <w:tcPr>
            <w:tcW w:w="28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(15)</w:t>
            </w:r>
          </w:p>
        </w:tc>
        <w:tc>
          <w:tcPr>
            <w:tcW w:w="20" w:type="dxa"/>
            <w:vAlign w:val="bottom"/>
          </w:tcPr>
          <w:p>
            <w:pPr>
              <w:spacing w:after="0"/>
              <w:rPr>
                <w:sz w:val="10"/>
                <w:szCs w:val="10"/>
                <w:color w:val="auto"/>
              </w:rPr>
            </w:pPr>
          </w:p>
        </w:tc>
      </w:tr>
    </w:tbl>
    <w:p>
      <w:pPr>
        <w:spacing w:after="0" w:line="115" w:lineRule="exact"/>
        <w:rPr>
          <w:sz w:val="20"/>
          <w:szCs w:val="20"/>
          <w:color w:val="auto"/>
        </w:rPr>
      </w:pPr>
    </w:p>
    <w:p>
      <w:pPr>
        <w:jc w:val="both"/>
        <w:ind w:right="200"/>
        <w:spacing w:after="0" w:line="231" w:lineRule="auto"/>
        <w:rPr>
          <w:sz w:val="20"/>
          <w:szCs w:val="20"/>
          <w:color w:val="auto"/>
        </w:rPr>
      </w:pPr>
      <w:r>
        <w:rPr>
          <w:rFonts w:ascii="Times New Roman" w:cs="Times New Roman" w:eastAsia="Times New Roman" w:hAnsi="Times New Roman"/>
          <w:sz w:val="12"/>
          <w:szCs w:val="12"/>
          <w:color w:val="auto"/>
        </w:rPr>
        <w:t>As of March 31, 2026 and December 31, 2025, unrealized losses on the Company’s available-for-sale investments were primarily attributable to changes in interest rates and were not due to credit risk. The Company intends to hold these investments to maturity and no allowance for credit loss was recorded as of March 31, 2026 and December 31, 2025. There were no available-for-sale investments in an unrealized loss position greater than twelve months as of March 31, 2026 or December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121920</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3"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jc w:val="center"/>
        <w:spacing w:after="0" w:line="234" w:lineRule="auto"/>
        <w:rPr>
          <w:sz w:val="20"/>
          <w:szCs w:val="20"/>
          <w:color w:val="auto"/>
        </w:rPr>
      </w:pPr>
      <w:r>
        <w:rPr>
          <w:rFonts w:ascii="Times New Roman" w:cs="Times New Roman" w:eastAsia="Times New Roman" w:hAnsi="Times New Roman"/>
          <w:sz w:val="19"/>
          <w:szCs w:val="19"/>
          <w:b w:val="1"/>
          <w:bCs w:val="1"/>
          <w:color w:val="auto"/>
        </w:rPr>
        <w:t>Heartflow, Inc.</w:t>
      </w:r>
    </w:p>
    <w:p>
      <w:pPr>
        <w:jc w:val="center"/>
        <w:spacing w:after="0" w:line="220" w:lineRule="auto"/>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Allowance for Credit Losses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a reconciliation of the allowance for credit losses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220" w:type="dxa"/>
            <w:vAlign w:val="bottom"/>
          </w:tcPr>
          <w:p>
            <w:pPr>
              <w:spacing w:after="0"/>
              <w:rPr>
                <w:sz w:val="11"/>
                <w:szCs w:val="11"/>
                <w:color w:val="auto"/>
              </w:rPr>
            </w:pPr>
          </w:p>
        </w:tc>
        <w:tc>
          <w:tcPr>
            <w:tcW w:w="148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7"/>
        </w:trPr>
        <w:tc>
          <w:tcPr>
            <w:tcW w:w="7220" w:type="dxa"/>
            <w:vAlign w:val="bottom"/>
            <w:tcBorders>
              <w:bottom w:val="single" w:sz="8" w:color="CCEEFF"/>
            </w:tcBorders>
          </w:tcPr>
          <w:p>
            <w:pPr>
              <w:spacing w:after="0"/>
              <w:rPr>
                <w:sz w:val="11"/>
                <w:szCs w:val="11"/>
                <w:color w:val="auto"/>
              </w:rPr>
            </w:pPr>
          </w:p>
        </w:tc>
        <w:tc>
          <w:tcPr>
            <w:tcW w:w="148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2026</w:t>
            </w:r>
          </w:p>
        </w:tc>
        <w:tc>
          <w:tcPr>
            <w:tcW w:w="440" w:type="dxa"/>
            <w:vAlign w:val="bottom"/>
            <w:tcBorders>
              <w:bottom w:val="single" w:sz="8" w:color="auto"/>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06"/>
        </w:trPr>
        <w:tc>
          <w:tcPr>
            <w:tcW w:w="72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Balance at beginning of period</w:t>
            </w:r>
          </w:p>
        </w:tc>
        <w:tc>
          <w:tcPr>
            <w:tcW w:w="1480" w:type="dxa"/>
            <w:vAlign w:val="bottom"/>
            <w:shd w:val="clear" w:color="auto" w:fill="CCEEFF"/>
          </w:tcPr>
          <w:p>
            <w:pPr>
              <w:jc w:val="right"/>
              <w:ind w:right="136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626</w:t>
            </w:r>
          </w:p>
        </w:tc>
        <w:tc>
          <w:tcPr>
            <w:tcW w:w="320" w:type="dxa"/>
            <w:vAlign w:val="bottom"/>
            <w:shd w:val="clear" w:color="auto" w:fill="CCEEFF"/>
          </w:tcPr>
          <w:p>
            <w:pPr>
              <w:spacing w:after="0"/>
              <w:rPr>
                <w:sz w:val="9"/>
                <w:szCs w:val="9"/>
                <w:color w:val="auto"/>
              </w:rPr>
            </w:pPr>
          </w:p>
        </w:tc>
        <w:tc>
          <w:tcPr>
            <w:tcW w:w="340" w:type="dxa"/>
            <w:vAlign w:val="bottom"/>
            <w:shd w:val="clear" w:color="auto" w:fill="CCEEFF"/>
          </w:tcPr>
          <w:p>
            <w:pPr>
              <w:jc w:val="right"/>
              <w:ind w:right="2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814</w:t>
            </w:r>
          </w:p>
        </w:tc>
      </w:tr>
      <w:tr>
        <w:trPr>
          <w:trHeight w:val="117"/>
        </w:trPr>
        <w:tc>
          <w:tcPr>
            <w:tcW w:w="722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Additions</w:t>
            </w:r>
          </w:p>
        </w:tc>
        <w:tc>
          <w:tcPr>
            <w:tcW w:w="1480" w:type="dxa"/>
            <w:vAlign w:val="bottom"/>
          </w:tcPr>
          <w:p>
            <w:pPr>
              <w:spacing w:after="0"/>
              <w:rPr>
                <w:sz w:val="10"/>
                <w:szCs w:val="10"/>
                <w:color w:val="auto"/>
              </w:rPr>
            </w:pPr>
          </w:p>
        </w:tc>
        <w:tc>
          <w:tcPr>
            <w:tcW w:w="760" w:type="dxa"/>
            <w:vAlign w:val="bottom"/>
            <w:gridSpan w:val="2"/>
          </w:tcPr>
          <w:p>
            <w:pPr>
              <w:jc w:val="right"/>
              <w:ind w:right="3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0"/>
                <w:szCs w:val="10"/>
                <w:color w:val="auto"/>
              </w:rPr>
            </w:pPr>
          </w:p>
        </w:tc>
        <w:tc>
          <w:tcPr>
            <w:tcW w:w="1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r>
      <w:tr>
        <w:trPr>
          <w:trHeight w:val="117"/>
        </w:trPr>
        <w:tc>
          <w:tcPr>
            <w:tcW w:w="72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Write-offs</w:t>
            </w:r>
          </w:p>
        </w:tc>
        <w:tc>
          <w:tcPr>
            <w:tcW w:w="14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3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0"/>
                <w:szCs w:val="10"/>
                <w:color w:val="auto"/>
              </w:rPr>
            </w:pPr>
          </w:p>
        </w:tc>
        <w:tc>
          <w:tcPr>
            <w:tcW w:w="15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(188)</w:t>
            </w:r>
          </w:p>
        </w:tc>
      </w:tr>
      <w:tr>
        <w:trPr>
          <w:trHeight w:val="113"/>
        </w:trPr>
        <w:tc>
          <w:tcPr>
            <w:tcW w:w="722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Balance at end of period</w:t>
            </w:r>
          </w:p>
        </w:tc>
        <w:tc>
          <w:tcPr>
            <w:tcW w:w="1480" w:type="dxa"/>
            <w:vAlign w:val="bottom"/>
            <w:tcBorders>
              <w:top w:val="single" w:sz="8" w:color="auto"/>
              <w:bottom w:val="single" w:sz="8" w:color="auto"/>
            </w:tcBorders>
          </w:tcPr>
          <w:p>
            <w:pPr>
              <w:jc w:val="right"/>
              <w:ind w:right="136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626</w:t>
            </w:r>
          </w:p>
        </w:tc>
        <w:tc>
          <w:tcPr>
            <w:tcW w:w="320" w:type="dxa"/>
            <w:vAlign w:val="bottom"/>
          </w:tcPr>
          <w:p>
            <w:pPr>
              <w:spacing w:after="0"/>
              <w:rPr>
                <w:sz w:val="9"/>
                <w:szCs w:val="9"/>
                <w:color w:val="auto"/>
              </w:rPr>
            </w:pPr>
          </w:p>
        </w:tc>
        <w:tc>
          <w:tcPr>
            <w:tcW w:w="340" w:type="dxa"/>
            <w:vAlign w:val="bottom"/>
            <w:tcBorders>
              <w:top w:val="single" w:sz="8" w:color="auto"/>
              <w:bottom w:val="single" w:sz="8" w:color="auto"/>
            </w:tcBorders>
          </w:tcPr>
          <w:p>
            <w:pPr>
              <w:jc w:val="right"/>
              <w:ind w:right="2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626</w:t>
            </w: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Prepaid Expenses and Other Current Assets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Prepaid expenses and other current assets are comprised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180" w:type="dxa"/>
            <w:vAlign w:val="bottom"/>
          </w:tcPr>
          <w:p>
            <w:pPr>
              <w:spacing w:after="0"/>
              <w:rPr>
                <w:sz w:val="11"/>
                <w:szCs w:val="11"/>
                <w:color w:val="auto"/>
              </w:rPr>
            </w:pPr>
          </w:p>
        </w:tc>
        <w:tc>
          <w:tcPr>
            <w:tcW w:w="1440" w:type="dxa"/>
            <w:vAlign w:val="bottom"/>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7"/>
        </w:trPr>
        <w:tc>
          <w:tcPr>
            <w:tcW w:w="7180" w:type="dxa"/>
            <w:vAlign w:val="bottom"/>
            <w:tcBorders>
              <w:bottom w:val="single" w:sz="8" w:color="CCEEFF"/>
            </w:tcBorders>
          </w:tcPr>
          <w:p>
            <w:pPr>
              <w:spacing w:after="0"/>
              <w:rPr>
                <w:sz w:val="11"/>
                <w:szCs w:val="11"/>
                <w:color w:val="auto"/>
              </w:rPr>
            </w:pPr>
          </w:p>
        </w:tc>
        <w:tc>
          <w:tcPr>
            <w:tcW w:w="14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2026</w:t>
            </w:r>
          </w:p>
        </w:tc>
        <w:tc>
          <w:tcPr>
            <w:tcW w:w="520" w:type="dxa"/>
            <w:vAlign w:val="bottom"/>
            <w:tcBorders>
              <w:bottom w:val="single" w:sz="8" w:color="auto"/>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06"/>
        </w:trPr>
        <w:tc>
          <w:tcPr>
            <w:tcW w:w="71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Prepaid expenses</w:t>
            </w:r>
          </w:p>
        </w:tc>
        <w:tc>
          <w:tcPr>
            <w:tcW w:w="1440" w:type="dxa"/>
            <w:vAlign w:val="bottom"/>
            <w:shd w:val="clear" w:color="auto" w:fill="CCEEFF"/>
          </w:tcPr>
          <w:p>
            <w:pPr>
              <w:jc w:val="right"/>
              <w:ind w:right="1360"/>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8,313</w:t>
            </w:r>
          </w:p>
        </w:tc>
        <w:tc>
          <w:tcPr>
            <w:tcW w:w="320" w:type="dxa"/>
            <w:vAlign w:val="bottom"/>
            <w:shd w:val="clear" w:color="auto" w:fill="CCEEFF"/>
          </w:tcPr>
          <w:p>
            <w:pPr>
              <w:spacing w:after="0"/>
              <w:rPr>
                <w:sz w:val="9"/>
                <w:szCs w:val="9"/>
                <w:color w:val="auto"/>
              </w:rPr>
            </w:pPr>
          </w:p>
        </w:tc>
        <w:tc>
          <w:tcPr>
            <w:tcW w:w="340" w:type="dxa"/>
            <w:vAlign w:val="bottom"/>
            <w:shd w:val="clear" w:color="auto" w:fill="CCEEFF"/>
          </w:tcPr>
          <w:p>
            <w:pPr>
              <w:jc w:val="right"/>
              <w:ind w:right="2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5,964</w:t>
            </w:r>
          </w:p>
        </w:tc>
      </w:tr>
      <w:tr>
        <w:trPr>
          <w:trHeight w:val="117"/>
        </w:trPr>
        <w:tc>
          <w:tcPr>
            <w:tcW w:w="718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Contract costs, current</w:t>
            </w:r>
          </w:p>
        </w:tc>
        <w:tc>
          <w:tcPr>
            <w:tcW w:w="1440" w:type="dxa"/>
            <w:vAlign w:val="bottom"/>
          </w:tcPr>
          <w:p>
            <w:pPr>
              <w:spacing w:after="0"/>
              <w:rPr>
                <w:sz w:val="10"/>
                <w:szCs w:val="10"/>
                <w:color w:val="auto"/>
              </w:rPr>
            </w:pPr>
          </w:p>
        </w:tc>
        <w:tc>
          <w:tcPr>
            <w:tcW w:w="840" w:type="dxa"/>
            <w:vAlign w:val="bottom"/>
            <w:gridSpan w:val="2"/>
          </w:tcPr>
          <w:p>
            <w:pPr>
              <w:jc w:val="right"/>
              <w:ind w:right="320"/>
              <w:spacing w:after="0" w:line="117" w:lineRule="exact"/>
              <w:rPr>
                <w:sz w:val="20"/>
                <w:szCs w:val="20"/>
                <w:color w:val="auto"/>
              </w:rPr>
            </w:pPr>
            <w:r>
              <w:rPr>
                <w:rFonts w:ascii="Times New Roman" w:cs="Times New Roman" w:eastAsia="Times New Roman" w:hAnsi="Times New Roman"/>
                <w:sz w:val="11"/>
                <w:szCs w:val="11"/>
                <w:color w:val="auto"/>
              </w:rPr>
              <w:t>8,202</w:t>
            </w:r>
          </w:p>
        </w:tc>
        <w:tc>
          <w:tcPr>
            <w:tcW w:w="340" w:type="dxa"/>
            <w:vAlign w:val="bottom"/>
          </w:tcPr>
          <w:p>
            <w:pPr>
              <w:spacing w:after="0"/>
              <w:rPr>
                <w:sz w:val="10"/>
                <w:szCs w:val="10"/>
                <w:color w:val="auto"/>
              </w:rPr>
            </w:pPr>
          </w:p>
        </w:tc>
        <w:tc>
          <w:tcPr>
            <w:tcW w:w="1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6,669</w:t>
            </w:r>
          </w:p>
        </w:tc>
      </w:tr>
      <w:tr>
        <w:trPr>
          <w:trHeight w:val="117"/>
        </w:trPr>
        <w:tc>
          <w:tcPr>
            <w:tcW w:w="7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Other</w:t>
            </w:r>
          </w:p>
        </w:tc>
        <w:tc>
          <w:tcPr>
            <w:tcW w:w="144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320"/>
              <w:spacing w:after="0" w:line="117" w:lineRule="exact"/>
              <w:rPr>
                <w:sz w:val="20"/>
                <w:szCs w:val="20"/>
                <w:color w:val="auto"/>
              </w:rPr>
            </w:pPr>
            <w:r>
              <w:rPr>
                <w:rFonts w:ascii="Times New Roman" w:cs="Times New Roman" w:eastAsia="Times New Roman" w:hAnsi="Times New Roman"/>
                <w:sz w:val="11"/>
                <w:szCs w:val="11"/>
                <w:color w:val="auto"/>
              </w:rPr>
              <w:t>1,472</w:t>
            </w:r>
          </w:p>
        </w:tc>
        <w:tc>
          <w:tcPr>
            <w:tcW w:w="340" w:type="dxa"/>
            <w:vAlign w:val="bottom"/>
            <w:shd w:val="clear" w:color="auto" w:fill="CCEEFF"/>
          </w:tcPr>
          <w:p>
            <w:pPr>
              <w:spacing w:after="0"/>
              <w:rPr>
                <w:sz w:val="10"/>
                <w:szCs w:val="10"/>
                <w:color w:val="auto"/>
              </w:rPr>
            </w:pPr>
          </w:p>
        </w:tc>
        <w:tc>
          <w:tcPr>
            <w:tcW w:w="15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1,442</w:t>
            </w:r>
          </w:p>
        </w:tc>
      </w:tr>
      <w:tr>
        <w:trPr>
          <w:trHeight w:val="113"/>
        </w:trPr>
        <w:tc>
          <w:tcPr>
            <w:tcW w:w="718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Total prepaid expenses and other current assets</w:t>
            </w:r>
          </w:p>
        </w:tc>
        <w:tc>
          <w:tcPr>
            <w:tcW w:w="1440" w:type="dxa"/>
            <w:vAlign w:val="bottom"/>
            <w:tcBorders>
              <w:top w:val="single" w:sz="8" w:color="auto"/>
              <w:bottom w:val="single" w:sz="8" w:color="auto"/>
            </w:tcBorders>
          </w:tcPr>
          <w:p>
            <w:pPr>
              <w:jc w:val="right"/>
              <w:ind w:right="1360"/>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17,987</w:t>
            </w:r>
          </w:p>
        </w:tc>
        <w:tc>
          <w:tcPr>
            <w:tcW w:w="320" w:type="dxa"/>
            <w:vAlign w:val="bottom"/>
          </w:tcPr>
          <w:p>
            <w:pPr>
              <w:spacing w:after="0"/>
              <w:rPr>
                <w:sz w:val="9"/>
                <w:szCs w:val="9"/>
                <w:color w:val="auto"/>
              </w:rPr>
            </w:pPr>
          </w:p>
        </w:tc>
        <w:tc>
          <w:tcPr>
            <w:tcW w:w="340" w:type="dxa"/>
            <w:vAlign w:val="bottom"/>
            <w:tcBorders>
              <w:top w:val="single" w:sz="8" w:color="auto"/>
              <w:bottom w:val="single" w:sz="8" w:color="auto"/>
            </w:tcBorders>
          </w:tcPr>
          <w:p>
            <w:pPr>
              <w:jc w:val="right"/>
              <w:ind w:right="2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14,075</w:t>
            </w:r>
          </w:p>
        </w:tc>
      </w:tr>
    </w:tbl>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Property and equipment, net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Property and equipment consisted of the following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180" w:type="dxa"/>
            <w:vAlign w:val="bottom"/>
          </w:tcPr>
          <w:p>
            <w:pPr>
              <w:spacing w:after="0"/>
              <w:rPr>
                <w:sz w:val="11"/>
                <w:szCs w:val="11"/>
                <w:color w:val="auto"/>
              </w:rPr>
            </w:pPr>
          </w:p>
        </w:tc>
        <w:tc>
          <w:tcPr>
            <w:tcW w:w="1400" w:type="dxa"/>
            <w:vAlign w:val="bottom"/>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20" w:type="dxa"/>
            <w:vAlign w:val="bottom"/>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7"/>
        </w:trPr>
        <w:tc>
          <w:tcPr>
            <w:tcW w:w="71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Property and equipment at cost:</w:t>
            </w:r>
          </w:p>
        </w:tc>
        <w:tc>
          <w:tcPr>
            <w:tcW w:w="14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2026</w:t>
            </w:r>
          </w:p>
        </w:tc>
        <w:tc>
          <w:tcPr>
            <w:tcW w:w="5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ind w:right="766"/>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06"/>
        </w:trPr>
        <w:tc>
          <w:tcPr>
            <w:tcW w:w="718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Computer equipment and software</w:t>
            </w:r>
          </w:p>
        </w:tc>
        <w:tc>
          <w:tcPr>
            <w:tcW w:w="1400" w:type="dxa"/>
            <w:vAlign w:val="bottom"/>
            <w:shd w:val="clear" w:color="auto" w:fill="CCEEFF"/>
          </w:tcPr>
          <w:p>
            <w:pPr>
              <w:jc w:val="right"/>
              <w:ind w:right="1320"/>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gridSpan w:val="2"/>
            <w:shd w:val="clear" w:color="auto" w:fill="CCEEFF"/>
          </w:tcPr>
          <w:p>
            <w:pPr>
              <w:jc w:val="right"/>
              <w:ind w:right="320"/>
              <w:spacing w:after="0" w:line="117" w:lineRule="exact"/>
              <w:rPr>
                <w:sz w:val="20"/>
                <w:szCs w:val="20"/>
                <w:color w:val="auto"/>
              </w:rPr>
            </w:pPr>
            <w:r>
              <w:rPr>
                <w:rFonts w:ascii="Times New Roman" w:cs="Times New Roman" w:eastAsia="Times New Roman" w:hAnsi="Times New Roman"/>
                <w:sz w:val="11"/>
                <w:szCs w:val="11"/>
                <w:color w:val="auto"/>
              </w:rPr>
              <w:t>4,277</w:t>
            </w:r>
          </w:p>
        </w:tc>
        <w:tc>
          <w:tcPr>
            <w:tcW w:w="320" w:type="dxa"/>
            <w:vAlign w:val="bottom"/>
            <w:shd w:val="clear" w:color="auto" w:fill="CCEEFF"/>
          </w:tcPr>
          <w:p>
            <w:pPr>
              <w:jc w:val="right"/>
              <w:ind w:right="20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4,223</w:t>
            </w:r>
          </w:p>
        </w:tc>
        <w:tc>
          <w:tcPr>
            <w:tcW w:w="0" w:type="dxa"/>
            <w:vAlign w:val="bottom"/>
          </w:tcPr>
          <w:p>
            <w:pPr>
              <w:spacing w:after="0"/>
              <w:rPr>
                <w:sz w:val="1"/>
                <w:szCs w:val="1"/>
                <w:color w:val="auto"/>
              </w:rPr>
            </w:pPr>
          </w:p>
        </w:tc>
      </w:tr>
      <w:tr>
        <w:trPr>
          <w:trHeight w:val="117"/>
        </w:trPr>
        <w:tc>
          <w:tcPr>
            <w:tcW w:w="718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Furniture, fixtures and equipment</w:t>
            </w:r>
          </w:p>
        </w:tc>
        <w:tc>
          <w:tcPr>
            <w:tcW w:w="1400" w:type="dxa"/>
            <w:vAlign w:val="bottom"/>
          </w:tcPr>
          <w:p>
            <w:pPr>
              <w:spacing w:after="0"/>
              <w:rPr>
                <w:sz w:val="10"/>
                <w:szCs w:val="10"/>
                <w:color w:val="auto"/>
              </w:rPr>
            </w:pPr>
          </w:p>
        </w:tc>
        <w:tc>
          <w:tcPr>
            <w:tcW w:w="880" w:type="dxa"/>
            <w:vAlign w:val="bottom"/>
            <w:gridSpan w:val="2"/>
          </w:tcPr>
          <w:p>
            <w:pPr>
              <w:jc w:val="right"/>
              <w:ind w:right="320"/>
              <w:spacing w:after="0" w:line="117" w:lineRule="exact"/>
              <w:rPr>
                <w:sz w:val="20"/>
                <w:szCs w:val="20"/>
                <w:color w:val="auto"/>
              </w:rPr>
            </w:pPr>
            <w:r>
              <w:rPr>
                <w:rFonts w:ascii="Times New Roman" w:cs="Times New Roman" w:eastAsia="Times New Roman" w:hAnsi="Times New Roman"/>
                <w:sz w:val="11"/>
                <w:szCs w:val="11"/>
                <w:color w:val="auto"/>
              </w:rPr>
              <w:t>2,280</w:t>
            </w:r>
          </w:p>
        </w:tc>
        <w:tc>
          <w:tcPr>
            <w:tcW w:w="320" w:type="dxa"/>
            <w:vAlign w:val="bottom"/>
          </w:tcPr>
          <w:p>
            <w:pPr>
              <w:spacing w:after="0"/>
              <w:rPr>
                <w:sz w:val="10"/>
                <w:szCs w:val="10"/>
                <w:color w:val="auto"/>
              </w:rPr>
            </w:pPr>
          </w:p>
        </w:tc>
        <w:tc>
          <w:tcPr>
            <w:tcW w:w="1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2,114</w:t>
            </w:r>
          </w:p>
        </w:tc>
        <w:tc>
          <w:tcPr>
            <w:tcW w:w="0" w:type="dxa"/>
            <w:vAlign w:val="bottom"/>
          </w:tcPr>
          <w:p>
            <w:pPr>
              <w:spacing w:after="0"/>
              <w:rPr>
                <w:sz w:val="1"/>
                <w:szCs w:val="1"/>
                <w:color w:val="auto"/>
              </w:rPr>
            </w:pPr>
          </w:p>
        </w:tc>
      </w:tr>
      <w:tr>
        <w:trPr>
          <w:trHeight w:val="117"/>
        </w:trPr>
        <w:tc>
          <w:tcPr>
            <w:tcW w:w="7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Capitalized internal-use software</w:t>
            </w:r>
          </w:p>
        </w:tc>
        <w:tc>
          <w:tcPr>
            <w:tcW w:w="14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320"/>
              <w:spacing w:after="0" w:line="117" w:lineRule="exact"/>
              <w:rPr>
                <w:sz w:val="20"/>
                <w:szCs w:val="20"/>
                <w:color w:val="auto"/>
              </w:rPr>
            </w:pPr>
            <w:r>
              <w:rPr>
                <w:rFonts w:ascii="Times New Roman" w:cs="Times New Roman" w:eastAsia="Times New Roman" w:hAnsi="Times New Roman"/>
                <w:sz w:val="11"/>
                <w:szCs w:val="11"/>
                <w:color w:val="auto"/>
              </w:rPr>
              <w:t>13,624</w:t>
            </w:r>
          </w:p>
        </w:tc>
        <w:tc>
          <w:tcPr>
            <w:tcW w:w="320" w:type="dxa"/>
            <w:vAlign w:val="bottom"/>
            <w:shd w:val="clear" w:color="auto" w:fill="CCEEFF"/>
          </w:tcPr>
          <w:p>
            <w:pPr>
              <w:spacing w:after="0"/>
              <w:rPr>
                <w:sz w:val="10"/>
                <w:szCs w:val="10"/>
                <w:color w:val="auto"/>
              </w:rPr>
            </w:pPr>
          </w:p>
        </w:tc>
        <w:tc>
          <w:tcPr>
            <w:tcW w:w="15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12,529</w:t>
            </w:r>
          </w:p>
        </w:tc>
        <w:tc>
          <w:tcPr>
            <w:tcW w:w="0" w:type="dxa"/>
            <w:vAlign w:val="bottom"/>
          </w:tcPr>
          <w:p>
            <w:pPr>
              <w:spacing w:after="0"/>
              <w:rPr>
                <w:sz w:val="1"/>
                <w:szCs w:val="1"/>
                <w:color w:val="auto"/>
              </w:rPr>
            </w:pPr>
          </w:p>
        </w:tc>
      </w:tr>
      <w:tr>
        <w:trPr>
          <w:trHeight w:val="117"/>
        </w:trPr>
        <w:tc>
          <w:tcPr>
            <w:tcW w:w="718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Leasehold improvements</w:t>
            </w:r>
          </w:p>
        </w:tc>
        <w:tc>
          <w:tcPr>
            <w:tcW w:w="1400" w:type="dxa"/>
            <w:vAlign w:val="bottom"/>
          </w:tcPr>
          <w:p>
            <w:pPr>
              <w:spacing w:after="0"/>
              <w:rPr>
                <w:sz w:val="10"/>
                <w:szCs w:val="10"/>
                <w:color w:val="auto"/>
              </w:rPr>
            </w:pPr>
          </w:p>
        </w:tc>
        <w:tc>
          <w:tcPr>
            <w:tcW w:w="880" w:type="dxa"/>
            <w:vAlign w:val="bottom"/>
            <w:gridSpan w:val="2"/>
          </w:tcPr>
          <w:p>
            <w:pPr>
              <w:jc w:val="right"/>
              <w:ind w:right="320"/>
              <w:spacing w:after="0" w:line="117" w:lineRule="exact"/>
              <w:rPr>
                <w:sz w:val="20"/>
                <w:szCs w:val="20"/>
                <w:color w:val="auto"/>
              </w:rPr>
            </w:pPr>
            <w:r>
              <w:rPr>
                <w:rFonts w:ascii="Times New Roman" w:cs="Times New Roman" w:eastAsia="Times New Roman" w:hAnsi="Times New Roman"/>
                <w:sz w:val="11"/>
                <w:szCs w:val="11"/>
                <w:color w:val="auto"/>
              </w:rPr>
              <w:t>2,095</w:t>
            </w:r>
          </w:p>
        </w:tc>
        <w:tc>
          <w:tcPr>
            <w:tcW w:w="320" w:type="dxa"/>
            <w:vAlign w:val="bottom"/>
          </w:tcPr>
          <w:p>
            <w:pPr>
              <w:spacing w:after="0"/>
              <w:rPr>
                <w:sz w:val="10"/>
                <w:szCs w:val="10"/>
                <w:color w:val="auto"/>
              </w:rPr>
            </w:pPr>
          </w:p>
        </w:tc>
        <w:tc>
          <w:tcPr>
            <w:tcW w:w="1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2,086</w:t>
            </w:r>
          </w:p>
        </w:tc>
        <w:tc>
          <w:tcPr>
            <w:tcW w:w="0" w:type="dxa"/>
            <w:vAlign w:val="bottom"/>
          </w:tcPr>
          <w:p>
            <w:pPr>
              <w:spacing w:after="0"/>
              <w:rPr>
                <w:sz w:val="1"/>
                <w:szCs w:val="1"/>
                <w:color w:val="auto"/>
              </w:rPr>
            </w:pPr>
          </w:p>
        </w:tc>
      </w:tr>
      <w:tr>
        <w:trPr>
          <w:trHeight w:val="117"/>
        </w:trPr>
        <w:tc>
          <w:tcPr>
            <w:tcW w:w="7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Construction in progress</w:t>
            </w:r>
          </w:p>
        </w:tc>
        <w:tc>
          <w:tcPr>
            <w:tcW w:w="14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320"/>
              <w:spacing w:after="0" w:line="117" w:lineRule="exact"/>
              <w:rPr>
                <w:sz w:val="20"/>
                <w:szCs w:val="20"/>
                <w:color w:val="auto"/>
              </w:rPr>
            </w:pPr>
            <w:r>
              <w:rPr>
                <w:rFonts w:ascii="Times New Roman" w:cs="Times New Roman" w:eastAsia="Times New Roman" w:hAnsi="Times New Roman"/>
                <w:sz w:val="11"/>
                <w:szCs w:val="11"/>
                <w:color w:val="auto"/>
              </w:rPr>
              <w:t>1,481</w:t>
            </w:r>
          </w:p>
        </w:tc>
        <w:tc>
          <w:tcPr>
            <w:tcW w:w="320" w:type="dxa"/>
            <w:vAlign w:val="bottom"/>
            <w:shd w:val="clear" w:color="auto" w:fill="CCEEFF"/>
          </w:tcPr>
          <w:p>
            <w:pPr>
              <w:spacing w:after="0"/>
              <w:rPr>
                <w:sz w:val="10"/>
                <w:szCs w:val="10"/>
                <w:color w:val="auto"/>
              </w:rPr>
            </w:pPr>
          </w:p>
        </w:tc>
        <w:tc>
          <w:tcPr>
            <w:tcW w:w="15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140</w:t>
            </w:r>
          </w:p>
        </w:tc>
        <w:tc>
          <w:tcPr>
            <w:tcW w:w="0" w:type="dxa"/>
            <w:vAlign w:val="bottom"/>
          </w:tcPr>
          <w:p>
            <w:pPr>
              <w:spacing w:after="0"/>
              <w:rPr>
                <w:sz w:val="1"/>
                <w:szCs w:val="1"/>
                <w:color w:val="auto"/>
              </w:rPr>
            </w:pPr>
          </w:p>
        </w:tc>
      </w:tr>
      <w:tr>
        <w:trPr>
          <w:trHeight w:val="106"/>
        </w:trPr>
        <w:tc>
          <w:tcPr>
            <w:tcW w:w="7180" w:type="dxa"/>
            <w:vAlign w:val="bottom"/>
            <w:tcBorders>
              <w:bottom w:val="single" w:sz="8" w:color="CCEEFF"/>
            </w:tcBorders>
          </w:tcPr>
          <w:p>
            <w:pPr>
              <w:ind w:left="60"/>
              <w:spacing w:after="0" w:line="106" w:lineRule="exact"/>
              <w:rPr>
                <w:sz w:val="20"/>
                <w:szCs w:val="20"/>
                <w:color w:val="auto"/>
              </w:rPr>
            </w:pPr>
            <w:r>
              <w:rPr>
                <w:rFonts w:ascii="Times New Roman" w:cs="Times New Roman" w:eastAsia="Times New Roman" w:hAnsi="Times New Roman"/>
                <w:sz w:val="11"/>
                <w:szCs w:val="11"/>
                <w:color w:val="auto"/>
              </w:rPr>
              <w:t>Total property and equipment</w:t>
            </w:r>
          </w:p>
        </w:tc>
        <w:tc>
          <w:tcPr>
            <w:tcW w:w="140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23,757</w:t>
            </w:r>
          </w:p>
        </w:tc>
        <w:tc>
          <w:tcPr>
            <w:tcW w:w="320" w:type="dxa"/>
            <w:vAlign w:val="bottom"/>
            <w:tcBorders>
              <w:bottom w:val="single" w:sz="8" w:color="CCEEFF"/>
            </w:tcBorders>
          </w:tcPr>
          <w:p>
            <w:pPr>
              <w:spacing w:after="0"/>
              <w:rPr>
                <w:sz w:val="9"/>
                <w:szCs w:val="9"/>
                <w:color w:val="auto"/>
              </w:rPr>
            </w:pPr>
          </w:p>
        </w:tc>
        <w:tc>
          <w:tcPr>
            <w:tcW w:w="320" w:type="dxa"/>
            <w:vAlign w:val="bottom"/>
            <w:tcBorders>
              <w:top w:val="single" w:sz="8" w:color="auto"/>
              <w:bottom w:val="single" w:sz="8" w:color="auto"/>
            </w:tcBorders>
          </w:tcPr>
          <w:p>
            <w:pPr>
              <w:spacing w:after="0"/>
              <w:rPr>
                <w:sz w:val="9"/>
                <w:szCs w:val="9"/>
                <w:color w:val="auto"/>
              </w:rPr>
            </w:pPr>
          </w:p>
        </w:tc>
        <w:tc>
          <w:tcPr>
            <w:tcW w:w="152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21,092</w:t>
            </w:r>
          </w:p>
        </w:tc>
        <w:tc>
          <w:tcPr>
            <w:tcW w:w="0" w:type="dxa"/>
            <w:vAlign w:val="bottom"/>
          </w:tcPr>
          <w:p>
            <w:pPr>
              <w:spacing w:after="0"/>
              <w:rPr>
                <w:sz w:val="1"/>
                <w:szCs w:val="1"/>
                <w:color w:val="auto"/>
              </w:rPr>
            </w:pPr>
          </w:p>
        </w:tc>
      </w:tr>
      <w:tr>
        <w:trPr>
          <w:trHeight w:val="106"/>
        </w:trPr>
        <w:tc>
          <w:tcPr>
            <w:tcW w:w="71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Less: Accumulated depreciation and amortization</w:t>
            </w:r>
          </w:p>
        </w:tc>
        <w:tc>
          <w:tcPr>
            <w:tcW w:w="1400" w:type="dxa"/>
            <w:vAlign w:val="bottom"/>
            <w:tcBorders>
              <w:bottom w:val="single" w:sz="8" w:color="auto"/>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(13,928)</w:t>
            </w:r>
          </w:p>
        </w:tc>
        <w:tc>
          <w:tcPr>
            <w:tcW w:w="320" w:type="dxa"/>
            <w:vAlign w:val="bottom"/>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spacing w:after="0"/>
              <w:rPr>
                <w:sz w:val="9"/>
                <w:szCs w:val="9"/>
                <w:color w:val="auto"/>
              </w:rPr>
            </w:pPr>
          </w:p>
        </w:tc>
        <w:tc>
          <w:tcPr>
            <w:tcW w:w="152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(12,505)</w:t>
            </w:r>
          </w:p>
        </w:tc>
        <w:tc>
          <w:tcPr>
            <w:tcW w:w="0" w:type="dxa"/>
            <w:vAlign w:val="bottom"/>
          </w:tcPr>
          <w:p>
            <w:pPr>
              <w:spacing w:after="0"/>
              <w:rPr>
                <w:sz w:val="1"/>
                <w:szCs w:val="1"/>
                <w:color w:val="auto"/>
              </w:rPr>
            </w:pPr>
          </w:p>
        </w:tc>
      </w:tr>
      <w:tr>
        <w:trPr>
          <w:trHeight w:val="113"/>
        </w:trPr>
        <w:tc>
          <w:tcPr>
            <w:tcW w:w="718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Property and equipment, net</w:t>
            </w:r>
          </w:p>
        </w:tc>
        <w:tc>
          <w:tcPr>
            <w:tcW w:w="1400" w:type="dxa"/>
            <w:vAlign w:val="bottom"/>
            <w:tcBorders>
              <w:bottom w:val="single" w:sz="8" w:color="auto"/>
            </w:tcBorders>
          </w:tcPr>
          <w:p>
            <w:pPr>
              <w:jc w:val="right"/>
              <w:ind w:right="1320"/>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9,829</w:t>
            </w:r>
          </w:p>
        </w:tc>
        <w:tc>
          <w:tcPr>
            <w:tcW w:w="320" w:type="dxa"/>
            <w:vAlign w:val="bottom"/>
          </w:tcPr>
          <w:p>
            <w:pPr>
              <w:spacing w:after="0"/>
              <w:rPr>
                <w:sz w:val="9"/>
                <w:szCs w:val="9"/>
                <w:color w:val="auto"/>
              </w:rPr>
            </w:pPr>
          </w:p>
        </w:tc>
        <w:tc>
          <w:tcPr>
            <w:tcW w:w="320" w:type="dxa"/>
            <w:vAlign w:val="bottom"/>
            <w:tcBorders>
              <w:bottom w:val="single" w:sz="8" w:color="auto"/>
            </w:tcBorders>
          </w:tcPr>
          <w:p>
            <w:pPr>
              <w:jc w:val="right"/>
              <w:ind w:right="20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8,587</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2"/>
          <w:szCs w:val="12"/>
          <w:color w:val="auto"/>
        </w:rPr>
        <w:t>The Company capitalized certain internal-use software costs totaling $1.1 million and $936,000, including stock-based compensation of $6,000 and $6,000, related to internal-use software development efforts, during the three months ended March 31, 2026 and 2025, respectively. Amortization of capitalized internal-use software totaled $1.1 million and $1.0 million for the three months ended March 31, 2026 and 2025, respectively.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Depreciation and amortization expense related to property and equipment, excluding capitalized internal-use software, was $359,000 and $370,000 for three months ended March 31, 2026 and 2025,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Non-Current Assets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non-current assets are comprised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460" w:type="dxa"/>
            <w:vAlign w:val="bottom"/>
          </w:tcPr>
          <w:p>
            <w:pPr>
              <w:jc w:val="right"/>
              <w:ind w:right="204"/>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00" w:type="dxa"/>
            <w:vAlign w:val="bottom"/>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7"/>
        </w:trPr>
        <w:tc>
          <w:tcPr>
            <w:tcW w:w="3420" w:type="dxa"/>
            <w:vAlign w:val="bottom"/>
          </w:tcPr>
          <w:p>
            <w:pPr>
              <w:spacing w:after="0"/>
              <w:rPr>
                <w:sz w:val="11"/>
                <w:szCs w:val="11"/>
                <w:color w:val="auto"/>
              </w:rPr>
            </w:pPr>
          </w:p>
        </w:tc>
        <w:tc>
          <w:tcPr>
            <w:tcW w:w="5220" w:type="dxa"/>
            <w:vAlign w:val="bottom"/>
            <w:gridSpan w:val="2"/>
          </w:tcPr>
          <w:p>
            <w:pPr>
              <w:jc w:val="right"/>
              <w:ind w:right="344"/>
              <w:spacing w:after="0"/>
              <w:rPr>
                <w:sz w:val="20"/>
                <w:szCs w:val="20"/>
                <w:color w:val="auto"/>
              </w:rPr>
            </w:pPr>
            <w:r>
              <w:rPr>
                <w:rFonts w:ascii="Times New Roman" w:cs="Times New Roman" w:eastAsia="Times New Roman" w:hAnsi="Times New Roman"/>
                <w:sz w:val="11"/>
                <w:szCs w:val="11"/>
                <w:b w:val="1"/>
                <w:bCs w:val="1"/>
                <w:color w:val="auto"/>
              </w:rPr>
              <w:t>2026</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06"/>
        </w:trPr>
        <w:tc>
          <w:tcPr>
            <w:tcW w:w="342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Contract costs, net</w:t>
            </w:r>
          </w:p>
        </w:tc>
        <w:tc>
          <w:tcPr>
            <w:tcW w:w="3760" w:type="dxa"/>
            <w:vAlign w:val="bottom"/>
            <w:tcBorders>
              <w:top w:val="single" w:sz="8" w:color="CCEEFF"/>
            </w:tcBorders>
            <w:shd w:val="clear" w:color="auto" w:fill="CCEEFF"/>
          </w:tcPr>
          <w:p>
            <w:pPr>
              <w:spacing w:after="0"/>
              <w:rPr>
                <w:sz w:val="9"/>
                <w:szCs w:val="9"/>
                <w:color w:val="auto"/>
              </w:rPr>
            </w:pPr>
          </w:p>
        </w:tc>
        <w:tc>
          <w:tcPr>
            <w:tcW w:w="1460" w:type="dxa"/>
            <w:vAlign w:val="bottom"/>
            <w:tcBorders>
              <w:top w:val="single" w:sz="8" w:color="auto"/>
            </w:tcBorders>
            <w:shd w:val="clear" w:color="auto" w:fill="CCEEFF"/>
          </w:tcPr>
          <w:p>
            <w:pPr>
              <w:jc w:val="right"/>
              <w:ind w:right="1384"/>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5,071</w:t>
            </w:r>
          </w:p>
        </w:tc>
        <w:tc>
          <w:tcPr>
            <w:tcW w:w="32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jc w:val="right"/>
              <w:ind w:right="2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4,260</w:t>
            </w:r>
          </w:p>
        </w:tc>
      </w:tr>
      <w:tr>
        <w:trPr>
          <w:trHeight w:val="117"/>
        </w:trPr>
        <w:tc>
          <w:tcPr>
            <w:tcW w:w="342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Other</w:t>
            </w:r>
          </w:p>
        </w:tc>
        <w:tc>
          <w:tcPr>
            <w:tcW w:w="37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20" w:type="dxa"/>
            <w:vAlign w:val="bottom"/>
            <w:gridSpan w:val="2"/>
          </w:tcPr>
          <w:p>
            <w:pPr>
              <w:jc w:val="right"/>
              <w:ind w:right="320"/>
              <w:spacing w:after="0" w:line="117" w:lineRule="exact"/>
              <w:rPr>
                <w:sz w:val="20"/>
                <w:szCs w:val="20"/>
                <w:color w:val="auto"/>
              </w:rPr>
            </w:pPr>
            <w:r>
              <w:rPr>
                <w:rFonts w:ascii="Times New Roman" w:cs="Times New Roman" w:eastAsia="Times New Roman" w:hAnsi="Times New Roman"/>
                <w:sz w:val="11"/>
                <w:szCs w:val="11"/>
                <w:color w:val="auto"/>
              </w:rPr>
              <w:t>1,604</w:t>
            </w:r>
          </w:p>
        </w:tc>
        <w:tc>
          <w:tcPr>
            <w:tcW w:w="340" w:type="dxa"/>
            <w:vAlign w:val="bottom"/>
          </w:tcPr>
          <w:p>
            <w:pPr>
              <w:spacing w:after="0"/>
              <w:rPr>
                <w:sz w:val="10"/>
                <w:szCs w:val="10"/>
                <w:color w:val="auto"/>
              </w:rPr>
            </w:pPr>
          </w:p>
        </w:tc>
        <w:tc>
          <w:tcPr>
            <w:tcW w:w="1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839</w:t>
            </w:r>
          </w:p>
        </w:tc>
      </w:tr>
      <w:tr>
        <w:trPr>
          <w:trHeight w:val="126"/>
        </w:trPr>
        <w:tc>
          <w:tcPr>
            <w:tcW w:w="3420" w:type="dxa"/>
            <w:vAlign w:val="bottom"/>
            <w:tcBorders>
              <w:top w:val="single" w:sz="8" w:color="CCEEFF"/>
              <w:bottom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Total other non-current assets</w:t>
            </w:r>
          </w:p>
        </w:tc>
        <w:tc>
          <w:tcPr>
            <w:tcW w:w="3760" w:type="dxa"/>
            <w:vAlign w:val="bottom"/>
            <w:tcBorders>
              <w:top w:val="single" w:sz="8" w:color="CCEEFF"/>
              <w:bottom w:val="single" w:sz="8" w:color="CCEEFF"/>
            </w:tcBorders>
            <w:shd w:val="clear" w:color="auto" w:fill="CCEEFF"/>
          </w:tcPr>
          <w:p>
            <w:pPr>
              <w:spacing w:after="0"/>
              <w:rPr>
                <w:sz w:val="10"/>
                <w:szCs w:val="10"/>
                <w:color w:val="auto"/>
              </w:rPr>
            </w:pPr>
          </w:p>
        </w:tc>
        <w:tc>
          <w:tcPr>
            <w:tcW w:w="1460" w:type="dxa"/>
            <w:vAlign w:val="bottom"/>
            <w:tcBorders>
              <w:top w:val="single" w:sz="8" w:color="auto"/>
              <w:bottom w:val="single" w:sz="8" w:color="auto"/>
            </w:tcBorders>
            <w:shd w:val="clear" w:color="auto" w:fill="CCEEFF"/>
          </w:tcPr>
          <w:p>
            <w:pPr>
              <w:jc w:val="right"/>
              <w:ind w:right="1384"/>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6,675</w:t>
            </w:r>
          </w:p>
        </w:tc>
        <w:tc>
          <w:tcPr>
            <w:tcW w:w="320" w:type="dxa"/>
            <w:vAlign w:val="bottom"/>
            <w:tcBorders>
              <w:top w:val="single" w:sz="8" w:color="CCEEFF"/>
              <w:bottom w:val="single" w:sz="8" w:color="CCEEFF"/>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shd w:val="clear" w:color="auto" w:fill="CCEEFF"/>
          </w:tcPr>
          <w:p>
            <w:pPr>
              <w:jc w:val="right"/>
              <w:ind w:right="2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5,099</w:t>
            </w:r>
          </w:p>
        </w:tc>
      </w:tr>
      <w:tr>
        <w:trPr>
          <w:trHeight w:val="124"/>
        </w:trPr>
        <w:tc>
          <w:tcPr>
            <w:tcW w:w="3420" w:type="dxa"/>
            <w:vAlign w:val="bottom"/>
          </w:tcPr>
          <w:p>
            <w:pPr>
              <w:spacing w:after="0"/>
              <w:rPr>
                <w:sz w:val="10"/>
                <w:szCs w:val="10"/>
                <w:color w:val="auto"/>
              </w:rPr>
            </w:pPr>
          </w:p>
        </w:tc>
        <w:tc>
          <w:tcPr>
            <w:tcW w:w="3760" w:type="dxa"/>
            <w:vAlign w:val="bottom"/>
          </w:tcPr>
          <w:p>
            <w:pPr>
              <w:jc w:val="right"/>
              <w:ind w:right="1423"/>
              <w:spacing w:after="0" w:line="124" w:lineRule="exact"/>
              <w:rPr>
                <w:sz w:val="20"/>
                <w:szCs w:val="20"/>
                <w:color w:val="auto"/>
              </w:rPr>
            </w:pPr>
            <w:r>
              <w:rPr>
                <w:rFonts w:ascii="Times New Roman" w:cs="Times New Roman" w:eastAsia="Times New Roman" w:hAnsi="Times New Roman"/>
                <w:sz w:val="12"/>
                <w:szCs w:val="12"/>
                <w:color w:val="auto"/>
              </w:rPr>
              <w:t>21</w:t>
            </w:r>
          </w:p>
        </w:tc>
        <w:tc>
          <w:tcPr>
            <w:tcW w:w="1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00" w:type="dxa"/>
            <w:vAlign w:val="bottom"/>
          </w:tcPr>
          <w:p>
            <w:pPr>
              <w:spacing w:after="0"/>
              <w:rPr>
                <w:sz w:val="10"/>
                <w:szCs w:val="10"/>
                <w:color w:val="auto"/>
              </w:rPr>
            </w:pPr>
          </w:p>
        </w:tc>
      </w:tr>
      <w:tr>
        <w:trPr>
          <w:trHeight w:val="205"/>
        </w:trPr>
        <w:tc>
          <w:tcPr>
            <w:tcW w:w="3420" w:type="dxa"/>
            <w:vAlign w:val="bottom"/>
            <w:tcBorders>
              <w:bottom w:val="single" w:sz="8" w:color="9A9A9A"/>
            </w:tcBorders>
          </w:tcPr>
          <w:p>
            <w:pPr>
              <w:spacing w:after="0"/>
              <w:rPr>
                <w:sz w:val="17"/>
                <w:szCs w:val="17"/>
                <w:color w:val="auto"/>
              </w:rPr>
            </w:pPr>
          </w:p>
        </w:tc>
        <w:tc>
          <w:tcPr>
            <w:tcW w:w="3760" w:type="dxa"/>
            <w:vAlign w:val="bottom"/>
            <w:tcBorders>
              <w:bottom w:val="single" w:sz="8" w:color="9A9A9A"/>
            </w:tcBorders>
          </w:tcPr>
          <w:p>
            <w:pPr>
              <w:spacing w:after="0"/>
              <w:rPr>
                <w:sz w:val="17"/>
                <w:szCs w:val="17"/>
                <w:color w:val="auto"/>
              </w:rPr>
            </w:pPr>
          </w:p>
        </w:tc>
        <w:tc>
          <w:tcPr>
            <w:tcW w:w="146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3"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jc w:val="center"/>
        <w:spacing w:after="0" w:line="234" w:lineRule="auto"/>
        <w:rPr>
          <w:sz w:val="20"/>
          <w:szCs w:val="20"/>
          <w:color w:val="auto"/>
        </w:rPr>
      </w:pPr>
      <w:r>
        <w:rPr>
          <w:rFonts w:ascii="Times New Roman" w:cs="Times New Roman" w:eastAsia="Times New Roman" w:hAnsi="Times New Roman"/>
          <w:sz w:val="19"/>
          <w:szCs w:val="19"/>
          <w:b w:val="1"/>
          <w:bCs w:val="1"/>
          <w:color w:val="auto"/>
        </w:rPr>
        <w:t>Heartflow, Inc.</w:t>
      </w:r>
    </w:p>
    <w:p>
      <w:pPr>
        <w:jc w:val="center"/>
        <w:spacing w:after="0" w:line="220" w:lineRule="auto"/>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Accrued Expenses and Other Current Liabilities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Accrued expenses and other current liabilities are comprised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180" w:type="dxa"/>
            <w:vAlign w:val="bottom"/>
          </w:tcPr>
          <w:p>
            <w:pPr>
              <w:spacing w:after="0"/>
              <w:rPr>
                <w:sz w:val="11"/>
                <w:szCs w:val="11"/>
                <w:color w:val="auto"/>
              </w:rPr>
            </w:pPr>
          </w:p>
        </w:tc>
        <w:tc>
          <w:tcPr>
            <w:tcW w:w="1440" w:type="dxa"/>
            <w:vAlign w:val="bottom"/>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7"/>
        </w:trPr>
        <w:tc>
          <w:tcPr>
            <w:tcW w:w="7180" w:type="dxa"/>
            <w:vAlign w:val="bottom"/>
            <w:tcBorders>
              <w:bottom w:val="single" w:sz="8" w:color="CCEEFF"/>
            </w:tcBorders>
          </w:tcPr>
          <w:p>
            <w:pPr>
              <w:spacing w:after="0"/>
              <w:rPr>
                <w:sz w:val="11"/>
                <w:szCs w:val="11"/>
                <w:color w:val="auto"/>
              </w:rPr>
            </w:pPr>
          </w:p>
        </w:tc>
        <w:tc>
          <w:tcPr>
            <w:tcW w:w="14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2026</w:t>
            </w:r>
          </w:p>
        </w:tc>
        <w:tc>
          <w:tcPr>
            <w:tcW w:w="520" w:type="dxa"/>
            <w:vAlign w:val="bottom"/>
            <w:tcBorders>
              <w:bottom w:val="single" w:sz="8" w:color="auto"/>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06"/>
        </w:trPr>
        <w:tc>
          <w:tcPr>
            <w:tcW w:w="71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Accrued payroll and related expenses</w:t>
            </w:r>
          </w:p>
        </w:tc>
        <w:tc>
          <w:tcPr>
            <w:tcW w:w="1440" w:type="dxa"/>
            <w:vAlign w:val="bottom"/>
            <w:shd w:val="clear" w:color="auto" w:fill="CCEEFF"/>
          </w:tcPr>
          <w:p>
            <w:pPr>
              <w:jc w:val="right"/>
              <w:ind w:right="1360"/>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19,762</w:t>
            </w:r>
          </w:p>
        </w:tc>
        <w:tc>
          <w:tcPr>
            <w:tcW w:w="320" w:type="dxa"/>
            <w:vAlign w:val="bottom"/>
            <w:shd w:val="clear" w:color="auto" w:fill="CCEEFF"/>
          </w:tcPr>
          <w:p>
            <w:pPr>
              <w:spacing w:after="0"/>
              <w:rPr>
                <w:sz w:val="9"/>
                <w:szCs w:val="9"/>
                <w:color w:val="auto"/>
              </w:rPr>
            </w:pPr>
          </w:p>
        </w:tc>
        <w:tc>
          <w:tcPr>
            <w:tcW w:w="340" w:type="dxa"/>
            <w:vAlign w:val="bottom"/>
            <w:shd w:val="clear" w:color="auto" w:fill="CCEEFF"/>
          </w:tcPr>
          <w:p>
            <w:pPr>
              <w:jc w:val="right"/>
              <w:ind w:right="2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28,150</w:t>
            </w:r>
          </w:p>
        </w:tc>
      </w:tr>
      <w:tr>
        <w:trPr>
          <w:trHeight w:val="117"/>
        </w:trPr>
        <w:tc>
          <w:tcPr>
            <w:tcW w:w="718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Customer contract and rebate liabilities</w:t>
            </w:r>
          </w:p>
        </w:tc>
        <w:tc>
          <w:tcPr>
            <w:tcW w:w="1440" w:type="dxa"/>
            <w:vAlign w:val="bottom"/>
          </w:tcPr>
          <w:p>
            <w:pPr>
              <w:spacing w:after="0"/>
              <w:rPr>
                <w:sz w:val="10"/>
                <w:szCs w:val="10"/>
                <w:color w:val="auto"/>
              </w:rPr>
            </w:pPr>
          </w:p>
        </w:tc>
        <w:tc>
          <w:tcPr>
            <w:tcW w:w="840" w:type="dxa"/>
            <w:vAlign w:val="bottom"/>
            <w:gridSpan w:val="2"/>
          </w:tcPr>
          <w:p>
            <w:pPr>
              <w:jc w:val="right"/>
              <w:ind w:right="320"/>
              <w:spacing w:after="0" w:line="117" w:lineRule="exact"/>
              <w:rPr>
                <w:sz w:val="20"/>
                <w:szCs w:val="20"/>
                <w:color w:val="auto"/>
              </w:rPr>
            </w:pPr>
            <w:r>
              <w:rPr>
                <w:rFonts w:ascii="Times New Roman" w:cs="Times New Roman" w:eastAsia="Times New Roman" w:hAnsi="Times New Roman"/>
                <w:sz w:val="11"/>
                <w:szCs w:val="11"/>
                <w:color w:val="auto"/>
              </w:rPr>
              <w:t>1,583</w:t>
            </w:r>
          </w:p>
        </w:tc>
        <w:tc>
          <w:tcPr>
            <w:tcW w:w="340" w:type="dxa"/>
            <w:vAlign w:val="bottom"/>
          </w:tcPr>
          <w:p>
            <w:pPr>
              <w:spacing w:after="0"/>
              <w:rPr>
                <w:sz w:val="10"/>
                <w:szCs w:val="10"/>
                <w:color w:val="auto"/>
              </w:rPr>
            </w:pPr>
          </w:p>
        </w:tc>
        <w:tc>
          <w:tcPr>
            <w:tcW w:w="1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1,162</w:t>
            </w:r>
          </w:p>
        </w:tc>
      </w:tr>
      <w:tr>
        <w:trPr>
          <w:trHeight w:val="117"/>
        </w:trPr>
        <w:tc>
          <w:tcPr>
            <w:tcW w:w="7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Accrued royalty</w:t>
            </w:r>
          </w:p>
        </w:tc>
        <w:tc>
          <w:tcPr>
            <w:tcW w:w="144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320"/>
              <w:spacing w:after="0" w:line="117" w:lineRule="exact"/>
              <w:rPr>
                <w:sz w:val="20"/>
                <w:szCs w:val="20"/>
                <w:color w:val="auto"/>
              </w:rPr>
            </w:pPr>
            <w:r>
              <w:rPr>
                <w:rFonts w:ascii="Times New Roman" w:cs="Times New Roman" w:eastAsia="Times New Roman" w:hAnsi="Times New Roman"/>
                <w:sz w:val="11"/>
                <w:szCs w:val="11"/>
                <w:color w:val="auto"/>
              </w:rPr>
              <w:t>1,049</w:t>
            </w:r>
          </w:p>
        </w:tc>
        <w:tc>
          <w:tcPr>
            <w:tcW w:w="340" w:type="dxa"/>
            <w:vAlign w:val="bottom"/>
            <w:shd w:val="clear" w:color="auto" w:fill="CCEEFF"/>
          </w:tcPr>
          <w:p>
            <w:pPr>
              <w:spacing w:after="0"/>
              <w:rPr>
                <w:sz w:val="10"/>
                <w:szCs w:val="10"/>
                <w:color w:val="auto"/>
              </w:rPr>
            </w:pPr>
          </w:p>
        </w:tc>
        <w:tc>
          <w:tcPr>
            <w:tcW w:w="15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864</w:t>
            </w:r>
          </w:p>
        </w:tc>
      </w:tr>
      <w:tr>
        <w:trPr>
          <w:trHeight w:val="117"/>
        </w:trPr>
        <w:tc>
          <w:tcPr>
            <w:tcW w:w="718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Accrued professional fees</w:t>
            </w:r>
          </w:p>
        </w:tc>
        <w:tc>
          <w:tcPr>
            <w:tcW w:w="1440" w:type="dxa"/>
            <w:vAlign w:val="bottom"/>
          </w:tcPr>
          <w:p>
            <w:pPr>
              <w:spacing w:after="0"/>
              <w:rPr>
                <w:sz w:val="10"/>
                <w:szCs w:val="10"/>
                <w:color w:val="auto"/>
              </w:rPr>
            </w:pPr>
          </w:p>
        </w:tc>
        <w:tc>
          <w:tcPr>
            <w:tcW w:w="840" w:type="dxa"/>
            <w:vAlign w:val="bottom"/>
            <w:gridSpan w:val="2"/>
          </w:tcPr>
          <w:p>
            <w:pPr>
              <w:jc w:val="right"/>
              <w:ind w:right="320"/>
              <w:spacing w:after="0" w:line="117" w:lineRule="exact"/>
              <w:rPr>
                <w:sz w:val="20"/>
                <w:szCs w:val="20"/>
                <w:color w:val="auto"/>
              </w:rPr>
            </w:pPr>
            <w:r>
              <w:rPr>
                <w:rFonts w:ascii="Times New Roman" w:cs="Times New Roman" w:eastAsia="Times New Roman" w:hAnsi="Times New Roman"/>
                <w:sz w:val="11"/>
                <w:szCs w:val="11"/>
                <w:color w:val="auto"/>
              </w:rPr>
              <w:t>821</w:t>
            </w:r>
          </w:p>
        </w:tc>
        <w:tc>
          <w:tcPr>
            <w:tcW w:w="340" w:type="dxa"/>
            <w:vAlign w:val="bottom"/>
          </w:tcPr>
          <w:p>
            <w:pPr>
              <w:spacing w:after="0"/>
              <w:rPr>
                <w:sz w:val="10"/>
                <w:szCs w:val="10"/>
                <w:color w:val="auto"/>
              </w:rPr>
            </w:pPr>
          </w:p>
        </w:tc>
        <w:tc>
          <w:tcPr>
            <w:tcW w:w="1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627</w:t>
            </w:r>
          </w:p>
        </w:tc>
      </w:tr>
      <w:tr>
        <w:trPr>
          <w:trHeight w:val="117"/>
        </w:trPr>
        <w:tc>
          <w:tcPr>
            <w:tcW w:w="7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Accrued clinical trial expenses</w:t>
            </w:r>
          </w:p>
        </w:tc>
        <w:tc>
          <w:tcPr>
            <w:tcW w:w="144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320"/>
              <w:spacing w:after="0" w:line="117" w:lineRule="exact"/>
              <w:rPr>
                <w:sz w:val="20"/>
                <w:szCs w:val="20"/>
                <w:color w:val="auto"/>
              </w:rPr>
            </w:pPr>
            <w:r>
              <w:rPr>
                <w:rFonts w:ascii="Times New Roman" w:cs="Times New Roman" w:eastAsia="Times New Roman" w:hAnsi="Times New Roman"/>
                <w:sz w:val="11"/>
                <w:szCs w:val="11"/>
                <w:color w:val="auto"/>
              </w:rPr>
              <w:t>1,118</w:t>
            </w:r>
          </w:p>
        </w:tc>
        <w:tc>
          <w:tcPr>
            <w:tcW w:w="340" w:type="dxa"/>
            <w:vAlign w:val="bottom"/>
            <w:shd w:val="clear" w:color="auto" w:fill="CCEEFF"/>
          </w:tcPr>
          <w:p>
            <w:pPr>
              <w:spacing w:after="0"/>
              <w:rPr>
                <w:sz w:val="10"/>
                <w:szCs w:val="10"/>
                <w:color w:val="auto"/>
              </w:rPr>
            </w:pPr>
          </w:p>
        </w:tc>
        <w:tc>
          <w:tcPr>
            <w:tcW w:w="15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550</w:t>
            </w:r>
          </w:p>
        </w:tc>
      </w:tr>
      <w:tr>
        <w:trPr>
          <w:trHeight w:val="117"/>
        </w:trPr>
        <w:tc>
          <w:tcPr>
            <w:tcW w:w="718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Other</w:t>
            </w:r>
          </w:p>
        </w:tc>
        <w:tc>
          <w:tcPr>
            <w:tcW w:w="1440" w:type="dxa"/>
            <w:vAlign w:val="bottom"/>
          </w:tcPr>
          <w:p>
            <w:pPr>
              <w:spacing w:after="0"/>
              <w:rPr>
                <w:sz w:val="10"/>
                <w:szCs w:val="10"/>
                <w:color w:val="auto"/>
              </w:rPr>
            </w:pPr>
          </w:p>
        </w:tc>
        <w:tc>
          <w:tcPr>
            <w:tcW w:w="840" w:type="dxa"/>
            <w:vAlign w:val="bottom"/>
            <w:gridSpan w:val="2"/>
          </w:tcPr>
          <w:p>
            <w:pPr>
              <w:jc w:val="right"/>
              <w:ind w:right="320"/>
              <w:spacing w:after="0" w:line="117" w:lineRule="exact"/>
              <w:rPr>
                <w:sz w:val="20"/>
                <w:szCs w:val="20"/>
                <w:color w:val="auto"/>
              </w:rPr>
            </w:pPr>
            <w:r>
              <w:rPr>
                <w:rFonts w:ascii="Times New Roman" w:cs="Times New Roman" w:eastAsia="Times New Roman" w:hAnsi="Times New Roman"/>
                <w:sz w:val="11"/>
                <w:szCs w:val="11"/>
                <w:color w:val="auto"/>
              </w:rPr>
              <w:t>1,553</w:t>
            </w:r>
          </w:p>
        </w:tc>
        <w:tc>
          <w:tcPr>
            <w:tcW w:w="340" w:type="dxa"/>
            <w:vAlign w:val="bottom"/>
          </w:tcPr>
          <w:p>
            <w:pPr>
              <w:spacing w:after="0"/>
              <w:rPr>
                <w:sz w:val="10"/>
                <w:szCs w:val="10"/>
                <w:color w:val="auto"/>
              </w:rPr>
            </w:pPr>
          </w:p>
        </w:tc>
        <w:tc>
          <w:tcPr>
            <w:tcW w:w="1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1,926</w:t>
            </w:r>
          </w:p>
        </w:tc>
      </w:tr>
      <w:tr>
        <w:trPr>
          <w:trHeight w:val="113"/>
        </w:trPr>
        <w:tc>
          <w:tcPr>
            <w:tcW w:w="7180" w:type="dxa"/>
            <w:vAlign w:val="bottom"/>
            <w:tcBorders>
              <w:top w:val="single" w:sz="8" w:color="CCEEFF"/>
              <w:bottom w:val="single" w:sz="8" w:color="CCEEFF"/>
            </w:tcBorders>
            <w:shd w:val="clear" w:color="auto" w:fill="CCEEFF"/>
          </w:tcPr>
          <w:p>
            <w:pPr>
              <w:spacing w:after="0"/>
              <w:rPr>
                <w:sz w:val="9"/>
                <w:szCs w:val="9"/>
                <w:color w:val="auto"/>
              </w:rPr>
            </w:pPr>
          </w:p>
        </w:tc>
        <w:tc>
          <w:tcPr>
            <w:tcW w:w="1440" w:type="dxa"/>
            <w:vAlign w:val="bottom"/>
            <w:tcBorders>
              <w:top w:val="single" w:sz="8" w:color="auto"/>
              <w:bottom w:val="single" w:sz="8" w:color="auto"/>
            </w:tcBorders>
            <w:shd w:val="clear" w:color="auto" w:fill="CCEEFF"/>
          </w:tcPr>
          <w:p>
            <w:pPr>
              <w:jc w:val="right"/>
              <w:ind w:right="1360"/>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25,886</w:t>
            </w:r>
          </w:p>
        </w:tc>
        <w:tc>
          <w:tcPr>
            <w:tcW w:w="320" w:type="dxa"/>
            <w:vAlign w:val="bottom"/>
            <w:tcBorders>
              <w:top w:val="single" w:sz="8" w:color="CCEEFF"/>
              <w:bottom w:val="single" w:sz="8" w:color="CCEEFF"/>
            </w:tcBorders>
            <w:shd w:val="clear" w:color="auto" w:fill="CCEEFF"/>
          </w:tcPr>
          <w:p>
            <w:pPr>
              <w:spacing w:after="0"/>
              <w:rPr>
                <w:sz w:val="9"/>
                <w:szCs w:val="9"/>
                <w:color w:val="auto"/>
              </w:rPr>
            </w:pPr>
          </w:p>
        </w:tc>
        <w:tc>
          <w:tcPr>
            <w:tcW w:w="340" w:type="dxa"/>
            <w:vAlign w:val="bottom"/>
            <w:tcBorders>
              <w:top w:val="single" w:sz="8" w:color="auto"/>
              <w:bottom w:val="single" w:sz="8" w:color="auto"/>
            </w:tcBorders>
            <w:shd w:val="clear" w:color="auto" w:fill="CCEEFF"/>
          </w:tcPr>
          <w:p>
            <w:pPr>
              <w:jc w:val="right"/>
              <w:ind w:right="2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33,279</w:t>
            </w: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Leases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leases office space in Mountain View, Santa Rosa, San Francisco and Rohnert Park, California, Austin, Texas, and Tokyo, Japan.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Mountain View, California</w:t>
      </w:r>
    </w:p>
    <w:p>
      <w:pPr>
        <w:spacing w:after="0" w:line="127" w:lineRule="exact"/>
        <w:rPr>
          <w:sz w:val="20"/>
          <w:szCs w:val="20"/>
          <w:color w:val="auto"/>
        </w:rPr>
      </w:pPr>
    </w:p>
    <w:p>
      <w:pPr>
        <w:jc w:val="both"/>
        <w:ind w:right="120"/>
        <w:spacing w:after="0" w:line="292" w:lineRule="auto"/>
        <w:rPr>
          <w:sz w:val="20"/>
          <w:szCs w:val="20"/>
          <w:color w:val="auto"/>
        </w:rPr>
      </w:pPr>
      <w:r>
        <w:rPr>
          <w:rFonts w:ascii="Times New Roman" w:cs="Times New Roman" w:eastAsia="Times New Roman" w:hAnsi="Times New Roman"/>
          <w:sz w:val="11"/>
          <w:szCs w:val="11"/>
          <w:color w:val="auto"/>
        </w:rPr>
        <w:t>In August 2021, the Company entered into a facility lease agreement for approximately 61,000 rentable square feet in Mountain View, California through August 2030. In connection with the lease, the Company established a standby letter of credit for the benefit of the landlord in the amount of $4.3 million in August 2021, which is classified as non-current restricted cash on the condensed consolidated balance sheets as of March 31, 2026 and December 31, 2025.</w:t>
      </w:r>
    </w:p>
    <w:p>
      <w:pPr>
        <w:spacing w:after="0" w:line="79"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2"/>
          <w:szCs w:val="12"/>
          <w:color w:val="auto"/>
        </w:rPr>
        <w:t>In March 2026, the Company entered into a sublease agreement (the “Sublease”) with a third-party subtenant to sublease its Mountain View, California facility. The initial term of the Sublease commenced in April 2026 and continues until August 2030, consistent with the remaining term of the Company’s Master Lease, with 52% occupancy of the facility beginning April 2026 and full occupancy by March 2027. The Sublease provides for an initial annual base rent of approximately $1.2 million, which increases annually up to a maximum annual base rent of approximately $2.4 million. The subtenant is obligated to pay its ratable portion of operating costs, annual tax costs and all utility costs attributable to the facility during the term of the Sublease. The subtenant will provide the Company with a letter of credit in the amount of $0.8 million in place of a security deposit. The Company evaluated the associated ROU asset and leasehold improvements for impairment as the substantially lower sublease income indicated that the carrying amount of such assets may not be recoverable. The Company compared the carrying value of the impacted assets to the fair value based on the Company’s estimate of discounted future cash flows to determine the impairment amount and recognized an asset impairment charge of $7.5 million during the three months ended March 31, 2026, of which $7.4 million was attributable to the ROU asset and $136,000 was attributable to leasehold improvements.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Santa Rosa, California</w:t>
      </w:r>
    </w:p>
    <w:p>
      <w:pPr>
        <w:spacing w:after="0" w:line="12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2"/>
          <w:szCs w:val="12"/>
          <w:color w:val="auto"/>
        </w:rPr>
        <w:t>In October 2024, the Company entered into an agreement to sublease approximately 4,000 rentable square feet of office space in Santa Rosa, California for 29 months through March 2027. In connection with this sublease, the Company paid a security deposit of $8,000 and recorded an ROU asset and lease liability of $169,000.</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San Francisco, California</w:t>
      </w:r>
    </w:p>
    <w:p>
      <w:pPr>
        <w:spacing w:after="0" w:line="127"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2"/>
          <w:szCs w:val="12"/>
          <w:color w:val="auto"/>
        </w:rPr>
        <w:t>In July 2025, the Company entered into an agreement to sublease approximately 8,100 rentable square feet of office space in San Francisco, California for 39 months through January 2029. In connection with this sublease, the Company paid a security deposit of $90,000 and recorded an ROU asset and lease liability of $1,254,000. On March 17, 2026, the Company amended the lease agreement to include an additional 5,018 rentable square feet and to extend the term for a period of 51 months through August 2030. The expansion effective date is expected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121920</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3"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jc w:val="center"/>
        <w:spacing w:after="0" w:line="234" w:lineRule="auto"/>
        <w:rPr>
          <w:sz w:val="20"/>
          <w:szCs w:val="20"/>
          <w:color w:val="auto"/>
        </w:rPr>
      </w:pPr>
      <w:r>
        <w:rPr>
          <w:rFonts w:ascii="Times New Roman" w:cs="Times New Roman" w:eastAsia="Times New Roman" w:hAnsi="Times New Roman"/>
          <w:sz w:val="19"/>
          <w:szCs w:val="19"/>
          <w:b w:val="1"/>
          <w:bCs w:val="1"/>
          <w:color w:val="auto"/>
        </w:rPr>
        <w:t>Heartflow, Inc.</w:t>
      </w:r>
    </w:p>
    <w:p>
      <w:pPr>
        <w:jc w:val="center"/>
        <w:spacing w:after="0" w:line="220" w:lineRule="auto"/>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1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2"/>
          <w:szCs w:val="12"/>
          <w:color w:val="auto"/>
        </w:rPr>
        <w:t>commence in the second quarter of 2026. The average monthly lease payments are approximately $47,400 per month for the expansion period and $26,500 per month for the lease extension during the amended lease term. An additional security deposit of $62,000 is also required.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Rohnert Park, California</w:t>
      </w:r>
    </w:p>
    <w:p>
      <w:pPr>
        <w:spacing w:after="0" w:line="127"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2"/>
          <w:szCs w:val="12"/>
          <w:color w:val="auto"/>
        </w:rPr>
        <w:t>In December 2025, the Company entered into a facility lease agreement for approximately 13,100 rentable square feet of office space in Rohnert Park, California for 63 months through September 2031, with the option to extend for one additional three-year period. In connection with the lease, the Company paid a security deposit of $39,000 and recorded an ROU asset and lease liability of $2.8 million upon lease commencement in the first quarter of 2026. The lease also provides for a tenant improvement allowance of $173,000.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Austin, Texas</w:t>
      </w:r>
    </w:p>
    <w:p>
      <w:pPr>
        <w:spacing w:after="0" w:line="127"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2"/>
          <w:szCs w:val="12"/>
          <w:color w:val="auto"/>
        </w:rPr>
        <w:t>In September 2025, the Company amended the lease for its Austin, Texas facility, which provides for approximately 26,000 square feet of space, to extend the lease term an additional 12 months through December 2026 and recorded an ROU asset and lease liability of $561,000 in connection with the lease extension. In January 2026, the Company amended the lease to extend the lease term an additional 51 months through March 2031, with the option to extend for two additional three-year periods. In connection with the lease amendment, the Company recorded an ROU asset and lease liability of $2.5 million. The lease amendment also provided for a tenant improvement allowance of $71,000. A security deposit of $150,000 was recorded as non-current restricted cash as of March 31, 2026 and December 31, 2025, on the condensed consolidated balance sheets related to this lease.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Tokyo, Japan</w:t>
      </w:r>
    </w:p>
    <w:p>
      <w:pPr>
        <w:spacing w:after="0" w:line="127"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2"/>
          <w:szCs w:val="12"/>
          <w:color w:val="auto"/>
        </w:rPr>
        <w:t>The Company had one non-cancellable operating lease for its facility in Tokyo, Japan, which was set to expire in November 2024. In April 2024, the Company entered into an agreement to extend the lease for an additional three years through November 2027. In connection with the amended lease agreement, the Company recorded an ROU asset and lease liability of $420,000.</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Operating lease cost consisted of the following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6400" w:type="dxa"/>
            <w:vAlign w:val="bottom"/>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3"/>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500" w:type="dxa"/>
            <w:vAlign w:val="bottom"/>
            <w:tcBorders>
              <w:bottom w:val="single" w:sz="8" w:color="auto"/>
            </w:tcBorders>
          </w:tcPr>
          <w:p>
            <w:pPr>
              <w:spacing w:after="0"/>
              <w:rPr>
                <w:sz w:val="11"/>
                <w:szCs w:val="11"/>
                <w:color w:val="auto"/>
              </w:rPr>
            </w:pPr>
          </w:p>
        </w:tc>
      </w:tr>
      <w:tr>
        <w:trPr>
          <w:trHeight w:val="106"/>
        </w:trPr>
        <w:tc>
          <w:tcPr>
            <w:tcW w:w="6400" w:type="dxa"/>
            <w:vAlign w:val="bottom"/>
            <w:tcBorders>
              <w:bottom w:val="single" w:sz="8" w:color="CCEEFF"/>
            </w:tcBorders>
          </w:tcPr>
          <w:p>
            <w:pPr>
              <w:spacing w:after="0"/>
              <w:rPr>
                <w:sz w:val="9"/>
                <w:szCs w:val="9"/>
                <w:color w:val="auto"/>
              </w:rPr>
            </w:pPr>
          </w:p>
        </w:tc>
        <w:tc>
          <w:tcPr>
            <w:tcW w:w="1480" w:type="dxa"/>
            <w:vAlign w:val="bottom"/>
            <w:tcBorders>
              <w:bottom w:val="single" w:sz="8" w:color="auto"/>
            </w:tcBorders>
          </w:tcPr>
          <w:p>
            <w:pPr>
              <w:jc w:val="right"/>
              <w:ind w:right="166"/>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820" w:type="dxa"/>
            <w:vAlign w:val="bottom"/>
            <w:tcBorders>
              <w:bottom w:val="single" w:sz="8" w:color="auto"/>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jc w:val="right"/>
              <w:ind w:right="1026"/>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r>
      <w:tr>
        <w:trPr>
          <w:trHeight w:val="106"/>
        </w:trPr>
        <w:tc>
          <w:tcPr>
            <w:tcW w:w="64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Operating lease cost</w:t>
            </w:r>
          </w:p>
        </w:tc>
        <w:tc>
          <w:tcPr>
            <w:tcW w:w="1480" w:type="dxa"/>
            <w:vAlign w:val="bottom"/>
            <w:shd w:val="clear" w:color="auto" w:fill="CCEEFF"/>
          </w:tcPr>
          <w:p>
            <w:pPr>
              <w:jc w:val="right"/>
              <w:ind w:right="136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1,448</w:t>
            </w:r>
          </w:p>
        </w:tc>
        <w:tc>
          <w:tcPr>
            <w:tcW w:w="220" w:type="dxa"/>
            <w:vAlign w:val="bottom"/>
            <w:shd w:val="clear" w:color="auto" w:fill="CCEEFF"/>
          </w:tcPr>
          <w:p>
            <w:pPr>
              <w:spacing w:after="0"/>
              <w:rPr>
                <w:sz w:val="9"/>
                <w:szCs w:val="9"/>
                <w:color w:val="auto"/>
              </w:rPr>
            </w:pPr>
          </w:p>
        </w:tc>
        <w:tc>
          <w:tcPr>
            <w:tcW w:w="88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5"/>
                <w:szCs w:val="5"/>
                <w:color w:val="auto"/>
                <w:w w:val="78"/>
              </w:rPr>
              <w:t>$</w:t>
            </w:r>
          </w:p>
        </w:tc>
        <w:tc>
          <w:tcPr>
            <w:tcW w:w="15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1,251</w:t>
            </w:r>
          </w:p>
        </w:tc>
      </w:tr>
      <w:tr>
        <w:trPr>
          <w:trHeight w:val="117"/>
        </w:trPr>
        <w:tc>
          <w:tcPr>
            <w:tcW w:w="6400" w:type="dxa"/>
            <w:vAlign w:val="bottom"/>
            <w:tcBorders>
              <w:bottom w:val="single" w:sz="8" w:color="CCEEFF"/>
            </w:tcBorders>
          </w:tcPr>
          <w:p>
            <w:pPr>
              <w:spacing w:after="0" w:line="117" w:lineRule="exact"/>
              <w:rPr>
                <w:sz w:val="20"/>
                <w:szCs w:val="20"/>
                <w:color w:val="auto"/>
              </w:rPr>
            </w:pPr>
            <w:r>
              <w:rPr>
                <w:rFonts w:ascii="Times New Roman" w:cs="Times New Roman" w:eastAsia="Times New Roman" w:hAnsi="Times New Roman"/>
                <w:sz w:val="11"/>
                <w:szCs w:val="11"/>
                <w:color w:val="auto"/>
              </w:rPr>
              <w:t>Variable lease cost</w:t>
            </w:r>
          </w:p>
        </w:tc>
        <w:tc>
          <w:tcPr>
            <w:tcW w:w="14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339</w:t>
            </w:r>
          </w:p>
        </w:tc>
        <w:tc>
          <w:tcPr>
            <w:tcW w:w="22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363</w:t>
            </w:r>
          </w:p>
        </w:tc>
      </w:tr>
      <w:tr>
        <w:trPr>
          <w:trHeight w:val="113"/>
        </w:trPr>
        <w:tc>
          <w:tcPr>
            <w:tcW w:w="6400" w:type="dxa"/>
            <w:vAlign w:val="bottom"/>
            <w:tcBorders>
              <w:bottom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Total lease cost</w:t>
            </w:r>
          </w:p>
        </w:tc>
        <w:tc>
          <w:tcPr>
            <w:tcW w:w="1480" w:type="dxa"/>
            <w:vAlign w:val="bottom"/>
            <w:tcBorders>
              <w:bottom w:val="single" w:sz="8" w:color="auto"/>
            </w:tcBorders>
            <w:shd w:val="clear" w:color="auto" w:fill="CCEEFF"/>
          </w:tcPr>
          <w:p>
            <w:pPr>
              <w:jc w:val="right"/>
              <w:ind w:right="136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1,787</w:t>
            </w:r>
          </w:p>
        </w:tc>
        <w:tc>
          <w:tcPr>
            <w:tcW w:w="22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5"/>
                <w:szCs w:val="5"/>
                <w:color w:val="auto"/>
                <w:w w:val="78"/>
              </w:rPr>
              <w:t>$</w:t>
            </w:r>
          </w:p>
        </w:tc>
        <w:tc>
          <w:tcPr>
            <w:tcW w:w="150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1,614</w:t>
            </w: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Cash paid for amounts included in the measurement of operating lease liabilities was $1.5 million and $1.4 million during the three months ended March 31, 2026 and 2025,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summarizes the maturities of the aggregate lease payments under the Company’s operating lease liabilities as of March 31, 2026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Year Ending December 31:</w:t>
            </w:r>
          </w:p>
        </w:tc>
        <w:tc>
          <w:tcPr>
            <w:tcW w:w="57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06"/>
        </w:trPr>
        <w:tc>
          <w:tcPr>
            <w:tcW w:w="40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2026</w:t>
            </w:r>
          </w:p>
        </w:tc>
        <w:tc>
          <w:tcPr>
            <w:tcW w:w="5700" w:type="dxa"/>
            <w:vAlign w:val="bottom"/>
            <w:shd w:val="clear" w:color="auto" w:fill="CCEEFF"/>
          </w:tcPr>
          <w:p>
            <w:pPr>
              <w:spacing w:after="0"/>
              <w:rPr>
                <w:sz w:val="9"/>
                <w:szCs w:val="9"/>
                <w:color w:val="auto"/>
              </w:rPr>
            </w:pPr>
          </w:p>
        </w:tc>
        <w:tc>
          <w:tcPr>
            <w:tcW w:w="340" w:type="dxa"/>
            <w:vAlign w:val="bottom"/>
            <w:shd w:val="clear" w:color="auto" w:fill="CCEEFF"/>
          </w:tcPr>
          <w:p>
            <w:pPr>
              <w:jc w:val="right"/>
              <w:ind w:right="2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5,044</w:t>
            </w:r>
          </w:p>
        </w:tc>
      </w:tr>
      <w:tr>
        <w:trPr>
          <w:trHeight w:val="117"/>
        </w:trPr>
        <w:tc>
          <w:tcPr>
            <w:tcW w:w="402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2027</w:t>
            </w:r>
          </w:p>
        </w:tc>
        <w:tc>
          <w:tcPr>
            <w:tcW w:w="5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6,846</w:t>
            </w:r>
          </w:p>
        </w:tc>
      </w:tr>
      <w:tr>
        <w:trPr>
          <w:trHeight w:val="117"/>
        </w:trPr>
        <w:tc>
          <w:tcPr>
            <w:tcW w:w="40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2028</w:t>
            </w:r>
          </w:p>
        </w:tc>
        <w:tc>
          <w:tcPr>
            <w:tcW w:w="5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7,066</w:t>
            </w:r>
          </w:p>
        </w:tc>
      </w:tr>
      <w:tr>
        <w:trPr>
          <w:trHeight w:val="117"/>
        </w:trPr>
        <w:tc>
          <w:tcPr>
            <w:tcW w:w="402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2029</w:t>
            </w:r>
          </w:p>
        </w:tc>
        <w:tc>
          <w:tcPr>
            <w:tcW w:w="5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6,811</w:t>
            </w:r>
          </w:p>
        </w:tc>
      </w:tr>
      <w:tr>
        <w:trPr>
          <w:trHeight w:val="117"/>
        </w:trPr>
        <w:tc>
          <w:tcPr>
            <w:tcW w:w="40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2030</w:t>
            </w:r>
          </w:p>
        </w:tc>
        <w:tc>
          <w:tcPr>
            <w:tcW w:w="5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5,150</w:t>
            </w:r>
          </w:p>
        </w:tc>
      </w:tr>
      <w:tr>
        <w:trPr>
          <w:trHeight w:val="117"/>
        </w:trPr>
        <w:tc>
          <w:tcPr>
            <w:tcW w:w="4020" w:type="dxa"/>
            <w:vAlign w:val="bottom"/>
            <w:tcBorders>
              <w:bottom w:val="single" w:sz="8" w:color="CCEEFF"/>
            </w:tcBorders>
          </w:tcPr>
          <w:p>
            <w:pPr>
              <w:spacing w:after="0" w:line="117" w:lineRule="exact"/>
              <w:rPr>
                <w:sz w:val="20"/>
                <w:szCs w:val="20"/>
                <w:color w:val="auto"/>
              </w:rPr>
            </w:pPr>
            <w:r>
              <w:rPr>
                <w:rFonts w:ascii="Times New Roman" w:cs="Times New Roman" w:eastAsia="Times New Roman" w:hAnsi="Times New Roman"/>
                <w:sz w:val="11"/>
                <w:szCs w:val="11"/>
                <w:color w:val="auto"/>
              </w:rPr>
              <w:t>2031 and after</w:t>
            </w:r>
          </w:p>
        </w:tc>
        <w:tc>
          <w:tcPr>
            <w:tcW w:w="570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696</w:t>
            </w:r>
          </w:p>
        </w:tc>
      </w:tr>
      <w:tr>
        <w:trPr>
          <w:trHeight w:val="106"/>
        </w:trPr>
        <w:tc>
          <w:tcPr>
            <w:tcW w:w="4020" w:type="dxa"/>
            <w:vAlign w:val="bottom"/>
            <w:shd w:val="clear" w:color="auto" w:fill="CCEEFF"/>
          </w:tcPr>
          <w:p>
            <w:pPr>
              <w:ind w:left="60"/>
              <w:spacing w:after="0" w:line="106" w:lineRule="exact"/>
              <w:rPr>
                <w:sz w:val="20"/>
                <w:szCs w:val="20"/>
                <w:color w:val="auto"/>
              </w:rPr>
            </w:pPr>
            <w:r>
              <w:rPr>
                <w:rFonts w:ascii="Times New Roman" w:cs="Times New Roman" w:eastAsia="Times New Roman" w:hAnsi="Times New Roman"/>
                <w:sz w:val="11"/>
                <w:szCs w:val="11"/>
                <w:color w:val="auto"/>
              </w:rPr>
              <w:t>Total minimum lease payments</w:t>
            </w:r>
          </w:p>
        </w:tc>
        <w:tc>
          <w:tcPr>
            <w:tcW w:w="5700" w:type="dxa"/>
            <w:vAlign w:val="bottom"/>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spacing w:after="0"/>
              <w:rPr>
                <w:sz w:val="9"/>
                <w:szCs w:val="9"/>
                <w:color w:val="auto"/>
              </w:rPr>
            </w:pPr>
          </w:p>
        </w:tc>
        <w:tc>
          <w:tcPr>
            <w:tcW w:w="124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31,613</w:t>
            </w:r>
          </w:p>
        </w:tc>
      </w:tr>
      <w:tr>
        <w:trPr>
          <w:trHeight w:val="106"/>
        </w:trPr>
        <w:tc>
          <w:tcPr>
            <w:tcW w:w="4020" w:type="dxa"/>
            <w:vAlign w:val="bottom"/>
            <w:tcBorders>
              <w:bottom w:val="single" w:sz="8" w:color="CCEEFF"/>
            </w:tcBorders>
          </w:tcPr>
          <w:p>
            <w:pPr>
              <w:ind w:left="140"/>
              <w:spacing w:after="0" w:line="106" w:lineRule="exact"/>
              <w:rPr>
                <w:sz w:val="20"/>
                <w:szCs w:val="20"/>
                <w:color w:val="auto"/>
              </w:rPr>
            </w:pPr>
            <w:r>
              <w:rPr>
                <w:rFonts w:ascii="Times New Roman" w:cs="Times New Roman" w:eastAsia="Times New Roman" w:hAnsi="Times New Roman"/>
                <w:sz w:val="11"/>
                <w:szCs w:val="11"/>
                <w:color w:val="auto"/>
              </w:rPr>
              <w:t>Less: Amount of lease payments representing interest</w:t>
            </w:r>
          </w:p>
        </w:tc>
        <w:tc>
          <w:tcPr>
            <w:tcW w:w="570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5,264</w:t>
            </w:r>
          </w:p>
        </w:tc>
      </w:tr>
      <w:tr>
        <w:trPr>
          <w:trHeight w:val="126"/>
        </w:trPr>
        <w:tc>
          <w:tcPr>
            <w:tcW w:w="4020" w:type="dxa"/>
            <w:vAlign w:val="bottom"/>
            <w:tcBorders>
              <w:bottom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Present value of future minimum lease payments</w:t>
            </w:r>
          </w:p>
        </w:tc>
        <w:tc>
          <w:tcPr>
            <w:tcW w:w="570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jc w:val="right"/>
              <w:ind w:right="2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26,349</w:t>
            </w:r>
          </w:p>
        </w:tc>
      </w:tr>
      <w:tr>
        <w:trPr>
          <w:trHeight w:val="104"/>
        </w:trPr>
        <w:tc>
          <w:tcPr>
            <w:tcW w:w="4020" w:type="dxa"/>
            <w:vAlign w:val="bottom"/>
            <w:tcBorders>
              <w:bottom w:val="single" w:sz="8" w:color="CCEEFF"/>
            </w:tcBorders>
          </w:tcPr>
          <w:p>
            <w:pPr>
              <w:ind w:left="140"/>
              <w:spacing w:after="0" w:line="104" w:lineRule="exact"/>
              <w:rPr>
                <w:sz w:val="20"/>
                <w:szCs w:val="20"/>
                <w:color w:val="auto"/>
              </w:rPr>
            </w:pPr>
            <w:r>
              <w:rPr>
                <w:rFonts w:ascii="Times New Roman" w:cs="Times New Roman" w:eastAsia="Times New Roman" w:hAnsi="Times New Roman"/>
                <w:sz w:val="11"/>
                <w:szCs w:val="11"/>
                <w:color w:val="auto"/>
              </w:rPr>
              <w:t>Less: Current lease liabilities</w:t>
            </w:r>
          </w:p>
        </w:tc>
        <w:tc>
          <w:tcPr>
            <w:tcW w:w="570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1"/>
                <w:szCs w:val="11"/>
                <w:color w:val="auto"/>
              </w:rPr>
              <w:t>6,382</w:t>
            </w:r>
          </w:p>
        </w:tc>
      </w:tr>
      <w:tr>
        <w:trPr>
          <w:trHeight w:val="126"/>
        </w:trPr>
        <w:tc>
          <w:tcPr>
            <w:tcW w:w="4020" w:type="dxa"/>
            <w:vAlign w:val="bottom"/>
            <w:tcBorders>
              <w:bottom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Long-term lease liabilities</w:t>
            </w:r>
          </w:p>
        </w:tc>
        <w:tc>
          <w:tcPr>
            <w:tcW w:w="570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jc w:val="right"/>
              <w:ind w:right="2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19,967</w:t>
            </w:r>
          </w:p>
        </w:tc>
      </w:tr>
      <w:tr>
        <w:trPr>
          <w:trHeight w:val="124"/>
        </w:trPr>
        <w:tc>
          <w:tcPr>
            <w:tcW w:w="4020" w:type="dxa"/>
            <w:vAlign w:val="bottom"/>
          </w:tcPr>
          <w:p>
            <w:pPr>
              <w:spacing w:after="0"/>
              <w:rPr>
                <w:sz w:val="10"/>
                <w:szCs w:val="10"/>
                <w:color w:val="auto"/>
              </w:rPr>
            </w:pPr>
          </w:p>
        </w:tc>
        <w:tc>
          <w:tcPr>
            <w:tcW w:w="5700" w:type="dxa"/>
            <w:vAlign w:val="bottom"/>
          </w:tcPr>
          <w:p>
            <w:pPr>
              <w:jc w:val="right"/>
              <w:ind w:right="3960"/>
              <w:spacing w:after="0" w:line="124" w:lineRule="exact"/>
              <w:rPr>
                <w:sz w:val="20"/>
                <w:szCs w:val="20"/>
                <w:color w:val="auto"/>
              </w:rPr>
            </w:pPr>
            <w:r>
              <w:rPr>
                <w:rFonts w:ascii="Times New Roman" w:cs="Times New Roman" w:eastAsia="Times New Roman" w:hAnsi="Times New Roman"/>
                <w:sz w:val="12"/>
                <w:szCs w:val="12"/>
                <w:color w:val="auto"/>
              </w:rPr>
              <w:t>23</w:t>
            </w: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205"/>
        </w:trPr>
        <w:tc>
          <w:tcPr>
            <w:tcW w:w="4020" w:type="dxa"/>
            <w:vAlign w:val="bottom"/>
            <w:tcBorders>
              <w:bottom w:val="single" w:sz="8" w:color="9A9A9A"/>
            </w:tcBorders>
          </w:tcPr>
          <w:p>
            <w:pPr>
              <w:spacing w:after="0"/>
              <w:rPr>
                <w:sz w:val="17"/>
                <w:szCs w:val="17"/>
                <w:color w:val="auto"/>
              </w:rPr>
            </w:pPr>
          </w:p>
        </w:tc>
        <w:tc>
          <w:tcPr>
            <w:tcW w:w="570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3"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jc w:val="center"/>
        <w:spacing w:after="0" w:line="234" w:lineRule="auto"/>
        <w:rPr>
          <w:sz w:val="20"/>
          <w:szCs w:val="20"/>
          <w:color w:val="auto"/>
        </w:rPr>
      </w:pPr>
      <w:r>
        <w:rPr>
          <w:rFonts w:ascii="Times New Roman" w:cs="Times New Roman" w:eastAsia="Times New Roman" w:hAnsi="Times New Roman"/>
          <w:sz w:val="19"/>
          <w:szCs w:val="19"/>
          <w:b w:val="1"/>
          <w:bCs w:val="1"/>
          <w:color w:val="auto"/>
        </w:rPr>
        <w:t>Heartflow, Inc.</w:t>
      </w:r>
    </w:p>
    <w:p>
      <w:pPr>
        <w:jc w:val="center"/>
        <w:spacing w:after="0" w:line="220" w:lineRule="auto"/>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summarizes additional information related to the Company’s operating leases (in thousands, except weighted-average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400" w:type="dxa"/>
            <w:vAlign w:val="bottom"/>
          </w:tcPr>
          <w:p>
            <w:pPr>
              <w:spacing w:after="0"/>
              <w:rPr>
                <w:sz w:val="11"/>
                <w:szCs w:val="11"/>
                <w:color w:val="auto"/>
              </w:rPr>
            </w:pPr>
          </w:p>
        </w:tc>
        <w:tc>
          <w:tcPr>
            <w:tcW w:w="1700" w:type="dxa"/>
            <w:vAlign w:val="bottom"/>
          </w:tcPr>
          <w:p>
            <w:pPr>
              <w:jc w:val="center"/>
              <w:ind w:left="546"/>
              <w:spacing w:after="0"/>
              <w:rPr>
                <w:sz w:val="20"/>
                <w:szCs w:val="20"/>
                <w:color w:val="auto"/>
              </w:rPr>
            </w:pPr>
            <w:r>
              <w:rPr>
                <w:rFonts w:ascii="Times New Roman" w:cs="Times New Roman" w:eastAsia="Times New Roman" w:hAnsi="Times New Roman"/>
                <w:sz w:val="11"/>
                <w:szCs w:val="11"/>
                <w:b w:val="1"/>
                <w:bCs w:val="1"/>
                <w:color w:val="auto"/>
                <w:w w:val="95"/>
              </w:rPr>
              <w:t>March 31,</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20" w:type="dxa"/>
            <w:vAlign w:val="bottom"/>
          </w:tcPr>
          <w:p>
            <w:pPr>
              <w:jc w:val="right"/>
              <w:ind w:right="826"/>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7"/>
        </w:trPr>
        <w:tc>
          <w:tcPr>
            <w:tcW w:w="6400" w:type="dxa"/>
            <w:vAlign w:val="bottom"/>
            <w:tcBorders>
              <w:bottom w:val="single" w:sz="8" w:color="CCEEFF"/>
            </w:tcBorders>
          </w:tcPr>
          <w:p>
            <w:pPr>
              <w:spacing w:after="0"/>
              <w:rPr>
                <w:sz w:val="11"/>
                <w:szCs w:val="11"/>
                <w:color w:val="auto"/>
              </w:rPr>
            </w:pPr>
          </w:p>
        </w:tc>
        <w:tc>
          <w:tcPr>
            <w:tcW w:w="170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rPr>
              <w:t>2026</w:t>
            </w: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jc w:val="right"/>
              <w:ind w:right="1026"/>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06"/>
        </w:trPr>
        <w:tc>
          <w:tcPr>
            <w:tcW w:w="64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Right-of-use asset</w:t>
            </w:r>
          </w:p>
        </w:tc>
        <w:tc>
          <w:tcPr>
            <w:tcW w:w="1700" w:type="dxa"/>
            <w:vAlign w:val="bottom"/>
            <w:shd w:val="clear" w:color="auto" w:fill="CCEEFF"/>
          </w:tcPr>
          <w:p>
            <w:pPr>
              <w:jc w:val="right"/>
              <w:ind w:right="158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14,407</w:t>
            </w:r>
          </w:p>
        </w:tc>
        <w:tc>
          <w:tcPr>
            <w:tcW w:w="220" w:type="dxa"/>
            <w:vAlign w:val="bottom"/>
            <w:shd w:val="clear" w:color="auto" w:fill="CCEEFF"/>
          </w:tcPr>
          <w:p>
            <w:pPr>
              <w:spacing w:after="0"/>
              <w:rPr>
                <w:sz w:val="9"/>
                <w:szCs w:val="9"/>
                <w:color w:val="auto"/>
              </w:rPr>
            </w:pPr>
          </w:p>
        </w:tc>
        <w:tc>
          <w:tcPr>
            <w:tcW w:w="46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5"/>
                <w:szCs w:val="5"/>
                <w:color w:val="auto"/>
                <w:w w:val="78"/>
              </w:rPr>
              <w:t>$</w:t>
            </w:r>
          </w:p>
        </w:tc>
        <w:tc>
          <w:tcPr>
            <w:tcW w:w="192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17,488</w:t>
            </w:r>
          </w:p>
        </w:tc>
      </w:tr>
      <w:tr>
        <w:trPr>
          <w:trHeight w:val="117"/>
        </w:trPr>
        <w:tc>
          <w:tcPr>
            <w:tcW w:w="640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Weighted average remaining lease term (years)</w:t>
            </w:r>
          </w:p>
        </w:tc>
        <w:tc>
          <w:tcPr>
            <w:tcW w:w="1700" w:type="dxa"/>
            <w:vAlign w:val="bottom"/>
          </w:tcPr>
          <w:p>
            <w:pPr>
              <w:spacing w:after="0"/>
              <w:rPr>
                <w:sz w:val="10"/>
                <w:szCs w:val="10"/>
                <w:color w:val="auto"/>
              </w:rPr>
            </w:pPr>
          </w:p>
        </w:tc>
        <w:tc>
          <w:tcPr>
            <w:tcW w:w="8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4.5</w:t>
            </w:r>
          </w:p>
        </w:tc>
        <w:tc>
          <w:tcPr>
            <w:tcW w:w="460" w:type="dxa"/>
            <w:vAlign w:val="bottom"/>
          </w:tcPr>
          <w:p>
            <w:pPr>
              <w:spacing w:after="0"/>
              <w:rPr>
                <w:sz w:val="10"/>
                <w:szCs w:val="10"/>
                <w:color w:val="auto"/>
              </w:rPr>
            </w:pPr>
          </w:p>
        </w:tc>
        <w:tc>
          <w:tcPr>
            <w:tcW w:w="19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4.3</w:t>
            </w:r>
          </w:p>
        </w:tc>
      </w:tr>
      <w:tr>
        <w:trPr>
          <w:trHeight w:val="117"/>
        </w:trPr>
        <w:tc>
          <w:tcPr>
            <w:tcW w:w="64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Weighted average discount rate (percent)</w:t>
            </w:r>
          </w:p>
        </w:tc>
        <w:tc>
          <w:tcPr>
            <w:tcW w:w="17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8.7%</w:t>
            </w:r>
          </w:p>
        </w:tc>
        <w:tc>
          <w:tcPr>
            <w:tcW w:w="460" w:type="dxa"/>
            <w:vAlign w:val="bottom"/>
            <w:shd w:val="clear" w:color="auto" w:fill="CCEEFF"/>
          </w:tcPr>
          <w:p>
            <w:pPr>
              <w:spacing w:after="0"/>
              <w:rPr>
                <w:sz w:val="10"/>
                <w:szCs w:val="10"/>
                <w:color w:val="auto"/>
              </w:rPr>
            </w:pPr>
          </w:p>
        </w:tc>
        <w:tc>
          <w:tcPr>
            <w:tcW w:w="19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8.6%</w:t>
            </w: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Commitments and Contingencies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Royalty Commitments</w:t>
      </w:r>
    </w:p>
    <w:p>
      <w:pPr>
        <w:spacing w:after="0" w:line="127"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2"/>
          <w:szCs w:val="12"/>
          <w:color w:val="auto"/>
        </w:rPr>
        <w:t>The Company has entered into various exclusive technology licensing agreements and other software licensing agreements. The terms of the agreements require the Company to make annual royalty payments in fixed amounts as well as certain milestone and revenue-based payments. The revenue-based royalty percentage is in the low single digits, subject to reductions and offsets in certain circumstances with a minimum royalty commitment of $50,000 annually. Future minimum royalty commitments due under the terms of these exclusive agreements as of March 31, 2026 are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9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Year Ending December 31:</w:t>
            </w:r>
          </w:p>
        </w:tc>
        <w:tc>
          <w:tcPr>
            <w:tcW w:w="44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ind w:right="766"/>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06"/>
        </w:trPr>
        <w:tc>
          <w:tcPr>
            <w:tcW w:w="92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2026</w:t>
            </w:r>
          </w:p>
        </w:tc>
        <w:tc>
          <w:tcPr>
            <w:tcW w:w="440" w:type="dxa"/>
            <w:vAlign w:val="bottom"/>
            <w:shd w:val="clear" w:color="auto" w:fill="CCEEFF"/>
          </w:tcPr>
          <w:p>
            <w:pPr>
              <w:jc w:val="right"/>
              <w:ind w:right="3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w:t>
            </w:r>
          </w:p>
        </w:tc>
      </w:tr>
      <w:tr>
        <w:trPr>
          <w:trHeight w:val="117"/>
        </w:trPr>
        <w:tc>
          <w:tcPr>
            <w:tcW w:w="928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2027</w:t>
            </w:r>
          </w:p>
        </w:tc>
        <w:tc>
          <w:tcPr>
            <w:tcW w:w="440" w:type="dxa"/>
            <w:vAlign w:val="bottom"/>
          </w:tcPr>
          <w:p>
            <w:pPr>
              <w:spacing w:after="0"/>
              <w:rPr>
                <w:sz w:val="10"/>
                <w:szCs w:val="10"/>
                <w:color w:val="auto"/>
              </w:rPr>
            </w:pPr>
          </w:p>
        </w:tc>
        <w:tc>
          <w:tcPr>
            <w:tcW w:w="1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50</w:t>
            </w:r>
          </w:p>
        </w:tc>
      </w:tr>
      <w:tr>
        <w:trPr>
          <w:trHeight w:val="117"/>
        </w:trPr>
        <w:tc>
          <w:tcPr>
            <w:tcW w:w="92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2028</w:t>
            </w:r>
          </w:p>
        </w:tc>
        <w:tc>
          <w:tcPr>
            <w:tcW w:w="440" w:type="dxa"/>
            <w:vAlign w:val="bottom"/>
            <w:shd w:val="clear" w:color="auto" w:fill="CCEEFF"/>
          </w:tcPr>
          <w:p>
            <w:pPr>
              <w:spacing w:after="0"/>
              <w:rPr>
                <w:sz w:val="10"/>
                <w:szCs w:val="10"/>
                <w:color w:val="auto"/>
              </w:rPr>
            </w:pPr>
          </w:p>
        </w:tc>
        <w:tc>
          <w:tcPr>
            <w:tcW w:w="15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50</w:t>
            </w:r>
          </w:p>
        </w:tc>
      </w:tr>
      <w:tr>
        <w:trPr>
          <w:trHeight w:val="117"/>
        </w:trPr>
        <w:tc>
          <w:tcPr>
            <w:tcW w:w="928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2029</w:t>
            </w:r>
          </w:p>
        </w:tc>
        <w:tc>
          <w:tcPr>
            <w:tcW w:w="440" w:type="dxa"/>
            <w:vAlign w:val="bottom"/>
          </w:tcPr>
          <w:p>
            <w:pPr>
              <w:spacing w:after="0"/>
              <w:rPr>
                <w:sz w:val="10"/>
                <w:szCs w:val="10"/>
                <w:color w:val="auto"/>
              </w:rPr>
            </w:pPr>
          </w:p>
        </w:tc>
        <w:tc>
          <w:tcPr>
            <w:tcW w:w="1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50</w:t>
            </w:r>
          </w:p>
        </w:tc>
      </w:tr>
      <w:tr>
        <w:trPr>
          <w:trHeight w:val="117"/>
        </w:trPr>
        <w:tc>
          <w:tcPr>
            <w:tcW w:w="92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2030</w:t>
            </w:r>
          </w:p>
        </w:tc>
        <w:tc>
          <w:tcPr>
            <w:tcW w:w="440" w:type="dxa"/>
            <w:vAlign w:val="bottom"/>
            <w:shd w:val="clear" w:color="auto" w:fill="CCEEFF"/>
          </w:tcPr>
          <w:p>
            <w:pPr>
              <w:spacing w:after="0"/>
              <w:rPr>
                <w:sz w:val="10"/>
                <w:szCs w:val="10"/>
                <w:color w:val="auto"/>
              </w:rPr>
            </w:pPr>
          </w:p>
        </w:tc>
        <w:tc>
          <w:tcPr>
            <w:tcW w:w="15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50</w:t>
            </w:r>
          </w:p>
        </w:tc>
      </w:tr>
      <w:tr>
        <w:trPr>
          <w:trHeight w:val="117"/>
        </w:trPr>
        <w:tc>
          <w:tcPr>
            <w:tcW w:w="9280" w:type="dxa"/>
            <w:vAlign w:val="bottom"/>
            <w:tcBorders>
              <w:bottom w:val="single" w:sz="8" w:color="CCEEFF"/>
            </w:tcBorders>
          </w:tcPr>
          <w:p>
            <w:pPr>
              <w:ind w:left="60"/>
              <w:spacing w:after="0" w:line="117" w:lineRule="exact"/>
              <w:rPr>
                <w:sz w:val="20"/>
                <w:szCs w:val="20"/>
                <w:color w:val="auto"/>
              </w:rPr>
            </w:pPr>
            <w:r>
              <w:rPr>
                <w:rFonts w:ascii="Times New Roman" w:cs="Times New Roman" w:eastAsia="Times New Roman" w:hAnsi="Times New Roman"/>
                <w:sz w:val="11"/>
                <w:szCs w:val="11"/>
                <w:color w:val="auto"/>
              </w:rPr>
              <w:t>Thereafter</w:t>
            </w:r>
          </w:p>
        </w:tc>
        <w:tc>
          <w:tcPr>
            <w:tcW w:w="4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50</w:t>
            </w:r>
          </w:p>
        </w:tc>
      </w:tr>
      <w:tr>
        <w:trPr>
          <w:trHeight w:val="113"/>
        </w:trPr>
        <w:tc>
          <w:tcPr>
            <w:tcW w:w="9280" w:type="dxa"/>
            <w:vAlign w:val="bottom"/>
            <w:tcBorders>
              <w:bottom w:val="single" w:sz="8" w:color="CCEEFF"/>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jc w:val="right"/>
              <w:ind w:right="3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250</w:t>
            </w:r>
          </w:p>
        </w:tc>
      </w:tr>
    </w:tbl>
    <w:p>
      <w:pPr>
        <w:spacing w:after="0" w:line="106" w:lineRule="exact"/>
        <w:rPr>
          <w:sz w:val="20"/>
          <w:szCs w:val="20"/>
          <w:color w:val="auto"/>
        </w:rPr>
      </w:pPr>
    </w:p>
    <w:p>
      <w:pPr>
        <w:ind w:right="540"/>
        <w:spacing w:after="0" w:line="264" w:lineRule="auto"/>
        <w:rPr>
          <w:sz w:val="20"/>
          <w:szCs w:val="20"/>
          <w:color w:val="auto"/>
        </w:rPr>
      </w:pPr>
      <w:r>
        <w:rPr>
          <w:rFonts w:ascii="Times New Roman" w:cs="Times New Roman" w:eastAsia="Times New Roman" w:hAnsi="Times New Roman"/>
          <w:sz w:val="12"/>
          <w:szCs w:val="12"/>
          <w:color w:val="auto"/>
        </w:rPr>
        <w:t>The Company incurred royalty expense of $568,000 and $414,000 within cost of revenue on the condensed consolidated statements of operations and comprehensive loss for the three months ended March 31, 2026 and 2025, respectively.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Purchase Commitments</w:t>
      </w:r>
    </w:p>
    <w:p>
      <w:pPr>
        <w:spacing w:after="0" w:line="118"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2"/>
          <w:szCs w:val="12"/>
          <w:color w:val="auto"/>
        </w:rPr>
        <w:t>Open purchase commitments consist of agreements to purchase goods and services that are entered into in the ordinary course of business. These amounts were not recorded as liabilities on the condensed consolidated balance sheets as of March 31, 2026 and December 31, 2025 as the Company had not yet received the related goods or services. As of March 31, 2026 , the Company had estimated open purchase commitments for goods and services of $6.0 million over the next three years.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Contingencies</w:t>
      </w:r>
    </w:p>
    <w:p>
      <w:pPr>
        <w:spacing w:after="0" w:line="127"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2"/>
          <w:szCs w:val="12"/>
          <w:color w:val="auto"/>
        </w:rPr>
        <w:t>The Company is not involved in any pending legal proceedings that it believes could have a material adverse effect on its financial condition, results of operations or cash flows, except as discussed below. The Company may pursue or be subject to litigation and other legal actions from time to time arising in the ordinary course of business, including intellectual property, products liability, breach of contract, commercial, employment, and other similar claims which could have an adverse impact on its reputation, business and financial condition and divert the attention of its management from the operation of its business. The Company discloses information regarding each material claim where the likelihood of a loss contingency is probable or reasonably possible and accrues a liability for such matters when it is probable that a loss may be incurred, and such losses can be reasonably estimated. There were no contingent liabilities requiring accrual or disclosures as of March 31, 2026 and December 31, 2025.</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129540</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3"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jc w:val="center"/>
        <w:ind w:right="-39"/>
        <w:spacing w:after="0" w:line="234" w:lineRule="auto"/>
        <w:rPr>
          <w:sz w:val="20"/>
          <w:szCs w:val="20"/>
          <w:color w:val="auto"/>
        </w:rPr>
      </w:pPr>
      <w:r>
        <w:rPr>
          <w:rFonts w:ascii="Times New Roman" w:cs="Times New Roman" w:eastAsia="Times New Roman" w:hAnsi="Times New Roman"/>
          <w:sz w:val="19"/>
          <w:szCs w:val="19"/>
          <w:b w:val="1"/>
          <w:bCs w:val="1"/>
          <w:color w:val="auto"/>
        </w:rPr>
        <w:t>Heartflow, Inc.</w:t>
      </w:r>
    </w:p>
    <w:p>
      <w:pPr>
        <w:jc w:val="center"/>
        <w:ind w:right="-39"/>
        <w:spacing w:after="0" w:line="220" w:lineRule="auto"/>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Civil Investigative Demand Investigation</w:t>
      </w:r>
    </w:p>
    <w:p>
      <w:pPr>
        <w:spacing w:after="0" w:line="12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2"/>
          <w:szCs w:val="12"/>
          <w:color w:val="auto"/>
        </w:rPr>
        <w:t>In October 2025, the Company and certain of its employees received civil investigative demands (the “CID”) from the U.S. Department of Justice, Civil Division, in connection with an investigation under the federal Anti-Kickback Statute and Civil False Claims Act (the “Investigation”). The CID requests information, documents, and testimony focused on the Company’s financial and contractual arrangements with providers and its sales and marketing activities. The Company is cooperating with the Investigation and is unable to express a view at this time regarding the likely duration, or ultimate outcome, of the Investigation or estimate the possibility of, or amount or range of, any possible financial impact. Depending on the outcome of the Investigation, there may be a material impact on the Company’s business, results of operations, financial condition, or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Indemnifications</w:t>
      </w:r>
    </w:p>
    <w:p>
      <w:pPr>
        <w:spacing w:after="0" w:line="127" w:lineRule="exact"/>
        <w:rPr>
          <w:sz w:val="20"/>
          <w:szCs w:val="20"/>
          <w:color w:val="auto"/>
        </w:rPr>
      </w:pPr>
    </w:p>
    <w:p>
      <w:pPr>
        <w:ind w:right="280"/>
        <w:spacing w:after="0" w:line="235" w:lineRule="auto"/>
        <w:rPr>
          <w:sz w:val="20"/>
          <w:szCs w:val="20"/>
          <w:color w:val="auto"/>
        </w:rPr>
      </w:pPr>
      <w:r>
        <w:rPr>
          <w:rFonts w:ascii="Times New Roman" w:cs="Times New Roman" w:eastAsia="Times New Roman" w:hAnsi="Times New Roman"/>
          <w:sz w:val="12"/>
          <w:szCs w:val="12"/>
          <w:color w:val="auto"/>
        </w:rPr>
        <w:t>The Company provides general indemnifications to management and the members of the Board of Directors when they act, in good faith, in the best interest of the Company. The Company is unable to develop an estimate of the maximum potential amount of future payments that could potentially result from any hypothetical future claim but expects the risk of having to make any payments under these general business indemnifications to be remote. The Company also maintains insurance coverage that would generally enable the Company to recover a portion of any future amounts paid.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Term Loan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2024 Credit Agreement</w:t>
      </w:r>
    </w:p>
    <w:p>
      <w:pPr>
        <w:spacing w:after="0" w:line="127"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12"/>
          <w:szCs w:val="12"/>
          <w:color w:val="auto"/>
        </w:rPr>
        <w:t>On June 14, 2024, the Company entered into a Credit Agreement and Guaranty (the “2024 Credit Agreement”) with Hayfin Services, LLP (“Hayfin”) for a $138.1 million term loan (the “2024 Term Loan”) to refinance its outstanding loan obligations under the 2021 Credit Agreement, as amended (the “2021 Credit Agreement”). In addition, in connection with the 2024 Term Loan, the Company entered into several other adjoining agreements with Hayfin. The 2024 Term Loan extended the maturity date from January 19, 2026 to June 14, 2028. The 2024 Credit Agreement was accounted for as a debt modification for accounting purposes.</w:t>
      </w:r>
    </w:p>
    <w:p>
      <w:pPr>
        <w:spacing w:after="0" w:line="108"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2"/>
          <w:szCs w:val="12"/>
          <w:color w:val="auto"/>
        </w:rPr>
        <w:t>On January 24, 2025, in connection with the issuance of the 2025 Convertible Notes, the Company entered into Amendment No. 1 to the 2024 Credit Agreement, in which Hayfin converted $23.0 million of principal under the 2024 Term Loan to 2025 Convertible Notes under the same terms as the other purchasers of the 2025 Convertible Notes. The amendment was accounted for as a debt modification for accounting purposes.</w:t>
      </w:r>
    </w:p>
    <w:p>
      <w:pPr>
        <w:spacing w:after="0" w:line="102"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2"/>
          <w:szCs w:val="12"/>
          <w:color w:val="auto"/>
        </w:rPr>
        <w:t>On August 18, 2025, the Company repaid $55.0 million of indebtedness outstanding under the 2024 Credit Agreement for which it was obligated to pay in connection with the completion of the Company’s IPO and approximately $5.8 million in fees consisting of a 3.0% exit fee and a 3.0% early prepayment fee due under the 2021 Credit Agreement, as amended.</w:t>
      </w:r>
    </w:p>
    <w:p>
      <w:pPr>
        <w:spacing w:after="0" w:line="8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2"/>
          <w:szCs w:val="12"/>
          <w:color w:val="auto"/>
        </w:rPr>
        <w:t>On August 22, 2025, the Company prepaid in full all outstanding amounts under, and terminated, the 2024 Credit Agreement, in the aggregate principal amount of $60.1 million plus accrued interest of $1.0 million. The Company did not incur exit or prepayment fees in connection with the termination of the 2024 Credit Agreement.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w:t>
      </w:r>
    </w:p>
    <w:p>
      <w:pPr>
        <w:spacing w:after="0" w:line="118" w:lineRule="exact"/>
        <w:rPr>
          <w:sz w:val="20"/>
          <w:szCs w:val="20"/>
          <w:color w:val="auto"/>
        </w:rPr>
      </w:pPr>
    </w:p>
    <w:p>
      <w:pPr>
        <w:jc w:val="both"/>
        <w:ind w:right="100"/>
        <w:spacing w:after="0" w:line="239" w:lineRule="auto"/>
        <w:rPr>
          <w:sz w:val="20"/>
          <w:szCs w:val="20"/>
          <w:color w:val="auto"/>
        </w:rPr>
      </w:pPr>
      <w:r>
        <w:rPr>
          <w:rFonts w:ascii="Times New Roman" w:cs="Times New Roman" w:eastAsia="Times New Roman" w:hAnsi="Times New Roman"/>
          <w:sz w:val="12"/>
          <w:szCs w:val="12"/>
          <w:color w:val="auto"/>
        </w:rPr>
        <w:t>During its term, the 2024 Term Loan bore interest at a floating per annum rate in an amount equal to the sum of (i) 7.0% (or 6.0% if the alternative base rate (“ABR”) was in effect) plus (ii) the greater of (x) the forward-looking term rate based on the Secured Overnight Financing Rate (“SOFR”) for a respective tenor in effect on such day (or the alternative base rate, if applicable), and (y) 2.0%. The ABR equaled the sum of (i) 6.0% plus (ii) the greater of (1) the Wall Street Journal Prime Rate, plus 0.5%, (2) the Federal Reserve Bank of New York rate plus 0.5% or (3) the CBA Term SOFR for one month tenor plus 1.0%. The Company had an option to pay interest in-kind at the rate equal to the cash interest rate plus 1.0%.</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jc w:val="center"/>
        <w:ind w:right="-39"/>
        <w:spacing w:after="0" w:line="234" w:lineRule="auto"/>
        <w:rPr>
          <w:sz w:val="20"/>
          <w:szCs w:val="20"/>
          <w:color w:val="auto"/>
        </w:rPr>
      </w:pPr>
      <w:r>
        <w:rPr>
          <w:rFonts w:ascii="Times New Roman" w:cs="Times New Roman" w:eastAsia="Times New Roman" w:hAnsi="Times New Roman"/>
          <w:sz w:val="19"/>
          <w:szCs w:val="19"/>
          <w:b w:val="1"/>
          <w:bCs w:val="1"/>
          <w:color w:val="auto"/>
        </w:rPr>
        <w:t>Heartflow, Inc.</w:t>
      </w:r>
    </w:p>
    <w:p>
      <w:pPr>
        <w:jc w:val="center"/>
        <w:ind w:right="-39"/>
        <w:spacing w:after="0" w:line="220" w:lineRule="auto"/>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Debt Issuance Costs and Debt Discount</w:t>
      </w:r>
    </w:p>
    <w:p>
      <w:pPr>
        <w:spacing w:after="0" w:line="127"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12"/>
          <w:szCs w:val="12"/>
          <w:color w:val="auto"/>
        </w:rPr>
        <w:t>Debt issuance costs include third-party costs incurred in connection with the original Credit Agreement. Debt discount includes fees paid to the lender, warrants issued to the lender and the embedded derivative liability as described below.</w:t>
      </w:r>
    </w:p>
    <w:p>
      <w:pPr>
        <w:spacing w:after="0" w:line="102"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2"/>
          <w:szCs w:val="12"/>
          <w:color w:val="auto"/>
        </w:rPr>
        <w:t>In connection with the conversion of $23.0 million of principal under the 2024 Term Loan to 2025 Convertible Notes under Amendment No. 1 to the 2024 Credit Agreement in January 2025, $239,000 of pro-rata debt discount under the 2024 Term Loan was reclassified as a debt discount under the 2025 Convertible Notes.</w:t>
      </w:r>
    </w:p>
    <w:p>
      <w:pPr>
        <w:spacing w:after="0" w:line="102"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2"/>
          <w:szCs w:val="12"/>
          <w:color w:val="auto"/>
        </w:rPr>
        <w:t>Prior to the term loan repayment in August 2025, the debt issuance costs and debt discount were classified as an offset to the Term Loan on the condensed consolidated balance sheets, and was accreted over the loan term using the effective interest method.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Convertible Notes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2025 Convertible Notes</w:t>
      </w:r>
    </w:p>
    <w:p>
      <w:pPr>
        <w:spacing w:after="0" w:line="127"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2"/>
          <w:szCs w:val="12"/>
          <w:color w:val="auto"/>
        </w:rPr>
        <w:t>In January and March 2025, the Company issued convertible promissory notes to Requisite Holders in the aggregate amount of $98.3 million, which was comprised of $74.0 million in principal amount of notes issued for cash consideration, $1.3 million in principal amount of notes issued in lieu of cash compensation to certain employees and $23.0 million in principal amount of notes issued from the conversion of principal under the 2024 Term Loan. Net cash proceeds was $72.8 million after deducting $1.2 million of debt issuance costs.</w:t>
      </w:r>
    </w:p>
    <w:p>
      <w:pPr>
        <w:spacing w:after="0" w:line="106"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2"/>
          <w:szCs w:val="12"/>
          <w:color w:val="auto"/>
        </w:rPr>
        <w:t>Prior to its conversion upon the Company’s IPO, the 2025 Convertible Notes were due and payable in full 48 months from the issue date and did not accrue interest for one year following the date of issuance. Upon completion of the Company’s IPO in August 2025, the 2025 Convertible Notes automatically converted into 6,470,743 shares of the Company’s common stock at $15.20 per share, which was a 20% discount to the IPO price.</w:t>
      </w:r>
    </w:p>
    <w:p>
      <w:pPr>
        <w:spacing w:after="0" w:line="102"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12"/>
          <w:szCs w:val="12"/>
          <w:color w:val="auto"/>
        </w:rPr>
        <w:t>Prior to its conversion upon the Company’s IPO, the 2025 Convertible Notes contained embedded derivative features, including conversion upon a change in control and automatic conversion upon completion of a qualified IPO, that were required to be bifurcated and accounted for separately as a single derivative instrument. The issuance date estimated fair values of the derivative liability was $11.1 million and $20.8 million in January and March 2025, respectively, which was accounted for as a debt discount. See Note 13 for additional information. The debt issuance costs and debt discount were classified as an offset to the 2025 Convertible Notes on the condensed consolidated balance sheets, and were accreted over the loan term using the effective interest method. Upon the closing of the Company’s IPO, the remaining unamortized debt discount and debt issuance costs of $28.8 million were reclassified to additional paid-in capital.</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Redeemable Convertible Preferred Stock</w:t>
      </w:r>
    </w:p>
    <w:p>
      <w:pPr>
        <w:spacing w:after="0" w:line="1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Upon the closing of the IPO, all shares of convertible preferred stock then outstanding converted into 51,226,348 shares of common stock. Shares of Series A, Series B-1, Series B-2, Series C, Series D, Series E, Series F and Series F-1 outstanding redeemable convertible preferred stock converted into shares of common stock on a 0.342466:1, 0.403088:1, 0.403088:1, 0.576386:1, 0.646673:1, 0.695098:1, 0.342466:1, and 0.342466:1 basis, as adjusted for the Reverse Stock Split, respectively. As of March 31, 2026, the Company does not have any convertible preferred stock issued or outstanding.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Stockholders’ Equity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Preferred Stock</w:t>
      </w:r>
    </w:p>
    <w:p>
      <w:pPr>
        <w:spacing w:after="0" w:line="116"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2"/>
          <w:szCs w:val="12"/>
          <w:color w:val="auto"/>
        </w:rPr>
        <w:t>At March 31, 2026, the Company’s certificate of incorporation, as amended and restated, authorizes the Company to issue up to 50,000,000 shares of preferred stock with $0.001 par value per share, of which no shares were issued and outstanding.</w:t>
      </w:r>
    </w:p>
    <w:p>
      <w:pPr>
        <w:jc w:val="center"/>
        <w:ind w:right="-39"/>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127635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jc w:val="center"/>
        <w:spacing w:after="0" w:line="234" w:lineRule="auto"/>
        <w:rPr>
          <w:sz w:val="20"/>
          <w:szCs w:val="20"/>
          <w:color w:val="auto"/>
        </w:rPr>
      </w:pPr>
      <w:r>
        <w:rPr>
          <w:rFonts w:ascii="Times New Roman" w:cs="Times New Roman" w:eastAsia="Times New Roman" w:hAnsi="Times New Roman"/>
          <w:sz w:val="19"/>
          <w:szCs w:val="19"/>
          <w:b w:val="1"/>
          <w:bCs w:val="1"/>
          <w:color w:val="auto"/>
        </w:rPr>
        <w:t>Heartflow, Inc.</w:t>
      </w:r>
    </w:p>
    <w:p>
      <w:pPr>
        <w:jc w:val="center"/>
        <w:spacing w:after="0" w:line="220" w:lineRule="auto"/>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Common Stock</w:t>
      </w:r>
    </w:p>
    <w:p>
      <w:pPr>
        <w:spacing w:after="0" w:line="125" w:lineRule="exact"/>
        <w:rPr>
          <w:sz w:val="20"/>
          <w:szCs w:val="20"/>
          <w:color w:val="auto"/>
        </w:rPr>
      </w:pPr>
    </w:p>
    <w:p>
      <w:pPr>
        <w:jc w:val="both"/>
        <w:ind w:right="200"/>
        <w:spacing w:after="0" w:line="241" w:lineRule="auto"/>
        <w:rPr>
          <w:sz w:val="20"/>
          <w:szCs w:val="20"/>
          <w:color w:val="auto"/>
        </w:rPr>
      </w:pPr>
      <w:r>
        <w:rPr>
          <w:rFonts w:ascii="Times New Roman" w:cs="Times New Roman" w:eastAsia="Times New Roman" w:hAnsi="Times New Roman"/>
          <w:sz w:val="12"/>
          <w:szCs w:val="12"/>
          <w:color w:val="auto"/>
        </w:rPr>
        <w:t>At March 31, 2026, under the Company’s Amended and Restated Certificate of Incorporation, the Company is authorized to issue 250,000,000 shares of $0.001 par value common stock, of which 86,105,290 shares were issued and outstanding. The holders of common stock are also entitled to receive dividends whenever funds are legally available, when and if declared by the Board of Directors. As of March 31, 2026, no dividends have been declared to date. Each share of common stock is entitled to one vote.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Common stock reserved for future issuance, on an as-converted basis,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800" w:type="dxa"/>
            <w:vAlign w:val="bottom"/>
          </w:tcPr>
          <w:p>
            <w:pPr>
              <w:spacing w:after="0"/>
              <w:rPr>
                <w:sz w:val="11"/>
                <w:szCs w:val="11"/>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1"/>
                <w:szCs w:val="11"/>
                <w:b w:val="1"/>
                <w:bCs w:val="1"/>
                <w:color w:val="auto"/>
                <w:w w:val="95"/>
              </w:rPr>
              <w:t>March 31,</w:t>
            </w: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60" w:type="dxa"/>
            <w:vAlign w:val="bottom"/>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7"/>
        </w:trPr>
        <w:tc>
          <w:tcPr>
            <w:tcW w:w="8800" w:type="dxa"/>
            <w:vAlign w:val="bottom"/>
            <w:gridSpan w:val="2"/>
          </w:tcPr>
          <w:p>
            <w:pPr>
              <w:ind w:left="8460"/>
              <w:spacing w:after="0"/>
              <w:rPr>
                <w:sz w:val="20"/>
                <w:szCs w:val="20"/>
                <w:color w:val="auto"/>
              </w:rPr>
            </w:pPr>
            <w:r>
              <w:rPr>
                <w:rFonts w:ascii="Times New Roman" w:cs="Times New Roman" w:eastAsia="Times New Roman" w:hAnsi="Times New Roman"/>
                <w:sz w:val="11"/>
                <w:szCs w:val="11"/>
                <w:b w:val="1"/>
                <w:bCs w:val="1"/>
                <w:color w:val="auto"/>
              </w:rPr>
              <w:t>2026</w:t>
            </w: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60" w:type="dxa"/>
            <w:vAlign w:val="bottom"/>
          </w:tcPr>
          <w:p>
            <w:pPr>
              <w:jc w:val="right"/>
              <w:ind w:right="606"/>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06"/>
        </w:trPr>
        <w:tc>
          <w:tcPr>
            <w:tcW w:w="780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Options to purchase common stock</w:t>
            </w:r>
          </w:p>
        </w:tc>
        <w:tc>
          <w:tcPr>
            <w:tcW w:w="10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96"/>
              </w:rPr>
              <w:t>10,227,211</w:t>
            </w:r>
          </w:p>
        </w:tc>
        <w:tc>
          <w:tcPr>
            <w:tcW w:w="420" w:type="dxa"/>
            <w:vAlign w:val="bottom"/>
            <w:tcBorders>
              <w:top w:val="single" w:sz="8" w:color="CCEEFF"/>
            </w:tcBorders>
            <w:shd w:val="clear" w:color="auto" w:fill="CCEEFF"/>
          </w:tcPr>
          <w:p>
            <w:pPr>
              <w:spacing w:after="0"/>
              <w:rPr>
                <w:sz w:val="9"/>
                <w:szCs w:val="9"/>
                <w:color w:val="auto"/>
              </w:rPr>
            </w:pPr>
          </w:p>
        </w:tc>
        <w:tc>
          <w:tcPr>
            <w:tcW w:w="156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10,003,254</w:t>
            </w:r>
          </w:p>
        </w:tc>
      </w:tr>
      <w:tr>
        <w:trPr>
          <w:trHeight w:val="117"/>
        </w:trPr>
        <w:tc>
          <w:tcPr>
            <w:tcW w:w="880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color w:val="auto"/>
              </w:rPr>
              <w:t>Restricted stock units</w:t>
            </w: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1,840,421</w:t>
            </w:r>
          </w:p>
        </w:tc>
        <w:tc>
          <w:tcPr>
            <w:tcW w:w="420" w:type="dxa"/>
            <w:vAlign w:val="bottom"/>
          </w:tcPr>
          <w:p>
            <w:pPr>
              <w:spacing w:after="0"/>
              <w:rPr>
                <w:sz w:val="10"/>
                <w:szCs w:val="10"/>
                <w:color w:val="auto"/>
              </w:rPr>
            </w:pPr>
          </w:p>
        </w:tc>
        <w:tc>
          <w:tcPr>
            <w:tcW w:w="1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907,703</w:t>
            </w:r>
          </w:p>
        </w:tc>
      </w:tr>
      <w:tr>
        <w:trPr>
          <w:trHeight w:val="117"/>
        </w:trPr>
        <w:tc>
          <w:tcPr>
            <w:tcW w:w="88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Shares reserved for issuance under the Company's equity plans</w:t>
            </w:r>
          </w:p>
        </w:tc>
        <w:tc>
          <w:tcPr>
            <w:tcW w:w="5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96"/>
              </w:rPr>
              <w:t>11,648,505</w:t>
            </w:r>
          </w:p>
        </w:tc>
        <w:tc>
          <w:tcPr>
            <w:tcW w:w="420" w:type="dxa"/>
            <w:vAlign w:val="bottom"/>
            <w:shd w:val="clear" w:color="auto" w:fill="CCEEFF"/>
          </w:tcPr>
          <w:p>
            <w:pPr>
              <w:spacing w:after="0"/>
              <w:rPr>
                <w:sz w:val="10"/>
                <w:szCs w:val="10"/>
                <w:color w:val="auto"/>
              </w:rPr>
            </w:pPr>
          </w:p>
        </w:tc>
        <w:tc>
          <w:tcPr>
            <w:tcW w:w="156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14,085,870</w:t>
            </w:r>
          </w:p>
        </w:tc>
      </w:tr>
      <w:tr>
        <w:trPr>
          <w:trHeight w:val="113"/>
        </w:trPr>
        <w:tc>
          <w:tcPr>
            <w:tcW w:w="780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Total</w:t>
            </w:r>
          </w:p>
        </w:tc>
        <w:tc>
          <w:tcPr>
            <w:tcW w:w="100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w w:val="96"/>
              </w:rPr>
              <w:t>23,716,137</w:t>
            </w:r>
          </w:p>
        </w:tc>
        <w:tc>
          <w:tcPr>
            <w:tcW w:w="420" w:type="dxa"/>
            <w:vAlign w:val="bottom"/>
          </w:tcPr>
          <w:p>
            <w:pPr>
              <w:spacing w:after="0"/>
              <w:rPr>
                <w:sz w:val="9"/>
                <w:szCs w:val="9"/>
                <w:color w:val="auto"/>
              </w:rPr>
            </w:pPr>
          </w:p>
        </w:tc>
        <w:tc>
          <w:tcPr>
            <w:tcW w:w="156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24,996,827</w:t>
            </w: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Common Stock Warrant Liability</w:t>
      </w:r>
    </w:p>
    <w:p>
      <w:pPr>
        <w:spacing w:after="0" w:line="127"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2"/>
          <w:szCs w:val="12"/>
          <w:color w:val="auto"/>
        </w:rPr>
        <w:t>On October 22, 2025, Hayfin net exercised all common stock warrants outstanding for 1,646,317 shares of common stock. The common stock warrant liability was remeasured to fair value through the date of exercise, resulting in a loss of $43.9 million within the condensed consolidated statements of operations and comprehensive loss for the year ended December 31, 2025. The final fair value of $64.7 million was reclassified to stockholders’ equity on the date of exercise. As of March 31, 2026 and December 31, 2025, no warrants to purchase common stock were outstanding.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Derivative Liability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2025 Convertible Notes</w:t>
      </w:r>
    </w:p>
    <w:p>
      <w:pPr>
        <w:spacing w:after="0" w:line="127"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2"/>
          <w:szCs w:val="12"/>
          <w:color w:val="auto"/>
        </w:rPr>
        <w:t>The 2025 Convertible Notes were determined to contain certain settlement features and conversion put options which require bifurcation and separate accounting as a single compound embedded derivative, as discussed in Note 9. The fair value of the derivative liability was recorded at the issuance dates as a debt discount and reduction to the carrying value of the 2025 Convertible Notes on the condensed consolidated balance sheets. The derivative liability is remeasured to fair value at each reporting period and the related changes in fair value are recorded on the condensed consolidated statements of operations and comprehensive loss.</w:t>
      </w:r>
    </w:p>
    <w:p>
      <w:pPr>
        <w:spacing w:after="0" w:line="106"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2"/>
          <w:szCs w:val="12"/>
          <w:color w:val="auto"/>
        </w:rPr>
        <w:t>The fair value of the derivative liability was estimated using a scenario-based analysis comparing the probability-weighted present value of the 2025 Convertible Notes with and without the bifurcated features. The Company used the Monte Carlo Simulation method to estimate the fair value of the derivative liability because it believes this technique is reflective of all significant assumption types and ranges of assumption inputs that market participants would likely consider in transactions involving compound embedded derivatives. The option pricing method was employed as part of a back-solve analysis for scenarios in which the Company was expected to raise another financing round. The Company also employed a waterfall analysis that allocated certain exit proceeds to its outstanding share classes for scenarios in which the Company was assumed to exit via change of control or IPO. The Company’s assumptions used in determining the issuance date fair value of the derivative liability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160" w:type="dxa"/>
            <w:vAlign w:val="bottom"/>
          </w:tcPr>
          <w:p>
            <w:pPr>
              <w:spacing w:after="0"/>
              <w:rPr>
                <w:sz w:val="11"/>
                <w:szCs w:val="11"/>
                <w:color w:val="auto"/>
              </w:rPr>
            </w:pPr>
          </w:p>
        </w:tc>
        <w:tc>
          <w:tcPr>
            <w:tcW w:w="2200" w:type="dxa"/>
            <w:vAlign w:val="bottom"/>
            <w:gridSpan w:val="2"/>
          </w:tcPr>
          <w:p>
            <w:pPr>
              <w:ind w:left="560"/>
              <w:spacing w:after="0"/>
              <w:rPr>
                <w:sz w:val="20"/>
                <w:szCs w:val="20"/>
                <w:color w:val="auto"/>
              </w:rPr>
            </w:pPr>
            <w:r>
              <w:rPr>
                <w:rFonts w:ascii="Times New Roman" w:cs="Times New Roman" w:eastAsia="Times New Roman" w:hAnsi="Times New Roman"/>
                <w:sz w:val="11"/>
                <w:szCs w:val="11"/>
                <w:b w:val="1"/>
                <w:bCs w:val="1"/>
                <w:color w:val="auto"/>
              </w:rPr>
              <w:t>March 26, 2025</w:t>
            </w:r>
          </w:p>
        </w:tc>
        <w:tc>
          <w:tcPr>
            <w:tcW w:w="1940" w:type="dxa"/>
            <w:vAlign w:val="bottom"/>
          </w:tcPr>
          <w:p>
            <w:pPr>
              <w:ind w:left="580"/>
              <w:spacing w:after="0"/>
              <w:rPr>
                <w:sz w:val="20"/>
                <w:szCs w:val="20"/>
                <w:color w:val="auto"/>
              </w:rPr>
            </w:pPr>
            <w:r>
              <w:rPr>
                <w:rFonts w:ascii="Times New Roman" w:cs="Times New Roman" w:eastAsia="Times New Roman" w:hAnsi="Times New Roman"/>
                <w:sz w:val="11"/>
                <w:szCs w:val="11"/>
                <w:b w:val="1"/>
                <w:bCs w:val="1"/>
                <w:color w:val="auto"/>
              </w:rPr>
              <w:t>January 31, 2025</w:t>
            </w:r>
          </w:p>
        </w:tc>
      </w:tr>
      <w:tr>
        <w:trPr>
          <w:trHeight w:val="115"/>
        </w:trPr>
        <w:tc>
          <w:tcPr>
            <w:tcW w:w="716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Debt yield</w:t>
            </w:r>
          </w:p>
        </w:tc>
        <w:tc>
          <w:tcPr>
            <w:tcW w:w="1840" w:type="dxa"/>
            <w:vAlign w:val="bottom"/>
            <w:tcBorders>
              <w:top w:val="single" w:sz="8" w:color="auto"/>
            </w:tcBorders>
            <w:shd w:val="clear" w:color="auto" w:fill="CCEEFF"/>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7.0%</w:t>
            </w:r>
          </w:p>
        </w:tc>
        <w:tc>
          <w:tcPr>
            <w:tcW w:w="360" w:type="dxa"/>
            <w:vAlign w:val="bottom"/>
            <w:tcBorders>
              <w:top w:val="single" w:sz="8" w:color="CCEEFF"/>
            </w:tcBorders>
            <w:shd w:val="clear" w:color="auto" w:fill="CCEEFF"/>
          </w:tcPr>
          <w:p>
            <w:pPr>
              <w:spacing w:after="0"/>
              <w:rPr>
                <w:sz w:val="10"/>
                <w:szCs w:val="10"/>
                <w:color w:val="auto"/>
              </w:rPr>
            </w:pPr>
          </w:p>
        </w:tc>
        <w:tc>
          <w:tcPr>
            <w:tcW w:w="1940" w:type="dxa"/>
            <w:vAlign w:val="bottom"/>
            <w:tcBorders>
              <w:top w:val="single" w:sz="8" w:color="auto"/>
            </w:tcBorders>
            <w:shd w:val="clear" w:color="auto" w:fill="CCEEFF"/>
          </w:tcPr>
          <w:p>
            <w:pPr>
              <w:jc w:val="center"/>
              <w:spacing w:after="0" w:line="115" w:lineRule="exact"/>
              <w:rPr>
                <w:sz w:val="20"/>
                <w:szCs w:val="20"/>
                <w:color w:val="auto"/>
              </w:rPr>
            </w:pPr>
            <w:r>
              <w:rPr>
                <w:rFonts w:ascii="Times New Roman" w:cs="Times New Roman" w:eastAsia="Times New Roman" w:hAnsi="Times New Roman"/>
                <w:sz w:val="11"/>
                <w:szCs w:val="11"/>
                <w:color w:val="auto"/>
              </w:rPr>
              <w:t>7.0%</w:t>
            </w:r>
          </w:p>
        </w:tc>
      </w:tr>
      <w:tr>
        <w:trPr>
          <w:trHeight w:val="117"/>
        </w:trPr>
        <w:tc>
          <w:tcPr>
            <w:tcW w:w="716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Probability of IPO</w:t>
            </w:r>
          </w:p>
        </w:tc>
        <w:tc>
          <w:tcPr>
            <w:tcW w:w="18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75.0%</w:t>
            </w:r>
          </w:p>
        </w:tc>
        <w:tc>
          <w:tcPr>
            <w:tcW w:w="360" w:type="dxa"/>
            <w:vAlign w:val="bottom"/>
          </w:tcPr>
          <w:p>
            <w:pPr>
              <w:spacing w:after="0"/>
              <w:rPr>
                <w:sz w:val="10"/>
                <w:szCs w:val="10"/>
                <w:color w:val="auto"/>
              </w:rPr>
            </w:pPr>
          </w:p>
        </w:tc>
        <w:tc>
          <w:tcPr>
            <w:tcW w:w="19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60.0%</w:t>
            </w:r>
          </w:p>
        </w:tc>
      </w:tr>
      <w:tr>
        <w:trPr>
          <w:trHeight w:val="117"/>
        </w:trPr>
        <w:tc>
          <w:tcPr>
            <w:tcW w:w="71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Event Date of IPO</w:t>
            </w:r>
          </w:p>
        </w:tc>
        <w:tc>
          <w:tcPr>
            <w:tcW w:w="1840" w:type="dxa"/>
            <w:vAlign w:val="bottom"/>
            <w:shd w:val="clear" w:color="auto" w:fill="CCEEFF"/>
          </w:tcPr>
          <w:p>
            <w:pPr>
              <w:jc w:val="right"/>
              <w:ind w:right="666"/>
              <w:spacing w:after="0" w:line="117" w:lineRule="exact"/>
              <w:rPr>
                <w:sz w:val="20"/>
                <w:szCs w:val="20"/>
                <w:color w:val="auto"/>
              </w:rPr>
            </w:pPr>
            <w:r>
              <w:rPr>
                <w:rFonts w:ascii="Times New Roman" w:cs="Times New Roman" w:eastAsia="Times New Roman" w:hAnsi="Times New Roman"/>
                <w:sz w:val="11"/>
                <w:szCs w:val="11"/>
                <w:color w:val="auto"/>
              </w:rPr>
              <w:t>5/9/2025</w:t>
            </w:r>
          </w:p>
        </w:tc>
        <w:tc>
          <w:tcPr>
            <w:tcW w:w="360" w:type="dxa"/>
            <w:vAlign w:val="bottom"/>
            <w:shd w:val="clear" w:color="auto" w:fill="CCEEFF"/>
          </w:tcPr>
          <w:p>
            <w:pPr>
              <w:spacing w:after="0"/>
              <w:rPr>
                <w:sz w:val="10"/>
                <w:szCs w:val="10"/>
                <w:color w:val="auto"/>
              </w:rPr>
            </w:pPr>
          </w:p>
        </w:tc>
        <w:tc>
          <w:tcPr>
            <w:tcW w:w="1940" w:type="dxa"/>
            <w:vAlign w:val="bottom"/>
            <w:shd w:val="clear" w:color="auto" w:fill="CCEEFF"/>
          </w:tcPr>
          <w:p>
            <w:pPr>
              <w:jc w:val="right"/>
              <w:ind w:right="726"/>
              <w:spacing w:after="0" w:line="117" w:lineRule="exact"/>
              <w:rPr>
                <w:sz w:val="20"/>
                <w:szCs w:val="20"/>
                <w:color w:val="auto"/>
              </w:rPr>
            </w:pPr>
            <w:r>
              <w:rPr>
                <w:rFonts w:ascii="Times New Roman" w:cs="Times New Roman" w:eastAsia="Times New Roman" w:hAnsi="Times New Roman"/>
                <w:sz w:val="11"/>
                <w:szCs w:val="11"/>
                <w:color w:val="auto"/>
              </w:rPr>
              <w:t>5/5/2025</w:t>
            </w:r>
          </w:p>
        </w:tc>
      </w:tr>
      <w:tr>
        <w:trPr>
          <w:trHeight w:val="117"/>
        </w:trPr>
        <w:tc>
          <w:tcPr>
            <w:tcW w:w="716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Probability of change of control</w:t>
            </w:r>
          </w:p>
        </w:tc>
        <w:tc>
          <w:tcPr>
            <w:tcW w:w="18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10.0%</w:t>
            </w:r>
          </w:p>
        </w:tc>
        <w:tc>
          <w:tcPr>
            <w:tcW w:w="360" w:type="dxa"/>
            <w:vAlign w:val="bottom"/>
          </w:tcPr>
          <w:p>
            <w:pPr>
              <w:spacing w:after="0"/>
              <w:rPr>
                <w:sz w:val="10"/>
                <w:szCs w:val="10"/>
                <w:color w:val="auto"/>
              </w:rPr>
            </w:pPr>
          </w:p>
        </w:tc>
        <w:tc>
          <w:tcPr>
            <w:tcW w:w="19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20.0%</w:t>
            </w:r>
          </w:p>
        </w:tc>
      </w:tr>
      <w:tr>
        <w:trPr>
          <w:trHeight w:val="117"/>
        </w:trPr>
        <w:tc>
          <w:tcPr>
            <w:tcW w:w="71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Event date of change of control</w:t>
            </w:r>
          </w:p>
        </w:tc>
        <w:tc>
          <w:tcPr>
            <w:tcW w:w="1840" w:type="dxa"/>
            <w:vAlign w:val="bottom"/>
            <w:shd w:val="clear" w:color="auto" w:fill="CCEEFF"/>
          </w:tcPr>
          <w:p>
            <w:pPr>
              <w:jc w:val="right"/>
              <w:ind w:right="646"/>
              <w:spacing w:after="0" w:line="117" w:lineRule="exact"/>
              <w:rPr>
                <w:sz w:val="20"/>
                <w:szCs w:val="20"/>
                <w:color w:val="auto"/>
              </w:rPr>
            </w:pPr>
            <w:r>
              <w:rPr>
                <w:rFonts w:ascii="Times New Roman" w:cs="Times New Roman" w:eastAsia="Times New Roman" w:hAnsi="Times New Roman"/>
                <w:sz w:val="11"/>
                <w:szCs w:val="11"/>
                <w:color w:val="auto"/>
              </w:rPr>
              <w:t>3/26/2026</w:t>
            </w:r>
          </w:p>
        </w:tc>
        <w:tc>
          <w:tcPr>
            <w:tcW w:w="360" w:type="dxa"/>
            <w:vAlign w:val="bottom"/>
            <w:shd w:val="clear" w:color="auto" w:fill="CCEEFF"/>
          </w:tcPr>
          <w:p>
            <w:pPr>
              <w:spacing w:after="0"/>
              <w:rPr>
                <w:sz w:val="10"/>
                <w:szCs w:val="10"/>
                <w:color w:val="auto"/>
              </w:rPr>
            </w:pPr>
          </w:p>
        </w:tc>
        <w:tc>
          <w:tcPr>
            <w:tcW w:w="1940" w:type="dxa"/>
            <w:vAlign w:val="bottom"/>
            <w:shd w:val="clear" w:color="auto" w:fill="CCEEFF"/>
          </w:tcPr>
          <w:p>
            <w:pPr>
              <w:jc w:val="right"/>
              <w:ind w:right="706"/>
              <w:spacing w:after="0" w:line="117" w:lineRule="exact"/>
              <w:rPr>
                <w:sz w:val="20"/>
                <w:szCs w:val="20"/>
                <w:color w:val="auto"/>
              </w:rPr>
            </w:pPr>
            <w:r>
              <w:rPr>
                <w:rFonts w:ascii="Times New Roman" w:cs="Times New Roman" w:eastAsia="Times New Roman" w:hAnsi="Times New Roman"/>
                <w:sz w:val="11"/>
                <w:szCs w:val="11"/>
                <w:color w:val="auto"/>
              </w:rPr>
              <w:t>1/31/2026</w:t>
            </w:r>
          </w:p>
        </w:tc>
      </w:tr>
      <w:tr>
        <w:trPr>
          <w:trHeight w:val="109"/>
        </w:trPr>
        <w:tc>
          <w:tcPr>
            <w:tcW w:w="7160" w:type="dxa"/>
            <w:vAlign w:val="bottom"/>
          </w:tcPr>
          <w:p>
            <w:pPr>
              <w:spacing w:after="0" w:line="110" w:lineRule="exact"/>
              <w:rPr>
                <w:sz w:val="20"/>
                <w:szCs w:val="20"/>
                <w:color w:val="auto"/>
              </w:rPr>
            </w:pPr>
            <w:r>
              <w:rPr>
                <w:rFonts w:ascii="Times New Roman" w:cs="Times New Roman" w:eastAsia="Times New Roman" w:hAnsi="Times New Roman"/>
                <w:sz w:val="11"/>
                <w:szCs w:val="11"/>
                <w:color w:val="auto"/>
              </w:rPr>
              <w:t>Discount rate</w:t>
            </w:r>
          </w:p>
        </w:tc>
        <w:tc>
          <w:tcPr>
            <w:tcW w:w="184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color w:val="auto"/>
                <w:w w:val="98"/>
              </w:rPr>
              <w:t>63.7%</w:t>
            </w:r>
          </w:p>
        </w:tc>
        <w:tc>
          <w:tcPr>
            <w:tcW w:w="360" w:type="dxa"/>
            <w:vAlign w:val="bottom"/>
          </w:tcPr>
          <w:p>
            <w:pPr>
              <w:spacing w:after="0"/>
              <w:rPr>
                <w:sz w:val="9"/>
                <w:szCs w:val="9"/>
                <w:color w:val="auto"/>
              </w:rPr>
            </w:pPr>
          </w:p>
        </w:tc>
        <w:tc>
          <w:tcPr>
            <w:tcW w:w="194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color w:val="auto"/>
                <w:w w:val="98"/>
              </w:rPr>
              <w:t>31.3%</w:t>
            </w:r>
          </w:p>
        </w:tc>
      </w:tr>
    </w:tbl>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127635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3"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jc w:val="center"/>
        <w:spacing w:after="0" w:line="234" w:lineRule="auto"/>
        <w:rPr>
          <w:sz w:val="20"/>
          <w:szCs w:val="20"/>
          <w:color w:val="auto"/>
        </w:rPr>
      </w:pPr>
      <w:r>
        <w:rPr>
          <w:rFonts w:ascii="Times New Roman" w:cs="Times New Roman" w:eastAsia="Times New Roman" w:hAnsi="Times New Roman"/>
          <w:sz w:val="19"/>
          <w:szCs w:val="19"/>
          <w:b w:val="1"/>
          <w:bCs w:val="1"/>
          <w:color w:val="auto"/>
        </w:rPr>
        <w:t>Heartflow, Inc.</w:t>
      </w:r>
    </w:p>
    <w:p>
      <w:pPr>
        <w:jc w:val="center"/>
        <w:spacing w:after="0" w:line="220" w:lineRule="auto"/>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63"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2"/>
          <w:szCs w:val="12"/>
          <w:color w:val="auto"/>
        </w:rPr>
        <w:t>The issuance date estimated fair values of the derivative liability was $11.1 million and $20.8 million in January and March 2025, respectively, which were recorded as debt discounts. The derivative liability was remeasured to fair value at the end of each reporting period and through the date of its conversion to common stock upon the Company’s IPO. The aggregate estimated fair value of the derivative liability at the time of conversion was $24.6 million, based on the 20% discount from the IPO price, which was reclassified to additional paid-in capital.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Stock-Based Compensation Plans</w:t>
      </w:r>
    </w:p>
    <w:p>
      <w:pPr>
        <w:spacing w:after="0" w:line="127"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2"/>
          <w:szCs w:val="12"/>
          <w:color w:val="auto"/>
        </w:rPr>
        <w:t>In 2009, the Company adopted its 2009 Equity Incentive Plan which provided for the grant of stock options to the Company’s employees, members of the Board of Directors and consultants. Effective upon the Company’s IPO in August 2025, the Company’s Board of Directors approved the termination of the 2009 Equity Incentive Plan and the adoption of the 2025 Performance Incentive Plan (“2025 Plan”). Options granted under the 2025 Plan may be either incentive stock options (“ISOs”) or nonqualified stock options (“NSOs”). ISOs may be granted only to employees. NSOs, Stock Appreciation Rights, Restricted Stock, and Restricted Stock Units (“RSUs”) may be granted to employees, members of the Board of Directors and consultants. A total of 17,346,193 shares of common stock were initially reserved for issuance pursuant to the 2025 Plan. In addition, the shares reserved for issuance under the 2025 Plan will also include shares reserved but not issued under the 2009 Equity Incentive Plan, plus any share awards granted under the 2009 Equity Incentive Plan that expire or terminate without having been exercised in full or that are forfeited or repurchased. In addition, the number of shares available for issuance under the 2025 Plan will also include an annual increase on the first day of each fiscal year beginning in fiscal 2026, equal to or greater than (i) 5% of the outstanding shares of common stock as of the last day of the immediately preceding fiscal year less any Board of Directors-approved increase(s) during the preceding fiscal year; or (ii) an amount as determined by the Board of Directors.</w:t>
      </w:r>
    </w:p>
    <w:p>
      <w:pPr>
        <w:spacing w:after="0" w:line="108"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2"/>
          <w:szCs w:val="12"/>
          <w:color w:val="auto"/>
        </w:rPr>
        <w:t>Options under the 2009 Equity Incentive Plan and 2025 Plan have a term of ten years from the grant date. The option exercise price will be determined by the Board of Directors, but will be no less than 100% of the fair market value per share on the date of grant. In addition, in the case of an ISO granted to an employee who owns stock representing more than 10% of the voting power of all classes of stock of the Company, the per share exercise price will be no less than 110% of the fair market value per share on the date of grant. Through March 31, 2026 and December 31, 2025, options granted generally vest over (i) four years with 25% vesting on the first anniversary of the issuance date and 1/48th per month thereafter or (ii) vesting monthly in equal installments over four years.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Stock option activity under the Company’s 2009 Equity Incentive Plan and 2025 Plan is set forth below (in thousands, except share and per share amounts):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ind w:left="366"/>
              <w:spacing w:after="0"/>
              <w:rPr>
                <w:sz w:val="20"/>
                <w:szCs w:val="20"/>
                <w:color w:val="auto"/>
              </w:rPr>
            </w:pPr>
            <w:r>
              <w:rPr>
                <w:rFonts w:ascii="Times New Roman" w:cs="Times New Roman" w:eastAsia="Times New Roman" w:hAnsi="Times New Roman"/>
                <w:sz w:val="11"/>
                <w:szCs w:val="11"/>
                <w:b w:val="1"/>
                <w:bCs w:val="1"/>
                <w:color w:val="auto"/>
                <w:w w:val="93"/>
              </w:rPr>
              <w:t>Weighted-</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17"/>
        </w:trPr>
        <w:tc>
          <w:tcPr>
            <w:tcW w:w="47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jc w:val="center"/>
              <w:ind w:left="346"/>
              <w:spacing w:after="0" w:line="117" w:lineRule="exact"/>
              <w:rPr>
                <w:sz w:val="20"/>
                <w:szCs w:val="20"/>
                <w:color w:val="auto"/>
              </w:rPr>
            </w:pPr>
            <w:r>
              <w:rPr>
                <w:rFonts w:ascii="Times New Roman" w:cs="Times New Roman" w:eastAsia="Times New Roman" w:hAnsi="Times New Roman"/>
                <w:sz w:val="11"/>
                <w:szCs w:val="11"/>
                <w:b w:val="1"/>
                <w:bCs w:val="1"/>
                <w:color w:val="auto"/>
                <w:w w:val="98"/>
              </w:rPr>
              <w:t>Weighted-</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jc w:val="center"/>
              <w:ind w:left="366"/>
              <w:spacing w:after="0" w:line="117"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17"/>
        </w:trPr>
        <w:tc>
          <w:tcPr>
            <w:tcW w:w="47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jc w:val="center"/>
              <w:ind w:left="366"/>
              <w:spacing w:after="0" w:line="117"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jc w:val="center"/>
              <w:ind w:left="366"/>
              <w:spacing w:after="0" w:line="117" w:lineRule="exact"/>
              <w:rPr>
                <w:sz w:val="20"/>
                <w:szCs w:val="20"/>
                <w:color w:val="auto"/>
              </w:rPr>
            </w:pPr>
            <w:r>
              <w:rPr>
                <w:rFonts w:ascii="Times New Roman" w:cs="Times New Roman" w:eastAsia="Times New Roman" w:hAnsi="Times New Roman"/>
                <w:sz w:val="11"/>
                <w:szCs w:val="11"/>
                <w:b w:val="1"/>
                <w:bCs w:val="1"/>
                <w:color w:val="auto"/>
                <w:w w:val="97"/>
              </w:rPr>
              <w:t>Remaining</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tcPr>
          <w:p>
            <w:pPr>
              <w:jc w:val="center"/>
              <w:ind w:right="266"/>
              <w:spacing w:after="0" w:line="117" w:lineRule="exact"/>
              <w:rPr>
                <w:sz w:val="20"/>
                <w:szCs w:val="20"/>
                <w:color w:val="auto"/>
              </w:rPr>
            </w:pPr>
            <w:r>
              <w:rPr>
                <w:rFonts w:ascii="Times New Roman" w:cs="Times New Roman" w:eastAsia="Times New Roman" w:hAnsi="Times New Roman"/>
                <w:sz w:val="11"/>
                <w:szCs w:val="11"/>
                <w:b w:val="1"/>
                <w:bCs w:val="1"/>
                <w:color w:val="auto"/>
                <w:w w:val="99"/>
              </w:rPr>
              <w:t>Aggregate</w:t>
            </w:r>
          </w:p>
        </w:tc>
      </w:tr>
      <w:tr>
        <w:trPr>
          <w:trHeight w:val="117"/>
        </w:trPr>
        <w:tc>
          <w:tcPr>
            <w:tcW w:w="4760" w:type="dxa"/>
            <w:vAlign w:val="bottom"/>
          </w:tcPr>
          <w:p>
            <w:pPr>
              <w:spacing w:after="0"/>
              <w:rPr>
                <w:sz w:val="10"/>
                <w:szCs w:val="10"/>
                <w:color w:val="auto"/>
              </w:rPr>
            </w:pPr>
          </w:p>
        </w:tc>
        <w:tc>
          <w:tcPr>
            <w:tcW w:w="144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160" w:type="dxa"/>
            <w:vAlign w:val="bottom"/>
          </w:tcPr>
          <w:p>
            <w:pPr>
              <w:jc w:val="center"/>
              <w:ind w:left="366"/>
              <w:spacing w:after="0" w:line="117" w:lineRule="exact"/>
              <w:rPr>
                <w:sz w:val="20"/>
                <w:szCs w:val="20"/>
                <w:color w:val="auto"/>
              </w:rPr>
            </w:pPr>
            <w:r>
              <w:rPr>
                <w:rFonts w:ascii="Times New Roman" w:cs="Times New Roman" w:eastAsia="Times New Roman" w:hAnsi="Times New Roman"/>
                <w:sz w:val="11"/>
                <w:szCs w:val="11"/>
                <w:b w:val="1"/>
                <w:bCs w:val="1"/>
                <w:color w:val="auto"/>
                <w:w w:val="95"/>
              </w:rPr>
              <w:t>Exercise</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jc w:val="center"/>
              <w:ind w:left="366"/>
              <w:spacing w:after="0" w:line="117" w:lineRule="exact"/>
              <w:rPr>
                <w:sz w:val="20"/>
                <w:szCs w:val="20"/>
                <w:color w:val="auto"/>
              </w:rPr>
            </w:pPr>
            <w:r>
              <w:rPr>
                <w:rFonts w:ascii="Times New Roman" w:cs="Times New Roman" w:eastAsia="Times New Roman" w:hAnsi="Times New Roman"/>
                <w:sz w:val="11"/>
                <w:szCs w:val="11"/>
                <w:b w:val="1"/>
                <w:bCs w:val="1"/>
                <w:color w:val="auto"/>
                <w:w w:val="94"/>
              </w:rPr>
              <w:t>Contractual</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tcPr>
          <w:p>
            <w:pPr>
              <w:jc w:val="center"/>
              <w:ind w:right="226"/>
              <w:spacing w:after="0" w:line="117" w:lineRule="exact"/>
              <w:rPr>
                <w:sz w:val="20"/>
                <w:szCs w:val="20"/>
                <w:color w:val="auto"/>
              </w:rPr>
            </w:pPr>
            <w:r>
              <w:rPr>
                <w:rFonts w:ascii="Times New Roman" w:cs="Times New Roman" w:eastAsia="Times New Roman" w:hAnsi="Times New Roman"/>
                <w:sz w:val="11"/>
                <w:szCs w:val="11"/>
                <w:b w:val="1"/>
                <w:bCs w:val="1"/>
                <w:color w:val="auto"/>
                <w:w w:val="99"/>
              </w:rPr>
              <w:t>Intrinsic</w:t>
            </w:r>
          </w:p>
        </w:tc>
      </w:tr>
      <w:tr>
        <w:trPr>
          <w:trHeight w:val="137"/>
        </w:trPr>
        <w:tc>
          <w:tcPr>
            <w:tcW w:w="4760" w:type="dxa"/>
            <w:vAlign w:val="bottom"/>
          </w:tcPr>
          <w:p>
            <w:pPr>
              <w:spacing w:after="0"/>
              <w:rPr>
                <w:sz w:val="11"/>
                <w:szCs w:val="11"/>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1160" w:type="dxa"/>
            <w:vAlign w:val="bottom"/>
          </w:tcPr>
          <w:p>
            <w:pPr>
              <w:jc w:val="center"/>
              <w:ind w:left="346"/>
              <w:spacing w:after="0"/>
              <w:rPr>
                <w:sz w:val="20"/>
                <w:szCs w:val="20"/>
                <w:color w:val="auto"/>
              </w:rPr>
            </w:pPr>
            <w:r>
              <w:rPr>
                <w:rFonts w:ascii="Times New Roman" w:cs="Times New Roman" w:eastAsia="Times New Roman" w:hAnsi="Times New Roman"/>
                <w:sz w:val="11"/>
                <w:szCs w:val="11"/>
                <w:b w:val="1"/>
                <w:bCs w:val="1"/>
                <w:color w:val="auto"/>
                <w:w w:val="98"/>
              </w:rPr>
              <w:t>Price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ind w:left="366"/>
              <w:spacing w:after="0"/>
              <w:rPr>
                <w:sz w:val="20"/>
                <w:szCs w:val="20"/>
                <w:color w:val="auto"/>
              </w:rPr>
            </w:pPr>
            <w:r>
              <w:rPr>
                <w:rFonts w:ascii="Times New Roman" w:cs="Times New Roman" w:eastAsia="Times New Roman" w:hAnsi="Times New Roman"/>
                <w:sz w:val="11"/>
                <w:szCs w:val="11"/>
                <w:b w:val="1"/>
                <w:bCs w:val="1"/>
                <w:color w:val="auto"/>
                <w:w w:val="99"/>
              </w:rPr>
              <w:t>Life (years)</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jc w:val="center"/>
              <w:ind w:right="246"/>
              <w:spacing w:after="0"/>
              <w:rPr>
                <w:sz w:val="20"/>
                <w:szCs w:val="20"/>
                <w:color w:val="auto"/>
              </w:rPr>
            </w:pPr>
            <w:r>
              <w:rPr>
                <w:rFonts w:ascii="Times New Roman" w:cs="Times New Roman" w:eastAsia="Times New Roman" w:hAnsi="Times New Roman"/>
                <w:sz w:val="11"/>
                <w:szCs w:val="11"/>
                <w:b w:val="1"/>
                <w:bCs w:val="1"/>
                <w:color w:val="auto"/>
                <w:w w:val="94"/>
              </w:rPr>
              <w:t>Value</w:t>
            </w:r>
          </w:p>
        </w:tc>
      </w:tr>
      <w:tr>
        <w:trPr>
          <w:trHeight w:val="106"/>
        </w:trPr>
        <w:tc>
          <w:tcPr>
            <w:tcW w:w="476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Balance at December 31, 2025</w:t>
            </w:r>
          </w:p>
        </w:tc>
        <w:tc>
          <w:tcPr>
            <w:tcW w:w="136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10,003,254</w:t>
            </w:r>
          </w:p>
        </w:tc>
        <w:tc>
          <w:tcPr>
            <w:tcW w:w="80" w:type="dxa"/>
            <w:vAlign w:val="bottom"/>
            <w:tcBorders>
              <w:top w:val="single" w:sz="8" w:color="CCEEFF"/>
            </w:tcBorders>
            <w:shd w:val="clear" w:color="auto" w:fill="CCEEFF"/>
          </w:tcPr>
          <w:p>
            <w:pPr>
              <w:spacing w:after="0"/>
              <w:rPr>
                <w:sz w:val="9"/>
                <w:szCs w:val="9"/>
                <w:color w:val="auto"/>
              </w:rPr>
            </w:pPr>
          </w:p>
        </w:tc>
        <w:tc>
          <w:tcPr>
            <w:tcW w:w="1160" w:type="dxa"/>
            <w:vAlign w:val="bottom"/>
            <w:tcBorders>
              <w:top w:val="single" w:sz="8" w:color="auto"/>
            </w:tcBorders>
            <w:shd w:val="clear" w:color="auto" w:fill="CCEEFF"/>
          </w:tcPr>
          <w:p>
            <w:pPr>
              <w:jc w:val="right"/>
              <w:ind w:right="104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8.05</w:t>
            </w:r>
          </w:p>
        </w:tc>
        <w:tc>
          <w:tcPr>
            <w:tcW w:w="100" w:type="dxa"/>
            <w:vAlign w:val="bottom"/>
            <w:tcBorders>
              <w:top w:val="single" w:sz="8" w:color="CCEEFF"/>
            </w:tcBorders>
            <w:shd w:val="clear" w:color="auto" w:fill="CCEEFF"/>
          </w:tcPr>
          <w:p>
            <w:pPr>
              <w:spacing w:after="0"/>
              <w:rPr>
                <w:sz w:val="9"/>
                <w:szCs w:val="9"/>
                <w:color w:val="auto"/>
              </w:rPr>
            </w:pPr>
          </w:p>
        </w:tc>
        <w:tc>
          <w:tcPr>
            <w:tcW w:w="136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7.83</w:t>
            </w:r>
          </w:p>
        </w:tc>
        <w:tc>
          <w:tcPr>
            <w:tcW w:w="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jc w:val="right"/>
              <w:ind w:right="18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211,109</w:t>
            </w:r>
          </w:p>
        </w:tc>
      </w:tr>
      <w:tr>
        <w:trPr>
          <w:trHeight w:val="117"/>
        </w:trPr>
        <w:tc>
          <w:tcPr>
            <w:tcW w:w="476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Options granted</w:t>
            </w:r>
          </w:p>
        </w:tc>
        <w:tc>
          <w:tcPr>
            <w:tcW w:w="13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913,696</w:t>
            </w: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27.74</w:t>
            </w: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17"/>
        </w:trPr>
        <w:tc>
          <w:tcPr>
            <w:tcW w:w="47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Options exercised</w:t>
            </w:r>
          </w:p>
        </w:tc>
        <w:tc>
          <w:tcPr>
            <w:tcW w:w="1440" w:type="dxa"/>
            <w:vAlign w:val="bottom"/>
            <w:gridSpan w:val="2"/>
            <w:shd w:val="clear" w:color="auto" w:fill="CCEEFF"/>
          </w:tcPr>
          <w:p>
            <w:pPr>
              <w:jc w:val="right"/>
              <w:ind w:right="80"/>
              <w:spacing w:after="0" w:line="117" w:lineRule="exact"/>
              <w:rPr>
                <w:sz w:val="20"/>
                <w:szCs w:val="20"/>
                <w:color w:val="auto"/>
              </w:rPr>
            </w:pPr>
            <w:r>
              <w:rPr>
                <w:rFonts w:ascii="Times New Roman" w:cs="Times New Roman" w:eastAsia="Times New Roman" w:hAnsi="Times New Roman"/>
                <w:sz w:val="11"/>
                <w:szCs w:val="11"/>
                <w:color w:val="auto"/>
              </w:rPr>
              <w:t>(592,387)</w:t>
            </w:r>
          </w:p>
        </w:tc>
        <w:tc>
          <w:tcPr>
            <w:tcW w:w="1160" w:type="dxa"/>
            <w:vAlign w:val="bottom"/>
            <w:shd w:val="clear" w:color="auto" w:fill="CCEEFF"/>
          </w:tcPr>
          <w:p>
            <w:pPr>
              <w:jc w:val="right"/>
              <w:ind w:right="104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5.64</w:t>
            </w:r>
          </w:p>
        </w:tc>
        <w:tc>
          <w:tcPr>
            <w:tcW w:w="1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r>
      <w:tr>
        <w:trPr>
          <w:trHeight w:val="117"/>
        </w:trPr>
        <w:tc>
          <w:tcPr>
            <w:tcW w:w="476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Options forfeited</w:t>
            </w:r>
          </w:p>
        </w:tc>
        <w:tc>
          <w:tcPr>
            <w:tcW w:w="1440" w:type="dxa"/>
            <w:vAlign w:val="bottom"/>
            <w:gridSpan w:val="2"/>
          </w:tcPr>
          <w:p>
            <w:pPr>
              <w:jc w:val="right"/>
              <w:ind w:right="80"/>
              <w:spacing w:after="0" w:line="117" w:lineRule="exact"/>
              <w:rPr>
                <w:sz w:val="20"/>
                <w:szCs w:val="20"/>
                <w:color w:val="auto"/>
              </w:rPr>
            </w:pPr>
            <w:r>
              <w:rPr>
                <w:rFonts w:ascii="Times New Roman" w:cs="Times New Roman" w:eastAsia="Times New Roman" w:hAnsi="Times New Roman"/>
                <w:sz w:val="11"/>
                <w:szCs w:val="11"/>
                <w:color w:val="auto"/>
              </w:rPr>
              <w:t>(97,352)</w:t>
            </w:r>
          </w:p>
        </w:tc>
        <w:tc>
          <w:tcPr>
            <w:tcW w:w="1160" w:type="dxa"/>
            <w:vAlign w:val="bottom"/>
          </w:tcPr>
          <w:p>
            <w:pPr>
              <w:jc w:val="right"/>
              <w:ind w:right="104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8.54</w:t>
            </w: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26"/>
        </w:trPr>
        <w:tc>
          <w:tcPr>
            <w:tcW w:w="4760" w:type="dxa"/>
            <w:vAlign w:val="bottom"/>
            <w:tcBorders>
              <w:top w:val="single" w:sz="8" w:color="CCEEFF"/>
              <w:bottom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Balance at March 31, 2026</w:t>
            </w:r>
          </w:p>
        </w:tc>
        <w:tc>
          <w:tcPr>
            <w:tcW w:w="136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10,227,211</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160" w:type="dxa"/>
            <w:vAlign w:val="bottom"/>
            <w:tcBorders>
              <w:top w:val="single" w:sz="8" w:color="CCEEFF"/>
              <w:bottom w:val="single" w:sz="8" w:color="CCEEFF"/>
            </w:tcBorders>
            <w:shd w:val="clear" w:color="auto" w:fill="CCEEFF"/>
          </w:tcPr>
          <w:p>
            <w:pPr>
              <w:jc w:val="right"/>
              <w:ind w:right="104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CCEEFF"/>
              <w:bottom w:val="single" w:sz="8" w:color="CCEEFF"/>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9.94</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360" w:type="dxa"/>
            <w:vAlign w:val="bottom"/>
            <w:tcBorders>
              <w:top w:val="single" w:sz="8" w:color="CCEEFF"/>
              <w:bottom w:val="single" w:sz="8" w:color="CCEEFF"/>
            </w:tcBorders>
            <w:shd w:val="clear" w:color="auto" w:fill="CCEEFF"/>
          </w:tcPr>
          <w:p>
            <w:pPr>
              <w:spacing w:after="0"/>
              <w:rPr>
                <w:sz w:val="10"/>
                <w:szCs w:val="10"/>
                <w:color w:val="auto"/>
              </w:rPr>
            </w:pPr>
          </w:p>
        </w:tc>
        <w:tc>
          <w:tcPr>
            <w:tcW w:w="420" w:type="dxa"/>
            <w:vAlign w:val="bottom"/>
            <w:tcBorders>
              <w:top w:val="single" w:sz="8" w:color="CCEEFF"/>
              <w:bottom w:val="single" w:sz="8" w:color="CCEEFF"/>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7.90</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300" w:type="dxa"/>
            <w:vAlign w:val="bottom"/>
            <w:tcBorders>
              <w:top w:val="single" w:sz="8" w:color="CCEEFF"/>
              <w:bottom w:val="single" w:sz="8" w:color="CCEEFF"/>
            </w:tcBorders>
            <w:shd w:val="clear" w:color="auto" w:fill="CCEEFF"/>
          </w:tcPr>
          <w:p>
            <w:pPr>
              <w:jc w:val="right"/>
              <w:ind w:right="18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CCEEFF"/>
              <w:bottom w:val="single" w:sz="8" w:color="CCEEFF"/>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150,611</w:t>
            </w:r>
          </w:p>
        </w:tc>
      </w:tr>
      <w:tr>
        <w:trPr>
          <w:trHeight w:val="95"/>
        </w:trPr>
        <w:tc>
          <w:tcPr>
            <w:tcW w:w="4760" w:type="dxa"/>
            <w:vAlign w:val="bottom"/>
          </w:tcPr>
          <w:p>
            <w:pPr>
              <w:spacing w:after="0" w:line="95" w:lineRule="exact"/>
              <w:rPr>
                <w:sz w:val="20"/>
                <w:szCs w:val="20"/>
                <w:color w:val="auto"/>
              </w:rPr>
            </w:pPr>
            <w:r>
              <w:rPr>
                <w:rFonts w:ascii="Times New Roman" w:cs="Times New Roman" w:eastAsia="Times New Roman" w:hAnsi="Times New Roman"/>
                <w:sz w:val="11"/>
                <w:szCs w:val="11"/>
                <w:color w:val="auto"/>
              </w:rPr>
              <w:t>Vested and exercisable, March 31, 2026</w:t>
            </w:r>
          </w:p>
        </w:tc>
        <w:tc>
          <w:tcPr>
            <w:tcW w:w="1360" w:type="dxa"/>
            <w:vAlign w:val="bottom"/>
          </w:tcPr>
          <w:p>
            <w:pPr>
              <w:jc w:val="right"/>
              <w:spacing w:after="0" w:line="95" w:lineRule="exact"/>
              <w:rPr>
                <w:sz w:val="20"/>
                <w:szCs w:val="20"/>
                <w:color w:val="auto"/>
              </w:rPr>
            </w:pPr>
            <w:r>
              <w:rPr>
                <w:rFonts w:ascii="Times New Roman" w:cs="Times New Roman" w:eastAsia="Times New Roman" w:hAnsi="Times New Roman"/>
                <w:sz w:val="11"/>
                <w:szCs w:val="11"/>
                <w:color w:val="auto"/>
              </w:rPr>
              <w:t>4,405,075</w:t>
            </w:r>
          </w:p>
        </w:tc>
        <w:tc>
          <w:tcPr>
            <w:tcW w:w="80" w:type="dxa"/>
            <w:vAlign w:val="bottom"/>
          </w:tcPr>
          <w:p>
            <w:pPr>
              <w:spacing w:after="0"/>
              <w:rPr>
                <w:sz w:val="8"/>
                <w:szCs w:val="8"/>
                <w:color w:val="auto"/>
              </w:rPr>
            </w:pPr>
          </w:p>
        </w:tc>
        <w:tc>
          <w:tcPr>
            <w:tcW w:w="1160" w:type="dxa"/>
            <w:vAlign w:val="bottom"/>
          </w:tcPr>
          <w:p>
            <w:pPr>
              <w:jc w:val="right"/>
              <w:ind w:right="1046"/>
              <w:spacing w:after="0" w:line="95"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line="95" w:lineRule="exact"/>
              <w:rPr>
                <w:sz w:val="20"/>
                <w:szCs w:val="20"/>
                <w:color w:val="auto"/>
              </w:rPr>
            </w:pPr>
            <w:r>
              <w:rPr>
                <w:rFonts w:ascii="Times New Roman" w:cs="Times New Roman" w:eastAsia="Times New Roman" w:hAnsi="Times New Roman"/>
                <w:sz w:val="11"/>
                <w:szCs w:val="11"/>
                <w:color w:val="auto"/>
              </w:rPr>
              <w:t>5.62</w:t>
            </w: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20" w:type="dxa"/>
            <w:vAlign w:val="bottom"/>
          </w:tcPr>
          <w:p>
            <w:pPr>
              <w:jc w:val="right"/>
              <w:spacing w:after="0" w:line="95" w:lineRule="exact"/>
              <w:rPr>
                <w:sz w:val="20"/>
                <w:szCs w:val="20"/>
                <w:color w:val="auto"/>
              </w:rPr>
            </w:pPr>
            <w:r>
              <w:rPr>
                <w:rFonts w:ascii="Times New Roman" w:cs="Times New Roman" w:eastAsia="Times New Roman" w:hAnsi="Times New Roman"/>
                <w:sz w:val="11"/>
                <w:szCs w:val="11"/>
                <w:color w:val="auto"/>
              </w:rPr>
              <w:t>6.83</w:t>
            </w:r>
          </w:p>
        </w:tc>
        <w:tc>
          <w:tcPr>
            <w:tcW w:w="80" w:type="dxa"/>
            <w:vAlign w:val="bottom"/>
          </w:tcPr>
          <w:p>
            <w:pPr>
              <w:spacing w:after="0"/>
              <w:rPr>
                <w:sz w:val="8"/>
                <w:szCs w:val="8"/>
                <w:color w:val="auto"/>
              </w:rPr>
            </w:pPr>
          </w:p>
        </w:tc>
        <w:tc>
          <w:tcPr>
            <w:tcW w:w="300" w:type="dxa"/>
            <w:vAlign w:val="bottom"/>
          </w:tcPr>
          <w:p>
            <w:pPr>
              <w:jc w:val="right"/>
              <w:ind w:right="186"/>
              <w:spacing w:after="0" w:line="95" w:lineRule="exact"/>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line="95" w:lineRule="exact"/>
              <w:rPr>
                <w:sz w:val="20"/>
                <w:szCs w:val="20"/>
                <w:color w:val="auto"/>
              </w:rPr>
            </w:pPr>
            <w:r>
              <w:rPr>
                <w:rFonts w:ascii="Times New Roman" w:cs="Times New Roman" w:eastAsia="Times New Roman" w:hAnsi="Times New Roman"/>
                <w:sz w:val="11"/>
                <w:szCs w:val="11"/>
                <w:color w:val="auto"/>
              </w:rPr>
              <w:t>82,463</w:t>
            </w:r>
          </w:p>
        </w:tc>
      </w:tr>
      <w:tr>
        <w:trPr>
          <w:trHeight w:val="117"/>
        </w:trPr>
        <w:tc>
          <w:tcPr>
            <w:tcW w:w="47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Vested and expected to vest, March 31, 2026</w:t>
            </w:r>
          </w:p>
        </w:tc>
        <w:tc>
          <w:tcPr>
            <w:tcW w:w="136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10,227,211</w:t>
            </w: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104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9.94</w:t>
            </w:r>
          </w:p>
        </w:tc>
        <w:tc>
          <w:tcPr>
            <w:tcW w:w="1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7.90</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jc w:val="right"/>
              <w:ind w:right="18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150,611</w:t>
            </w: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weighted-average grant date fair value of options granted during the three months ended March 31, 2026 and 2025 was $15.88 and $7.10 per share, respectively.</w:t>
      </w:r>
    </w:p>
    <w:p>
      <w:pPr>
        <w:spacing w:after="0" w:line="114" w:lineRule="exact"/>
        <w:rPr>
          <w:sz w:val="20"/>
          <w:szCs w:val="20"/>
          <w:color w:val="auto"/>
        </w:rPr>
      </w:pPr>
    </w:p>
    <w:p>
      <w:pPr>
        <w:ind w:right="340"/>
        <w:spacing w:after="0" w:line="237" w:lineRule="auto"/>
        <w:rPr>
          <w:sz w:val="20"/>
          <w:szCs w:val="20"/>
          <w:color w:val="auto"/>
        </w:rPr>
      </w:pPr>
      <w:r>
        <w:rPr>
          <w:rFonts w:ascii="Times New Roman" w:cs="Times New Roman" w:eastAsia="Times New Roman" w:hAnsi="Times New Roman"/>
          <w:sz w:val="12"/>
          <w:szCs w:val="12"/>
          <w:color w:val="auto"/>
        </w:rPr>
        <w:t>The aggregate intrinsic value is calculated as the difference between the exercise price of the underlying stock options and the fair value of the Company’s common stock for stock options that were in-the-money at each reporting period. The aggregate intrinsic value of stock options exercised during the three months ended March 31, 2026 was $12.2 million and $1.1 million, respectively.</w:t>
      </w: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127635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3"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jc w:val="center"/>
        <w:spacing w:after="0" w:line="234" w:lineRule="auto"/>
        <w:rPr>
          <w:sz w:val="20"/>
          <w:szCs w:val="20"/>
          <w:color w:val="auto"/>
        </w:rPr>
      </w:pPr>
      <w:r>
        <w:rPr>
          <w:rFonts w:ascii="Times New Roman" w:cs="Times New Roman" w:eastAsia="Times New Roman" w:hAnsi="Times New Roman"/>
          <w:sz w:val="19"/>
          <w:szCs w:val="19"/>
          <w:b w:val="1"/>
          <w:bCs w:val="1"/>
          <w:color w:val="auto"/>
        </w:rPr>
        <w:t>Heartflow, Inc.</w:t>
      </w:r>
    </w:p>
    <w:p>
      <w:pPr>
        <w:jc w:val="center"/>
        <w:spacing w:after="0" w:line="220" w:lineRule="auto"/>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Restricted Stock Units</w:t>
      </w:r>
    </w:p>
    <w:p>
      <w:pPr>
        <w:spacing w:after="0" w:line="12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2"/>
          <w:szCs w:val="12"/>
          <w:color w:val="auto"/>
        </w:rPr>
        <w:t>In August 2025, the Company began granting RSUs under the 2025 Plan. RSUs generally vest over four years in equal quarterly increments. The fair value of RSUs is based on the Company’s closing stock price on the date of grant. A summary of RSUs activity is set forth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20" w:type="dxa"/>
            <w:vAlign w:val="bottom"/>
          </w:tcPr>
          <w:p>
            <w:pPr>
              <w:jc w:val="center"/>
              <w:ind w:right="286"/>
              <w:spacing w:after="0"/>
              <w:rPr>
                <w:sz w:val="20"/>
                <w:szCs w:val="20"/>
                <w:color w:val="auto"/>
              </w:rPr>
            </w:pPr>
            <w:r>
              <w:rPr>
                <w:rFonts w:ascii="Times New Roman" w:cs="Times New Roman" w:eastAsia="Times New Roman" w:hAnsi="Times New Roman"/>
                <w:sz w:val="11"/>
                <w:szCs w:val="11"/>
                <w:b w:val="1"/>
                <w:bCs w:val="1"/>
                <w:color w:val="auto"/>
                <w:w w:val="98"/>
              </w:rPr>
              <w:t>Weighted-</w:t>
            </w:r>
          </w:p>
        </w:tc>
      </w:tr>
      <w:tr>
        <w:trPr>
          <w:trHeight w:val="117"/>
        </w:trPr>
        <w:tc>
          <w:tcPr>
            <w:tcW w:w="7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jc w:val="center"/>
              <w:ind w:left="186"/>
              <w:spacing w:after="0" w:line="117"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20" w:type="dxa"/>
            <w:vAlign w:val="bottom"/>
          </w:tcPr>
          <w:p>
            <w:pPr>
              <w:jc w:val="center"/>
              <w:ind w:right="266"/>
              <w:spacing w:after="0" w:line="117" w:lineRule="exact"/>
              <w:rPr>
                <w:sz w:val="20"/>
                <w:szCs w:val="20"/>
                <w:color w:val="auto"/>
              </w:rPr>
            </w:pPr>
            <w:r>
              <w:rPr>
                <w:rFonts w:ascii="Times New Roman" w:cs="Times New Roman" w:eastAsia="Times New Roman" w:hAnsi="Times New Roman"/>
                <w:sz w:val="11"/>
                <w:szCs w:val="11"/>
                <w:b w:val="1"/>
                <w:bCs w:val="1"/>
                <w:color w:val="auto"/>
                <w:w w:val="97"/>
              </w:rPr>
              <w:t>Average</w:t>
            </w:r>
          </w:p>
        </w:tc>
      </w:tr>
      <w:tr>
        <w:trPr>
          <w:trHeight w:val="117"/>
        </w:trPr>
        <w:tc>
          <w:tcPr>
            <w:tcW w:w="7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jc w:val="center"/>
              <w:ind w:left="166"/>
              <w:spacing w:after="0" w:line="117" w:lineRule="exact"/>
              <w:rPr>
                <w:sz w:val="20"/>
                <w:szCs w:val="20"/>
                <w:color w:val="auto"/>
              </w:rPr>
            </w:pPr>
            <w:r>
              <w:rPr>
                <w:rFonts w:ascii="Times New Roman" w:cs="Times New Roman" w:eastAsia="Times New Roman" w:hAnsi="Times New Roman"/>
                <w:sz w:val="11"/>
                <w:szCs w:val="11"/>
                <w:b w:val="1"/>
                <w:bCs w:val="1"/>
                <w:color w:val="auto"/>
                <w:w w:val="98"/>
              </w:rPr>
              <w:t>Restricted Stock</w:t>
            </w: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20" w:type="dxa"/>
            <w:vAlign w:val="bottom"/>
          </w:tcPr>
          <w:p>
            <w:pPr>
              <w:jc w:val="center"/>
              <w:ind w:right="286"/>
              <w:spacing w:after="0" w:line="117" w:lineRule="exact"/>
              <w:rPr>
                <w:sz w:val="20"/>
                <w:szCs w:val="20"/>
                <w:color w:val="auto"/>
              </w:rPr>
            </w:pPr>
            <w:r>
              <w:rPr>
                <w:rFonts w:ascii="Times New Roman" w:cs="Times New Roman" w:eastAsia="Times New Roman" w:hAnsi="Times New Roman"/>
                <w:sz w:val="11"/>
                <w:szCs w:val="11"/>
                <w:b w:val="1"/>
                <w:bCs w:val="1"/>
                <w:color w:val="auto"/>
                <w:w w:val="97"/>
              </w:rPr>
              <w:t>Grant Date</w:t>
            </w:r>
          </w:p>
        </w:tc>
      </w:tr>
      <w:tr>
        <w:trPr>
          <w:trHeight w:val="137"/>
        </w:trPr>
        <w:tc>
          <w:tcPr>
            <w:tcW w:w="73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center"/>
              <w:ind w:left="206"/>
              <w:spacing w:after="0"/>
              <w:rPr>
                <w:sz w:val="20"/>
                <w:szCs w:val="20"/>
                <w:color w:val="auto"/>
              </w:rPr>
            </w:pPr>
            <w:r>
              <w:rPr>
                <w:rFonts w:ascii="Times New Roman" w:cs="Times New Roman" w:eastAsia="Times New Roman" w:hAnsi="Times New Roman"/>
                <w:sz w:val="11"/>
                <w:szCs w:val="11"/>
                <w:b w:val="1"/>
                <w:bCs w:val="1"/>
                <w:color w:val="auto"/>
                <w:w w:val="95"/>
              </w:rPr>
              <w:t>Units</w:t>
            </w:r>
          </w:p>
        </w:tc>
        <w:tc>
          <w:tcPr>
            <w:tcW w:w="460" w:type="dxa"/>
            <w:vAlign w:val="bottom"/>
            <w:tcBorders>
              <w:bottom w:val="single" w:sz="8" w:color="auto"/>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center"/>
              <w:ind w:right="286"/>
              <w:spacing w:after="0"/>
              <w:rPr>
                <w:sz w:val="20"/>
                <w:szCs w:val="20"/>
                <w:color w:val="auto"/>
              </w:rPr>
            </w:pPr>
            <w:r>
              <w:rPr>
                <w:rFonts w:ascii="Times New Roman" w:cs="Times New Roman" w:eastAsia="Times New Roman" w:hAnsi="Times New Roman"/>
                <w:sz w:val="11"/>
                <w:szCs w:val="11"/>
                <w:b w:val="1"/>
                <w:bCs w:val="1"/>
                <w:color w:val="auto"/>
                <w:w w:val="95"/>
              </w:rPr>
              <w:t>Fair Value</w:t>
            </w:r>
          </w:p>
        </w:tc>
      </w:tr>
      <w:tr>
        <w:trPr>
          <w:trHeight w:val="106"/>
        </w:trPr>
        <w:tc>
          <w:tcPr>
            <w:tcW w:w="73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Unvested balance at December 31, 2025</w:t>
            </w:r>
          </w:p>
        </w:tc>
        <w:tc>
          <w:tcPr>
            <w:tcW w:w="1280" w:type="dxa"/>
            <w:vAlign w:val="bottom"/>
            <w:gridSpan w:val="2"/>
            <w:shd w:val="clear" w:color="auto" w:fill="CCEEFF"/>
          </w:tcPr>
          <w:p>
            <w:pPr>
              <w:spacing w:after="0"/>
              <w:rPr>
                <w:sz w:val="9"/>
                <w:szCs w:val="9"/>
                <w:color w:val="auto"/>
              </w:rPr>
            </w:pPr>
          </w:p>
        </w:tc>
        <w:tc>
          <w:tcPr>
            <w:tcW w:w="46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907,703</w:t>
            </w:r>
          </w:p>
        </w:tc>
        <w:tc>
          <w:tcPr>
            <w:tcW w:w="420" w:type="dxa"/>
            <w:vAlign w:val="bottom"/>
            <w:shd w:val="clear" w:color="auto" w:fill="CCEEFF"/>
          </w:tcPr>
          <w:p>
            <w:pPr>
              <w:spacing w:after="0"/>
              <w:rPr>
                <w:sz w:val="9"/>
                <w:szCs w:val="9"/>
                <w:color w:val="auto"/>
              </w:rPr>
            </w:pPr>
          </w:p>
        </w:tc>
        <w:tc>
          <w:tcPr>
            <w:tcW w:w="340" w:type="dxa"/>
            <w:vAlign w:val="bottom"/>
            <w:shd w:val="clear" w:color="auto" w:fill="CCEEFF"/>
          </w:tcPr>
          <w:p>
            <w:pPr>
              <w:jc w:val="right"/>
              <w:ind w:right="2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20</w:t>
            </w:r>
          </w:p>
        </w:tc>
      </w:tr>
      <w:tr>
        <w:trPr>
          <w:trHeight w:val="117"/>
        </w:trPr>
        <w:tc>
          <w:tcPr>
            <w:tcW w:w="8660" w:type="dxa"/>
            <w:vAlign w:val="bottom"/>
            <w:gridSpan w:val="3"/>
          </w:tcPr>
          <w:p>
            <w:pPr>
              <w:spacing w:after="0" w:line="117" w:lineRule="exact"/>
              <w:rPr>
                <w:sz w:val="20"/>
                <w:szCs w:val="20"/>
                <w:color w:val="auto"/>
              </w:rPr>
            </w:pPr>
            <w:r>
              <w:rPr>
                <w:rFonts w:ascii="Times New Roman" w:cs="Times New Roman" w:eastAsia="Times New Roman" w:hAnsi="Times New Roman"/>
                <w:sz w:val="11"/>
                <w:szCs w:val="11"/>
                <w:color w:val="auto"/>
              </w:rPr>
              <w:t>Awards granted</w:t>
            </w:r>
          </w:p>
        </w:tc>
        <w:tc>
          <w:tcPr>
            <w:tcW w:w="880" w:type="dxa"/>
            <w:vAlign w:val="bottom"/>
            <w:gridSpan w:val="2"/>
          </w:tcPr>
          <w:p>
            <w:pPr>
              <w:jc w:val="right"/>
              <w:ind w:right="420"/>
              <w:spacing w:after="0" w:line="117" w:lineRule="exact"/>
              <w:rPr>
                <w:sz w:val="20"/>
                <w:szCs w:val="20"/>
                <w:color w:val="auto"/>
              </w:rPr>
            </w:pPr>
            <w:r>
              <w:rPr>
                <w:rFonts w:ascii="Times New Roman" w:cs="Times New Roman" w:eastAsia="Times New Roman" w:hAnsi="Times New Roman"/>
                <w:sz w:val="11"/>
                <w:szCs w:val="11"/>
                <w:color w:val="auto"/>
                <w:w w:val="99"/>
              </w:rPr>
              <w:t>1,019,499</w:t>
            </w:r>
          </w:p>
        </w:tc>
        <w:tc>
          <w:tcPr>
            <w:tcW w:w="340" w:type="dxa"/>
            <w:vAlign w:val="bottom"/>
          </w:tcPr>
          <w:p>
            <w:pPr>
              <w:jc w:val="right"/>
              <w:ind w:right="22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27.22</w:t>
            </w:r>
          </w:p>
        </w:tc>
      </w:tr>
      <w:tr>
        <w:trPr>
          <w:trHeight w:val="117"/>
        </w:trPr>
        <w:tc>
          <w:tcPr>
            <w:tcW w:w="8660" w:type="dxa"/>
            <w:vAlign w:val="bottom"/>
            <w:gridSpan w:val="3"/>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Awards vested</w:t>
            </w:r>
          </w:p>
        </w:tc>
        <w:tc>
          <w:tcPr>
            <w:tcW w:w="880" w:type="dxa"/>
            <w:vAlign w:val="bottom"/>
            <w:gridSpan w:val="2"/>
            <w:shd w:val="clear" w:color="auto" w:fill="CCEEFF"/>
          </w:tcPr>
          <w:p>
            <w:pPr>
              <w:jc w:val="right"/>
              <w:ind w:right="420"/>
              <w:spacing w:after="0" w:line="117" w:lineRule="exact"/>
              <w:rPr>
                <w:sz w:val="20"/>
                <w:szCs w:val="20"/>
                <w:color w:val="auto"/>
              </w:rPr>
            </w:pPr>
            <w:r>
              <w:rPr>
                <w:rFonts w:ascii="Times New Roman" w:cs="Times New Roman" w:eastAsia="Times New Roman" w:hAnsi="Times New Roman"/>
                <w:sz w:val="11"/>
                <w:szCs w:val="11"/>
                <w:color w:val="auto"/>
              </w:rPr>
              <w:t>(45,779)</w:t>
            </w:r>
          </w:p>
        </w:tc>
        <w:tc>
          <w:tcPr>
            <w:tcW w:w="340" w:type="dxa"/>
            <w:vAlign w:val="bottom"/>
            <w:shd w:val="clear" w:color="auto" w:fill="CCEEFF"/>
          </w:tcPr>
          <w:p>
            <w:pPr>
              <w:jc w:val="right"/>
              <w:ind w:right="22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19</w:t>
            </w:r>
          </w:p>
        </w:tc>
      </w:tr>
      <w:tr>
        <w:trPr>
          <w:trHeight w:val="117"/>
        </w:trPr>
        <w:tc>
          <w:tcPr>
            <w:tcW w:w="7600" w:type="dxa"/>
            <w:vAlign w:val="bottom"/>
            <w:tcBorders>
              <w:right w:val="single" w:sz="8" w:color="auto"/>
            </w:tcBorders>
            <w:gridSpan w:val="2"/>
          </w:tcPr>
          <w:p>
            <w:pPr>
              <w:spacing w:after="0" w:line="117" w:lineRule="exact"/>
              <w:rPr>
                <w:sz w:val="20"/>
                <w:szCs w:val="20"/>
                <w:color w:val="auto"/>
              </w:rPr>
            </w:pPr>
            <w:r>
              <w:rPr>
                <w:rFonts w:ascii="Times New Roman" w:cs="Times New Roman" w:eastAsia="Times New Roman" w:hAnsi="Times New Roman"/>
                <w:sz w:val="11"/>
                <w:szCs w:val="11"/>
                <w:color w:val="auto"/>
              </w:rPr>
              <w:t>Awards canceled</w:t>
            </w:r>
          </w:p>
        </w:tc>
        <w:tc>
          <w:tcPr>
            <w:tcW w:w="1060" w:type="dxa"/>
            <w:vAlign w:val="bottom"/>
          </w:tcPr>
          <w:p>
            <w:pPr>
              <w:spacing w:after="0"/>
              <w:rPr>
                <w:sz w:val="10"/>
                <w:szCs w:val="10"/>
                <w:color w:val="auto"/>
              </w:rPr>
            </w:pPr>
          </w:p>
        </w:tc>
        <w:tc>
          <w:tcPr>
            <w:tcW w:w="880" w:type="dxa"/>
            <w:vAlign w:val="bottom"/>
            <w:gridSpan w:val="2"/>
          </w:tcPr>
          <w:p>
            <w:pPr>
              <w:jc w:val="right"/>
              <w:ind w:right="420"/>
              <w:spacing w:after="0" w:line="117" w:lineRule="exact"/>
              <w:rPr>
                <w:sz w:val="20"/>
                <w:szCs w:val="20"/>
                <w:color w:val="auto"/>
              </w:rPr>
            </w:pPr>
            <w:r>
              <w:rPr>
                <w:rFonts w:ascii="Times New Roman" w:cs="Times New Roman" w:eastAsia="Times New Roman" w:hAnsi="Times New Roman"/>
                <w:sz w:val="11"/>
                <w:szCs w:val="11"/>
                <w:color w:val="auto"/>
              </w:rPr>
              <w:t>(41,002)</w:t>
            </w:r>
          </w:p>
        </w:tc>
        <w:tc>
          <w:tcPr>
            <w:tcW w:w="340" w:type="dxa"/>
            <w:vAlign w:val="bottom"/>
          </w:tcPr>
          <w:p>
            <w:pPr>
              <w:jc w:val="right"/>
              <w:ind w:right="22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21.48</w:t>
            </w:r>
          </w:p>
        </w:tc>
      </w:tr>
      <w:tr>
        <w:trPr>
          <w:trHeight w:val="106"/>
        </w:trPr>
        <w:tc>
          <w:tcPr>
            <w:tcW w:w="7380" w:type="dxa"/>
            <w:vAlign w:val="bottom"/>
            <w:tcBorders>
              <w:top w:val="single" w:sz="8" w:color="CCEEFF"/>
              <w:bottom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Unvested balance at March 31, 2026</w:t>
            </w:r>
          </w:p>
        </w:tc>
        <w:tc>
          <w:tcPr>
            <w:tcW w:w="220" w:type="dxa"/>
            <w:vAlign w:val="bottom"/>
            <w:tcBorders>
              <w:top w:val="single" w:sz="8" w:color="auto"/>
              <w:bottom w:val="single" w:sz="8" w:color="auto"/>
              <w:right w:val="single" w:sz="8" w:color="CCEEFF"/>
            </w:tcBorders>
            <w:shd w:val="clear" w:color="auto" w:fill="CCEEFF"/>
          </w:tcPr>
          <w:p>
            <w:pPr>
              <w:spacing w:after="0"/>
              <w:rPr>
                <w:sz w:val="9"/>
                <w:szCs w:val="9"/>
                <w:color w:val="auto"/>
              </w:rPr>
            </w:pPr>
          </w:p>
        </w:tc>
        <w:tc>
          <w:tcPr>
            <w:tcW w:w="1060" w:type="dxa"/>
            <w:vAlign w:val="bottom"/>
            <w:tcBorders>
              <w:top w:val="single" w:sz="8" w:color="auto"/>
              <w:bottom w:val="single" w:sz="8" w:color="auto"/>
            </w:tcBorders>
            <w:shd w:val="clear" w:color="auto" w:fill="CCEEFF"/>
          </w:tcPr>
          <w:p>
            <w:pPr>
              <w:spacing w:after="0"/>
              <w:rPr>
                <w:sz w:val="9"/>
                <w:szCs w:val="9"/>
                <w:color w:val="auto"/>
              </w:rPr>
            </w:pPr>
          </w:p>
        </w:tc>
        <w:tc>
          <w:tcPr>
            <w:tcW w:w="46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99"/>
              </w:rPr>
              <w:t>1,840,421</w:t>
            </w:r>
          </w:p>
        </w:tc>
        <w:tc>
          <w:tcPr>
            <w:tcW w:w="420" w:type="dxa"/>
            <w:vAlign w:val="bottom"/>
            <w:tcBorders>
              <w:top w:val="single" w:sz="8" w:color="CCEEFF"/>
              <w:bottom w:val="single" w:sz="8" w:color="CCEEFF"/>
            </w:tcBorders>
            <w:shd w:val="clear" w:color="auto" w:fill="CCEEFF"/>
          </w:tcPr>
          <w:p>
            <w:pPr>
              <w:spacing w:after="0"/>
              <w:rPr>
                <w:sz w:val="9"/>
                <w:szCs w:val="9"/>
                <w:color w:val="auto"/>
              </w:rPr>
            </w:pPr>
          </w:p>
        </w:tc>
        <w:tc>
          <w:tcPr>
            <w:tcW w:w="340" w:type="dxa"/>
            <w:vAlign w:val="bottom"/>
            <w:tcBorders>
              <w:top w:val="single" w:sz="8" w:color="CCEEFF"/>
              <w:bottom w:val="single" w:sz="8" w:color="CCEEFF"/>
            </w:tcBorders>
            <w:shd w:val="clear" w:color="auto" w:fill="CCEEFF"/>
          </w:tcPr>
          <w:p>
            <w:pPr>
              <w:jc w:val="right"/>
              <w:ind w:right="2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CCEEFF"/>
              <w:bottom w:val="single" w:sz="8" w:color="CCEEFF"/>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24.15</w:t>
            </w:r>
          </w:p>
        </w:tc>
      </w:tr>
    </w:tbl>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2025 Employee Stock Purchase Plan</w:t>
      </w:r>
    </w:p>
    <w:p>
      <w:pPr>
        <w:spacing w:after="0" w:line="125"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2"/>
          <w:szCs w:val="12"/>
          <w:color w:val="auto"/>
        </w:rPr>
        <w:t>Effective upon the Company’s IPO in August 2025, the Board of Directors adopted the 2025 Employee Stock Purchase Plan (“2025 ESPP”), under which eligible employees are permitted to purchase common stock at a discount through payroll deductions. A total of 1,233,964 shares of common stock are reserved for issuance and will be increased on the first day of each fiscal year, beginning in 2026, by an amount equal to the lesser of (i) 1.0% of the issued and outstanding shares of common stock as of the last day of the immediately preceding fiscal year; or (ii) an amount as determined by the Board of Directors. The price of the common stock purchased will be the lower of 85% of the fair market value of the common stock at the beginning of an offering period or at the end of a purchase period. The 2025 ESPP is intended to qualify as an “employee stock purchase plan” within the meaning of Section 423 of the Internal Revenue Code of 1986, as amended (the “IRC”).</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Stock-Based Compensation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estimated the fair value of stock options using the Black-Scholes option-pricing model based on the following assumptions: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380" w:type="dxa"/>
            <w:vAlign w:val="bottom"/>
          </w:tcPr>
          <w:p>
            <w:pPr>
              <w:spacing w:after="0"/>
              <w:rPr>
                <w:sz w:val="11"/>
                <w:szCs w:val="11"/>
                <w:color w:val="auto"/>
              </w:rPr>
            </w:pPr>
          </w:p>
        </w:tc>
        <w:tc>
          <w:tcPr>
            <w:tcW w:w="282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100" w:type="dxa"/>
            <w:vAlign w:val="bottom"/>
            <w:tcBorders>
              <w:bottom w:val="single" w:sz="8" w:color="auto"/>
            </w:tcBorders>
          </w:tcPr>
          <w:p>
            <w:pPr>
              <w:spacing w:after="0"/>
              <w:rPr>
                <w:sz w:val="11"/>
                <w:szCs w:val="11"/>
                <w:color w:val="auto"/>
              </w:rPr>
            </w:pPr>
          </w:p>
        </w:tc>
      </w:tr>
      <w:tr>
        <w:trPr>
          <w:trHeight w:val="106"/>
        </w:trPr>
        <w:tc>
          <w:tcPr>
            <w:tcW w:w="7380" w:type="dxa"/>
            <w:vAlign w:val="bottom"/>
            <w:tcBorders>
              <w:bottom w:val="single" w:sz="8" w:color="CCEEFF"/>
            </w:tcBorders>
          </w:tcPr>
          <w:p>
            <w:pPr>
              <w:spacing w:after="0"/>
              <w:rPr>
                <w:sz w:val="9"/>
                <w:szCs w:val="9"/>
                <w:color w:val="auto"/>
              </w:rPr>
            </w:pPr>
          </w:p>
        </w:tc>
        <w:tc>
          <w:tcPr>
            <w:tcW w:w="1740" w:type="dxa"/>
            <w:vAlign w:val="bottom"/>
            <w:tcBorders>
              <w:bottom w:val="single" w:sz="8" w:color="auto"/>
            </w:tcBorders>
          </w:tcPr>
          <w:p>
            <w:pPr>
              <w:jc w:val="right"/>
              <w:ind w:right="706"/>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420" w:type="dxa"/>
            <w:vAlign w:val="bottom"/>
            <w:tcBorders>
              <w:bottom w:val="single" w:sz="8" w:color="CCEEFF"/>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jc w:val="right"/>
              <w:ind w:right="706"/>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r>
      <w:tr>
        <w:trPr>
          <w:trHeight w:val="106"/>
        </w:trPr>
        <w:tc>
          <w:tcPr>
            <w:tcW w:w="73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Expected life (in years)</w:t>
            </w:r>
          </w:p>
        </w:tc>
        <w:tc>
          <w:tcPr>
            <w:tcW w:w="174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6.00</w:t>
            </w:r>
          </w:p>
        </w:tc>
        <w:tc>
          <w:tcPr>
            <w:tcW w:w="4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1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6.00</w:t>
            </w:r>
          </w:p>
        </w:tc>
      </w:tr>
      <w:tr>
        <w:trPr>
          <w:trHeight w:val="117"/>
        </w:trPr>
        <w:tc>
          <w:tcPr>
            <w:tcW w:w="738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Expected volatility</w:t>
            </w:r>
          </w:p>
        </w:tc>
        <w:tc>
          <w:tcPr>
            <w:tcW w:w="2160" w:type="dxa"/>
            <w:vAlign w:val="bottom"/>
            <w:gridSpan w:val="2"/>
          </w:tcPr>
          <w:p>
            <w:pPr>
              <w:jc w:val="right"/>
              <w:ind w:right="420"/>
              <w:spacing w:after="0" w:line="117" w:lineRule="exact"/>
              <w:rPr>
                <w:sz w:val="20"/>
                <w:szCs w:val="20"/>
                <w:color w:val="auto"/>
              </w:rPr>
            </w:pPr>
            <w:r>
              <w:rPr>
                <w:rFonts w:ascii="Times New Roman" w:cs="Times New Roman" w:eastAsia="Times New Roman" w:hAnsi="Times New Roman"/>
                <w:sz w:val="11"/>
                <w:szCs w:val="11"/>
                <w:color w:val="auto"/>
              </w:rPr>
              <w:t>57.1%</w:t>
            </w:r>
          </w:p>
        </w:tc>
        <w:tc>
          <w:tcPr>
            <w:tcW w:w="660" w:type="dxa"/>
            <w:vAlign w:val="bottom"/>
          </w:tcPr>
          <w:p>
            <w:pPr>
              <w:spacing w:after="0"/>
              <w:rPr>
                <w:sz w:val="10"/>
                <w:szCs w:val="10"/>
                <w:color w:val="auto"/>
              </w:rPr>
            </w:pPr>
          </w:p>
        </w:tc>
        <w:tc>
          <w:tcPr>
            <w:tcW w:w="11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55.0%-55.4%</w:t>
            </w:r>
          </w:p>
        </w:tc>
      </w:tr>
      <w:tr>
        <w:trPr>
          <w:trHeight w:val="117"/>
        </w:trPr>
        <w:tc>
          <w:tcPr>
            <w:tcW w:w="73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Risk-free interest rate</w:t>
            </w:r>
          </w:p>
        </w:tc>
        <w:tc>
          <w:tcPr>
            <w:tcW w:w="2160" w:type="dxa"/>
            <w:vAlign w:val="bottom"/>
            <w:gridSpan w:val="2"/>
            <w:shd w:val="clear" w:color="auto" w:fill="CCEEFF"/>
          </w:tcPr>
          <w:p>
            <w:pPr>
              <w:jc w:val="right"/>
              <w:ind w:right="420"/>
              <w:spacing w:after="0" w:line="117" w:lineRule="exact"/>
              <w:rPr>
                <w:sz w:val="20"/>
                <w:szCs w:val="20"/>
                <w:color w:val="auto"/>
              </w:rPr>
            </w:pPr>
            <w:r>
              <w:rPr>
                <w:rFonts w:ascii="Times New Roman" w:cs="Times New Roman" w:eastAsia="Times New Roman" w:hAnsi="Times New Roman"/>
                <w:sz w:val="11"/>
                <w:szCs w:val="11"/>
                <w:color w:val="auto"/>
              </w:rPr>
              <w:t>3.9%</w:t>
            </w:r>
          </w:p>
        </w:tc>
        <w:tc>
          <w:tcPr>
            <w:tcW w:w="66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4.0%</w:t>
            </w:r>
          </w:p>
        </w:tc>
      </w:tr>
      <w:tr>
        <w:trPr>
          <w:trHeight w:val="140"/>
        </w:trPr>
        <w:tc>
          <w:tcPr>
            <w:tcW w:w="7380" w:type="dxa"/>
            <w:vAlign w:val="bottom"/>
          </w:tcPr>
          <w:p>
            <w:pPr>
              <w:spacing w:after="0"/>
              <w:rPr>
                <w:sz w:val="20"/>
                <w:szCs w:val="20"/>
                <w:color w:val="auto"/>
              </w:rPr>
            </w:pPr>
            <w:r>
              <w:rPr>
                <w:rFonts w:ascii="Times New Roman" w:cs="Times New Roman" w:eastAsia="Times New Roman" w:hAnsi="Times New Roman"/>
                <w:sz w:val="11"/>
                <w:szCs w:val="11"/>
                <w:color w:val="auto"/>
              </w:rPr>
              <w:t>Dividend yield</w:t>
            </w:r>
          </w:p>
        </w:tc>
        <w:tc>
          <w:tcPr>
            <w:tcW w:w="2820" w:type="dxa"/>
            <w:vAlign w:val="bottom"/>
            <w:gridSpan w:val="3"/>
          </w:tcPr>
          <w:p>
            <w:pPr>
              <w:jc w:val="right"/>
              <w:ind w:right="10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47"/>
        </w:trPr>
        <w:tc>
          <w:tcPr>
            <w:tcW w:w="1020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The Company estimated the fair value of the shares to be issued under the Company’s 2025 ESPP using the Black-Scholes option-pricing model based on the following assumptions:</w:t>
            </w:r>
          </w:p>
        </w:tc>
        <w:tc>
          <w:tcPr>
            <w:tcW w:w="1100" w:type="dxa"/>
            <w:vAlign w:val="bottom"/>
          </w:tcPr>
          <w:p>
            <w:pPr>
              <w:spacing w:after="0"/>
              <w:rPr>
                <w:sz w:val="21"/>
                <w:szCs w:val="21"/>
                <w:color w:val="auto"/>
              </w:rPr>
            </w:pPr>
          </w:p>
        </w:tc>
      </w:tr>
    </w:tbl>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120" w:type="dxa"/>
            <w:vAlign w:val="bottom"/>
          </w:tcPr>
          <w:p>
            <w:pPr>
              <w:spacing w:after="0"/>
              <w:rPr>
                <w:sz w:val="11"/>
                <w:szCs w:val="11"/>
                <w:color w:val="auto"/>
              </w:rPr>
            </w:pPr>
          </w:p>
        </w:tc>
        <w:tc>
          <w:tcPr>
            <w:tcW w:w="2180" w:type="dxa"/>
            <w:vAlign w:val="bottom"/>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37"/>
        </w:trPr>
        <w:tc>
          <w:tcPr>
            <w:tcW w:w="9120" w:type="dxa"/>
            <w:vAlign w:val="bottom"/>
            <w:tcBorders>
              <w:bottom w:val="single" w:sz="8" w:color="CCEEFF"/>
            </w:tcBorders>
          </w:tcPr>
          <w:p>
            <w:pPr>
              <w:spacing w:after="0"/>
              <w:rPr>
                <w:sz w:val="11"/>
                <w:szCs w:val="11"/>
                <w:color w:val="auto"/>
              </w:rPr>
            </w:pPr>
          </w:p>
        </w:tc>
        <w:tc>
          <w:tcPr>
            <w:tcW w:w="2180" w:type="dxa"/>
            <w:vAlign w:val="bottom"/>
            <w:tcBorders>
              <w:bottom w:val="single" w:sz="8" w:color="auto"/>
            </w:tcBorders>
          </w:tcPr>
          <w:p>
            <w:pPr>
              <w:jc w:val="right"/>
              <w:ind w:right="926"/>
              <w:spacing w:after="0"/>
              <w:rPr>
                <w:sz w:val="20"/>
                <w:szCs w:val="20"/>
                <w:color w:val="auto"/>
              </w:rPr>
            </w:pPr>
            <w:r>
              <w:rPr>
                <w:rFonts w:ascii="Times New Roman" w:cs="Times New Roman" w:eastAsia="Times New Roman" w:hAnsi="Times New Roman"/>
                <w:sz w:val="11"/>
                <w:szCs w:val="11"/>
                <w:b w:val="1"/>
                <w:bCs w:val="1"/>
                <w:color w:val="auto"/>
              </w:rPr>
              <w:t>2026</w:t>
            </w:r>
          </w:p>
        </w:tc>
      </w:tr>
      <w:tr>
        <w:trPr>
          <w:trHeight w:val="106"/>
        </w:trPr>
        <w:tc>
          <w:tcPr>
            <w:tcW w:w="91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Expected life (in years)</w:t>
            </w:r>
          </w:p>
        </w:tc>
        <w:tc>
          <w:tcPr>
            <w:tcW w:w="218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0.5</w:t>
            </w:r>
          </w:p>
        </w:tc>
      </w:tr>
      <w:tr>
        <w:trPr>
          <w:trHeight w:val="117"/>
        </w:trPr>
        <w:tc>
          <w:tcPr>
            <w:tcW w:w="912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Expected volatility</w:t>
            </w:r>
          </w:p>
        </w:tc>
        <w:tc>
          <w:tcPr>
            <w:tcW w:w="21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55.1%</w:t>
            </w:r>
          </w:p>
        </w:tc>
      </w:tr>
      <w:tr>
        <w:trPr>
          <w:trHeight w:val="117"/>
        </w:trPr>
        <w:tc>
          <w:tcPr>
            <w:tcW w:w="91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Risk-free interest rate</w:t>
            </w:r>
          </w:p>
        </w:tc>
        <w:tc>
          <w:tcPr>
            <w:tcW w:w="21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3.7%</w:t>
            </w:r>
          </w:p>
        </w:tc>
      </w:tr>
      <w:tr>
        <w:trPr>
          <w:trHeight w:val="140"/>
        </w:trPr>
        <w:tc>
          <w:tcPr>
            <w:tcW w:w="9120" w:type="dxa"/>
            <w:vAlign w:val="bottom"/>
          </w:tcPr>
          <w:p>
            <w:pPr>
              <w:spacing w:after="0"/>
              <w:rPr>
                <w:sz w:val="20"/>
                <w:szCs w:val="20"/>
                <w:color w:val="auto"/>
              </w:rPr>
            </w:pPr>
            <w:r>
              <w:rPr>
                <w:rFonts w:ascii="Times New Roman" w:cs="Times New Roman" w:eastAsia="Times New Roman" w:hAnsi="Times New Roman"/>
                <w:sz w:val="11"/>
                <w:szCs w:val="11"/>
                <w:color w:val="auto"/>
              </w:rPr>
              <w:t>Dividend yield</w:t>
            </w:r>
          </w:p>
        </w:tc>
        <w:tc>
          <w:tcPr>
            <w:tcW w:w="2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significant assumptions used in these calculations are summarized as follows:</w:t>
      </w:r>
    </w:p>
    <w:p>
      <w:pPr>
        <w:spacing w:after="0" w:line="121" w:lineRule="exact"/>
        <w:rPr>
          <w:sz w:val="20"/>
          <w:szCs w:val="20"/>
          <w:color w:val="auto"/>
        </w:rPr>
      </w:pPr>
    </w:p>
    <w:p>
      <w:pPr>
        <w:jc w:val="center"/>
        <w:ind w:right="160"/>
        <w:spacing w:after="0" w:line="252" w:lineRule="auto"/>
        <w:rPr>
          <w:sz w:val="20"/>
          <w:szCs w:val="20"/>
          <w:color w:val="auto"/>
        </w:rPr>
      </w:pPr>
      <w:r>
        <w:rPr>
          <w:rFonts w:ascii="Times New Roman" w:cs="Times New Roman" w:eastAsia="Times New Roman" w:hAnsi="Times New Roman"/>
          <w:sz w:val="12"/>
          <w:szCs w:val="12"/>
          <w:i w:val="1"/>
          <w:iCs w:val="1"/>
          <w:color w:val="auto"/>
        </w:rPr>
        <w:t>Fair value of common stock</w:t>
      </w:r>
      <w:r>
        <w:rPr>
          <w:rFonts w:ascii="Times New Roman" w:cs="Times New Roman" w:eastAsia="Times New Roman" w:hAnsi="Times New Roman"/>
          <w:sz w:val="12"/>
          <w:szCs w:val="12"/>
          <w:color w:val="auto"/>
        </w:rPr>
        <w:t>. Because there had been no public market for the Company’s common stock prior to the IPO, the fair value of common stock shares underlying stock options has historically been determined by the Board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120015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3"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jc w:val="center"/>
        <w:spacing w:after="0" w:line="234" w:lineRule="auto"/>
        <w:rPr>
          <w:sz w:val="20"/>
          <w:szCs w:val="20"/>
          <w:color w:val="auto"/>
        </w:rPr>
      </w:pPr>
      <w:r>
        <w:rPr>
          <w:rFonts w:ascii="Times New Roman" w:cs="Times New Roman" w:eastAsia="Times New Roman" w:hAnsi="Times New Roman"/>
          <w:sz w:val="19"/>
          <w:szCs w:val="19"/>
          <w:b w:val="1"/>
          <w:bCs w:val="1"/>
          <w:color w:val="auto"/>
        </w:rPr>
        <w:t>Heartflow, Inc.</w:t>
      </w:r>
    </w:p>
    <w:p>
      <w:pPr>
        <w:jc w:val="center"/>
        <w:spacing w:after="0" w:line="220" w:lineRule="auto"/>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11"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2"/>
          <w:szCs w:val="12"/>
          <w:color w:val="auto"/>
        </w:rPr>
        <w:t>of Directors at the time of option grant by considering an independent valuation performed by a third-party valuation firm as well as a number of objective and subjective factors, including a valuation of comparable companies, sales of convertible preferred stock to unrelated third parties, operating and financial performance, the lack of liquidity of capital stock and general and industry specific economic outlook, among other factors. The fair value of common stock was determined in accordance with applicable elements of the American Institute of Certified Public Accountants Practice Aid, Valuation of Privately-Held-Company Equity Securities Issued as Compensation. Subsequent to its IPO, the fair value of the underlying common stock is based on the closing price of the Company’s common stock on the Nasdaq Stock Market on the date of grant.</w:t>
      </w:r>
    </w:p>
    <w:p>
      <w:pPr>
        <w:spacing w:after="0" w:line="106" w:lineRule="exact"/>
        <w:rPr>
          <w:sz w:val="20"/>
          <w:szCs w:val="20"/>
          <w:color w:val="auto"/>
        </w:rPr>
      </w:pPr>
    </w:p>
    <w:p>
      <w:pPr>
        <w:ind w:right="400"/>
        <w:spacing w:after="0" w:line="237" w:lineRule="auto"/>
        <w:rPr>
          <w:sz w:val="20"/>
          <w:szCs w:val="20"/>
          <w:color w:val="auto"/>
        </w:rPr>
      </w:pPr>
      <w:r>
        <w:rPr>
          <w:rFonts w:ascii="Times New Roman" w:cs="Times New Roman" w:eastAsia="Times New Roman" w:hAnsi="Times New Roman"/>
          <w:sz w:val="12"/>
          <w:szCs w:val="12"/>
          <w:i w:val="1"/>
          <w:iCs w:val="1"/>
          <w:color w:val="auto"/>
        </w:rPr>
        <w:t>Expected term</w:t>
      </w:r>
      <w:r>
        <w:rPr>
          <w:rFonts w:ascii="Times New Roman" w:cs="Times New Roman" w:eastAsia="Times New Roman" w:hAnsi="Times New Roman"/>
          <w:sz w:val="12"/>
          <w:szCs w:val="12"/>
          <w:color w:val="auto"/>
        </w:rPr>
        <w:t>. The expected term of stock options represents the weighted-average period that the stock options are expected to remain outstanding. The Company does not have sufficient historical exercise and post-vesting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104"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2"/>
          <w:szCs w:val="12"/>
          <w:i w:val="1"/>
          <w:iCs w:val="1"/>
          <w:color w:val="auto"/>
        </w:rPr>
        <w:t>Expected volatility</w:t>
      </w:r>
      <w:r>
        <w:rPr>
          <w:rFonts w:ascii="Times New Roman" w:cs="Times New Roman" w:eastAsia="Times New Roman" w:hAnsi="Times New Roman"/>
          <w:sz w:val="12"/>
          <w:szCs w:val="12"/>
          <w:color w:val="auto"/>
        </w:rPr>
        <w:t>. As the Company was not publicly traded prior to the IPO and does not have sufficient trading history after the IPO, the expected volatility for the Company’s stock options was determined by using an average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historical volatilities of selected industry peers deemed to be comparable to the Company’s business corresponding to the expected term of the awards.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Risk-free interest rate</w:t>
      </w:r>
      <w:r>
        <w:rPr>
          <w:rFonts w:ascii="Times New Roman" w:cs="Times New Roman" w:eastAsia="Times New Roman" w:hAnsi="Times New Roman"/>
          <w:sz w:val="12"/>
          <w:szCs w:val="12"/>
          <w:color w:val="auto"/>
        </w:rPr>
        <w:t>. The risk-free interest rate is based on the U.S. Treasury yield curve in effect at the time of grant for zero-coupon U.S. Treasury notes with maturities corresponding to the expected term of the awards.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Expected dividend yield</w:t>
      </w:r>
      <w:r>
        <w:rPr>
          <w:rFonts w:ascii="Times New Roman" w:cs="Times New Roman" w:eastAsia="Times New Roman" w:hAnsi="Times New Roman"/>
          <w:sz w:val="12"/>
          <w:szCs w:val="12"/>
          <w:color w:val="auto"/>
        </w:rPr>
        <w:t>. The expected dividend rate is zero as the Company currently has no history or expectation of declaring dividends on its common stock.</w:t>
      </w:r>
    </w:p>
    <w:p>
      <w:pPr>
        <w:spacing w:after="0" w:line="125"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2"/>
          <w:szCs w:val="12"/>
          <w:color w:val="auto"/>
        </w:rPr>
        <w:t>The Company also issues stock options with vesting based upon completion of performance goals. The fair value for these performance-based awards is recognized over the period during which the goals are to be achieved. Stock-based compensation expense recognized at fair value includes the impact of estimated probability that the goals would be achieved, which is assessed prior to the requisite service period for the specific goals.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Total stock-based compensation expense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560" w:type="dxa"/>
            <w:vAlign w:val="bottom"/>
            <w:gridSpan w:val="3"/>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520" w:type="dxa"/>
            <w:vAlign w:val="bottom"/>
          </w:tcPr>
          <w:p>
            <w:pPr>
              <w:spacing w:after="0"/>
              <w:rPr>
                <w:sz w:val="11"/>
                <w:szCs w:val="11"/>
                <w:color w:val="auto"/>
              </w:rPr>
            </w:pPr>
          </w:p>
        </w:tc>
      </w:tr>
      <w:tr>
        <w:trPr>
          <w:trHeight w:val="137"/>
        </w:trPr>
        <w:tc>
          <w:tcPr>
            <w:tcW w:w="6680" w:type="dxa"/>
            <w:vAlign w:val="bottom"/>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right"/>
              <w:ind w:right="533"/>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520" w:type="dxa"/>
            <w:vAlign w:val="bottom"/>
            <w:tcBorders>
              <w:bottom w:val="single" w:sz="8" w:color="auto"/>
            </w:tcBorders>
          </w:tcPr>
          <w:p>
            <w:pPr>
              <w:spacing w:after="0"/>
              <w:rPr>
                <w:sz w:val="11"/>
                <w:szCs w:val="11"/>
                <w:color w:val="auto"/>
              </w:rPr>
            </w:pPr>
          </w:p>
        </w:tc>
      </w:tr>
      <w:tr>
        <w:trPr>
          <w:trHeight w:val="106"/>
        </w:trPr>
        <w:tc>
          <w:tcPr>
            <w:tcW w:w="6680" w:type="dxa"/>
            <w:vAlign w:val="bottom"/>
            <w:tcBorders>
              <w:bottom w:val="single" w:sz="8" w:color="CCEEFF"/>
            </w:tcBorders>
          </w:tcPr>
          <w:p>
            <w:pPr>
              <w:spacing w:after="0"/>
              <w:rPr>
                <w:sz w:val="9"/>
                <w:szCs w:val="9"/>
                <w:color w:val="auto"/>
              </w:rPr>
            </w:pPr>
          </w:p>
        </w:tc>
        <w:tc>
          <w:tcPr>
            <w:tcW w:w="1540" w:type="dxa"/>
            <w:vAlign w:val="bottom"/>
            <w:tcBorders>
              <w:bottom w:val="single" w:sz="8" w:color="auto"/>
            </w:tcBorders>
          </w:tcPr>
          <w:p>
            <w:pPr>
              <w:jc w:val="right"/>
              <w:ind w:right="246"/>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72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jc w:val="right"/>
              <w:ind w:right="946"/>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r>
      <w:tr>
        <w:trPr>
          <w:trHeight w:val="106"/>
        </w:trPr>
        <w:tc>
          <w:tcPr>
            <w:tcW w:w="66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Cost of revenue</w:t>
            </w:r>
          </w:p>
        </w:tc>
        <w:tc>
          <w:tcPr>
            <w:tcW w:w="1540" w:type="dxa"/>
            <w:vAlign w:val="bottom"/>
            <w:shd w:val="clear" w:color="auto" w:fill="CCEEFF"/>
          </w:tcPr>
          <w:p>
            <w:pPr>
              <w:jc w:val="right"/>
              <w:ind w:right="14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166</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5"/>
                <w:szCs w:val="5"/>
                <w:color w:val="auto"/>
                <w:w w:val="78"/>
              </w:rPr>
              <w:t>$</w:t>
            </w:r>
          </w:p>
        </w:tc>
        <w:tc>
          <w:tcPr>
            <w:tcW w:w="152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57</w:t>
            </w:r>
          </w:p>
        </w:tc>
      </w:tr>
      <w:tr>
        <w:trPr>
          <w:trHeight w:val="117"/>
        </w:trPr>
        <w:tc>
          <w:tcPr>
            <w:tcW w:w="668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Research and development</w:t>
            </w:r>
          </w:p>
        </w:tc>
        <w:tc>
          <w:tcPr>
            <w:tcW w:w="154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2,138</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547</w:t>
            </w:r>
          </w:p>
        </w:tc>
      </w:tr>
      <w:tr>
        <w:trPr>
          <w:trHeight w:val="117"/>
        </w:trPr>
        <w:tc>
          <w:tcPr>
            <w:tcW w:w="66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Selling, general and administrative</w:t>
            </w:r>
          </w:p>
        </w:tc>
        <w:tc>
          <w:tcPr>
            <w:tcW w:w="154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4,250</w:t>
            </w:r>
          </w:p>
        </w:tc>
        <w:tc>
          <w:tcPr>
            <w:tcW w:w="14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spacing w:after="0"/>
              <w:rPr>
                <w:sz w:val="10"/>
                <w:szCs w:val="10"/>
                <w:color w:val="auto"/>
              </w:rPr>
            </w:pPr>
          </w:p>
        </w:tc>
        <w:tc>
          <w:tcPr>
            <w:tcW w:w="152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1,888</w:t>
            </w:r>
          </w:p>
        </w:tc>
      </w:tr>
      <w:tr>
        <w:trPr>
          <w:trHeight w:val="113"/>
        </w:trPr>
        <w:tc>
          <w:tcPr>
            <w:tcW w:w="668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Total stock-based compensation expense</w:t>
            </w:r>
          </w:p>
        </w:tc>
        <w:tc>
          <w:tcPr>
            <w:tcW w:w="1540" w:type="dxa"/>
            <w:vAlign w:val="bottom"/>
            <w:tcBorders>
              <w:bottom w:val="single" w:sz="8" w:color="auto"/>
            </w:tcBorders>
          </w:tcPr>
          <w:p>
            <w:pPr>
              <w:jc w:val="right"/>
              <w:ind w:right="14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6,554</w:t>
            </w:r>
          </w:p>
        </w:tc>
        <w:tc>
          <w:tcPr>
            <w:tcW w:w="140" w:type="dxa"/>
            <w:vAlign w:val="bottom"/>
          </w:tcPr>
          <w:p>
            <w:pPr>
              <w:spacing w:after="0"/>
              <w:rPr>
                <w:sz w:val="9"/>
                <w:szCs w:val="9"/>
                <w:color w:val="auto"/>
              </w:rPr>
            </w:pPr>
          </w:p>
        </w:tc>
        <w:tc>
          <w:tcPr>
            <w:tcW w:w="70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5"/>
                <w:szCs w:val="5"/>
                <w:color w:val="auto"/>
                <w:w w:val="78"/>
              </w:rPr>
              <w:t>$</w:t>
            </w:r>
          </w:p>
        </w:tc>
        <w:tc>
          <w:tcPr>
            <w:tcW w:w="152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2,492</w:t>
            </w:r>
          </w:p>
        </w:tc>
      </w:tr>
    </w:tbl>
    <w:p>
      <w:pPr>
        <w:spacing w:after="0" w:line="115" w:lineRule="exact"/>
        <w:rPr>
          <w:sz w:val="20"/>
          <w:szCs w:val="20"/>
          <w:color w:val="auto"/>
        </w:rPr>
      </w:pPr>
    </w:p>
    <w:p>
      <w:pPr>
        <w:jc w:val="both"/>
        <w:ind w:right="300"/>
        <w:spacing w:after="0" w:line="235" w:lineRule="auto"/>
        <w:rPr>
          <w:sz w:val="20"/>
          <w:szCs w:val="20"/>
          <w:color w:val="auto"/>
        </w:rPr>
      </w:pPr>
      <w:r>
        <w:rPr>
          <w:rFonts w:ascii="Times New Roman" w:cs="Times New Roman" w:eastAsia="Times New Roman" w:hAnsi="Times New Roman"/>
          <w:sz w:val="12"/>
          <w:szCs w:val="12"/>
          <w:color w:val="auto"/>
        </w:rPr>
        <w:t>As of March 31, 2026, total unrecognized stock-based compensation costs related to unvested stock options was $40.9 million, which is expected to be recognized over a remaining weighted-average period of 3.31 years, a total of $42.4 million of unrecognized compensation costs related to unvested RSUs expected to be recognized over a period of approximately 3.75 years and $1.1 million of unrecognized compensation costs related to the ESPP, which is expected to be recognized over 0.44 years.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Employee Retirement Plan</w:t>
      </w:r>
    </w:p>
    <w:p>
      <w:pPr>
        <w:spacing w:after="0" w:line="127"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2"/>
          <w:szCs w:val="12"/>
          <w:color w:val="auto"/>
        </w:rPr>
        <w:t>The Company has a qualified retirement plan under section 401(k) of the IRC under which participants may contribute up to 100% of their eligible compensation, subject to maximum deferral limits specified by the IRC. The Company may make matching contributions of up to 4.0% of an employee’s eligible compensation, subject to conditions specified by the IRC. The Company’s matching contributions totaled $1.3 million and $688,000 during the three months ended March 31, 2026 and 2025, respectively.</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3"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jc w:val="center"/>
        <w:spacing w:after="0" w:line="234" w:lineRule="auto"/>
        <w:rPr>
          <w:sz w:val="20"/>
          <w:szCs w:val="20"/>
          <w:color w:val="auto"/>
        </w:rPr>
      </w:pPr>
      <w:r>
        <w:rPr>
          <w:rFonts w:ascii="Times New Roman" w:cs="Times New Roman" w:eastAsia="Times New Roman" w:hAnsi="Times New Roman"/>
          <w:sz w:val="19"/>
          <w:szCs w:val="19"/>
          <w:b w:val="1"/>
          <w:bCs w:val="1"/>
          <w:color w:val="auto"/>
        </w:rPr>
        <w:t>Heartflow, Inc.</w:t>
      </w:r>
    </w:p>
    <w:p>
      <w:pPr>
        <w:jc w:val="center"/>
        <w:spacing w:after="0" w:line="220" w:lineRule="auto"/>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Net Loss Per Share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sets forth the computation of basic and diluted net loss per share (in thousands, except share and per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9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540" w:type="dxa"/>
            <w:vAlign w:val="bottom"/>
            <w:gridSpan w:val="3"/>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420" w:type="dxa"/>
            <w:vAlign w:val="bottom"/>
          </w:tcPr>
          <w:p>
            <w:pPr>
              <w:spacing w:after="0"/>
              <w:rPr>
                <w:sz w:val="11"/>
                <w:szCs w:val="11"/>
                <w:color w:val="auto"/>
              </w:rPr>
            </w:pPr>
          </w:p>
        </w:tc>
      </w:tr>
      <w:tr>
        <w:trPr>
          <w:trHeight w:val="137"/>
        </w:trPr>
        <w:tc>
          <w:tcPr>
            <w:tcW w:w="6960" w:type="dxa"/>
            <w:vAlign w:val="bottom"/>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3"/>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420" w:type="dxa"/>
            <w:vAlign w:val="bottom"/>
            <w:tcBorders>
              <w:bottom w:val="single" w:sz="8" w:color="auto"/>
            </w:tcBorders>
          </w:tcPr>
          <w:p>
            <w:pPr>
              <w:spacing w:after="0"/>
              <w:rPr>
                <w:sz w:val="11"/>
                <w:szCs w:val="11"/>
                <w:color w:val="auto"/>
              </w:rPr>
            </w:pPr>
          </w:p>
        </w:tc>
      </w:tr>
      <w:tr>
        <w:trPr>
          <w:trHeight w:val="106"/>
        </w:trPr>
        <w:tc>
          <w:tcPr>
            <w:tcW w:w="6960" w:type="dxa"/>
            <w:vAlign w:val="bottom"/>
            <w:tcBorders>
              <w:bottom w:val="single" w:sz="8" w:color="CCEEFF"/>
            </w:tcBorders>
          </w:tcPr>
          <w:p>
            <w:pPr>
              <w:spacing w:after="0"/>
              <w:rPr>
                <w:sz w:val="9"/>
                <w:szCs w:val="9"/>
                <w:color w:val="auto"/>
              </w:rPr>
            </w:pPr>
          </w:p>
        </w:tc>
        <w:tc>
          <w:tcPr>
            <w:tcW w:w="1380" w:type="dxa"/>
            <w:vAlign w:val="bottom"/>
            <w:tcBorders>
              <w:bottom w:val="single" w:sz="8" w:color="auto"/>
            </w:tcBorders>
          </w:tcPr>
          <w:p>
            <w:pPr>
              <w:jc w:val="right"/>
              <w:ind w:right="166"/>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74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jc w:val="right"/>
              <w:ind w:right="886"/>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r>
      <w:tr>
        <w:trPr>
          <w:trHeight w:val="106"/>
        </w:trPr>
        <w:tc>
          <w:tcPr>
            <w:tcW w:w="696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Numerator:</w:t>
            </w:r>
          </w:p>
        </w:tc>
        <w:tc>
          <w:tcPr>
            <w:tcW w:w="13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r>
      <w:tr>
        <w:trPr>
          <w:trHeight w:val="99"/>
        </w:trPr>
        <w:tc>
          <w:tcPr>
            <w:tcW w:w="6960" w:type="dxa"/>
            <w:vAlign w:val="bottom"/>
          </w:tcPr>
          <w:p>
            <w:pPr>
              <w:spacing w:after="0" w:line="99" w:lineRule="exact"/>
              <w:rPr>
                <w:sz w:val="20"/>
                <w:szCs w:val="20"/>
                <w:color w:val="auto"/>
              </w:rPr>
            </w:pPr>
            <w:r>
              <w:rPr>
                <w:rFonts w:ascii="Times New Roman" w:cs="Times New Roman" w:eastAsia="Times New Roman" w:hAnsi="Times New Roman"/>
                <w:sz w:val="11"/>
                <w:szCs w:val="11"/>
                <w:color w:val="auto"/>
              </w:rPr>
              <w:t>Net loss</w:t>
            </w:r>
          </w:p>
        </w:tc>
        <w:tc>
          <w:tcPr>
            <w:tcW w:w="1380" w:type="dxa"/>
            <w:vAlign w:val="bottom"/>
          </w:tcPr>
          <w:p>
            <w:pPr>
              <w:jc w:val="right"/>
              <w:ind w:right="1266"/>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1"/>
                <w:szCs w:val="11"/>
                <w:color w:val="auto"/>
              </w:rPr>
              <w:t>(27,380)</w:t>
            </w:r>
          </w:p>
        </w:tc>
        <w:tc>
          <w:tcPr>
            <w:tcW w:w="680" w:type="dxa"/>
            <w:vAlign w:val="bottom"/>
          </w:tcPr>
          <w:p>
            <w:pPr>
              <w:jc w:val="right"/>
              <w:ind w:right="566"/>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spacing w:after="0" w:line="99" w:lineRule="exact"/>
              <w:rPr>
                <w:sz w:val="20"/>
                <w:szCs w:val="20"/>
                <w:color w:val="auto"/>
              </w:rPr>
            </w:pPr>
            <w:r>
              <w:rPr>
                <w:rFonts w:ascii="Times New Roman" w:cs="Times New Roman" w:eastAsia="Times New Roman" w:hAnsi="Times New Roman"/>
                <w:sz w:val="11"/>
                <w:szCs w:val="11"/>
                <w:color w:val="auto"/>
              </w:rPr>
              <w:t>(32,345)</w:t>
            </w:r>
          </w:p>
        </w:tc>
      </w:tr>
      <w:tr>
        <w:trPr>
          <w:trHeight w:val="135"/>
        </w:trPr>
        <w:tc>
          <w:tcPr>
            <w:tcW w:w="6960" w:type="dxa"/>
            <w:vAlign w:val="bottom"/>
          </w:tcPr>
          <w:p>
            <w:pPr>
              <w:spacing w:after="0"/>
              <w:rPr>
                <w:sz w:val="20"/>
                <w:szCs w:val="20"/>
                <w:color w:val="auto"/>
              </w:rPr>
            </w:pPr>
            <w:r>
              <w:rPr>
                <w:rFonts w:ascii="Times New Roman" w:cs="Times New Roman" w:eastAsia="Times New Roman" w:hAnsi="Times New Roman"/>
                <w:sz w:val="11"/>
                <w:szCs w:val="11"/>
                <w:color w:val="auto"/>
              </w:rPr>
              <w:t>Denominator:</w:t>
            </w:r>
          </w:p>
        </w:tc>
        <w:tc>
          <w:tcPr>
            <w:tcW w:w="1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117"/>
        </w:trPr>
        <w:tc>
          <w:tcPr>
            <w:tcW w:w="69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Weighted-average shares used to compute net loss per share, basic and diluted</w:t>
            </w:r>
          </w:p>
        </w:tc>
        <w:tc>
          <w:tcPr>
            <w:tcW w:w="138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85,639,675</w:t>
            </w:r>
          </w:p>
        </w:tc>
        <w:tc>
          <w:tcPr>
            <w:tcW w:w="120" w:type="dxa"/>
            <w:vAlign w:val="bottom"/>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spacing w:after="0"/>
              <w:rPr>
                <w:sz w:val="10"/>
                <w:szCs w:val="10"/>
                <w:color w:val="auto"/>
              </w:rPr>
            </w:pPr>
          </w:p>
        </w:tc>
        <w:tc>
          <w:tcPr>
            <w:tcW w:w="142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6,164,617</w:t>
            </w:r>
          </w:p>
        </w:tc>
      </w:tr>
      <w:tr>
        <w:trPr>
          <w:trHeight w:val="113"/>
        </w:trPr>
        <w:tc>
          <w:tcPr>
            <w:tcW w:w="696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Net loss per share, basic and diluted</w:t>
            </w:r>
          </w:p>
        </w:tc>
        <w:tc>
          <w:tcPr>
            <w:tcW w:w="1380" w:type="dxa"/>
            <w:vAlign w:val="bottom"/>
            <w:tcBorders>
              <w:bottom w:val="single" w:sz="8" w:color="auto"/>
            </w:tcBorders>
          </w:tcPr>
          <w:p>
            <w:pPr>
              <w:jc w:val="right"/>
              <w:ind w:right="126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(0.32)</w:t>
            </w:r>
          </w:p>
        </w:tc>
        <w:tc>
          <w:tcPr>
            <w:tcW w:w="120" w:type="dxa"/>
            <w:vAlign w:val="bottom"/>
          </w:tcPr>
          <w:p>
            <w:pPr>
              <w:spacing w:after="0"/>
              <w:rPr>
                <w:sz w:val="9"/>
                <w:szCs w:val="9"/>
                <w:color w:val="auto"/>
              </w:rPr>
            </w:pPr>
          </w:p>
        </w:tc>
        <w:tc>
          <w:tcPr>
            <w:tcW w:w="680" w:type="dxa"/>
            <w:vAlign w:val="bottom"/>
            <w:tcBorders>
              <w:bottom w:val="single" w:sz="8" w:color="auto"/>
            </w:tcBorders>
          </w:tcPr>
          <w:p>
            <w:pPr>
              <w:jc w:val="right"/>
              <w:ind w:right="56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(5.25)</w:t>
            </w: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outstanding shares of potentially dilutive securities were excluded from the computation of diluted net loss per share for the periods presented because including them would have been antidilutive: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6940" w:type="dxa"/>
            <w:vAlign w:val="bottom"/>
          </w:tcPr>
          <w:p>
            <w:pPr>
              <w:spacing w:after="0"/>
              <w:rPr>
                <w:sz w:val="11"/>
                <w:szCs w:val="11"/>
                <w:color w:val="auto"/>
              </w:rPr>
            </w:pPr>
          </w:p>
        </w:tc>
        <w:tc>
          <w:tcPr>
            <w:tcW w:w="2820" w:type="dxa"/>
            <w:vAlign w:val="bottom"/>
            <w:tcBorders>
              <w:bottom w:val="single" w:sz="8" w:color="auto"/>
            </w:tcBorders>
            <w:gridSpan w:val="3"/>
          </w:tcPr>
          <w:p>
            <w:pPr>
              <w:ind w:left="194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69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Redeemable convertible preferred stock</w:t>
            </w:r>
          </w:p>
        </w:tc>
        <w:tc>
          <w:tcPr>
            <w:tcW w:w="2180" w:type="dxa"/>
            <w:vAlign w:val="bottom"/>
            <w:tcBorders>
              <w:bottom w:val="single" w:sz="8" w:color="auto"/>
            </w:tcBorders>
          </w:tcPr>
          <w:p>
            <w:pPr>
              <w:jc w:val="right"/>
              <w:ind w:right="926"/>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jc w:val="right"/>
              <w:ind w:right="866"/>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06"/>
        </w:trPr>
        <w:tc>
          <w:tcPr>
            <w:tcW w:w="6940" w:type="dxa"/>
            <w:vAlign w:val="bottom"/>
            <w:vMerge w:val="continue"/>
          </w:tcPr>
          <w:p>
            <w:pPr>
              <w:spacing w:after="0"/>
              <w:rPr>
                <w:sz w:val="9"/>
                <w:szCs w:val="9"/>
                <w:color w:val="auto"/>
              </w:rPr>
            </w:pPr>
          </w:p>
        </w:tc>
        <w:tc>
          <w:tcPr>
            <w:tcW w:w="2180" w:type="dxa"/>
            <w:vAlign w:val="bottom"/>
          </w:tcPr>
          <w:p>
            <w:pPr>
              <w:ind w:left="2080"/>
              <w:spacing w:after="0" w:line="106" w:lineRule="exact"/>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4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122,231,454</w:t>
            </w:r>
          </w:p>
        </w:tc>
        <w:tc>
          <w:tcPr>
            <w:tcW w:w="0" w:type="dxa"/>
            <w:vAlign w:val="bottom"/>
          </w:tcPr>
          <w:p>
            <w:pPr>
              <w:spacing w:after="0"/>
              <w:rPr>
                <w:sz w:val="1"/>
                <w:szCs w:val="1"/>
                <w:color w:val="auto"/>
              </w:rPr>
            </w:pPr>
          </w:p>
        </w:tc>
      </w:tr>
      <w:tr>
        <w:trPr>
          <w:trHeight w:val="117"/>
        </w:trPr>
        <w:tc>
          <w:tcPr>
            <w:tcW w:w="69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Outstanding options to purchase common stock</w:t>
            </w:r>
          </w:p>
        </w:tc>
        <w:tc>
          <w:tcPr>
            <w:tcW w:w="21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10,227,211</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5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8,583,703</w:t>
            </w:r>
          </w:p>
        </w:tc>
        <w:tc>
          <w:tcPr>
            <w:tcW w:w="0" w:type="dxa"/>
            <w:vAlign w:val="bottom"/>
          </w:tcPr>
          <w:p>
            <w:pPr>
              <w:spacing w:after="0"/>
              <w:rPr>
                <w:sz w:val="1"/>
                <w:szCs w:val="1"/>
                <w:color w:val="auto"/>
              </w:rPr>
            </w:pPr>
          </w:p>
        </w:tc>
      </w:tr>
      <w:tr>
        <w:trPr>
          <w:trHeight w:val="117"/>
        </w:trPr>
        <w:tc>
          <w:tcPr>
            <w:tcW w:w="69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Restricted stock units</w:t>
            </w:r>
          </w:p>
        </w:tc>
        <w:tc>
          <w:tcPr>
            <w:tcW w:w="21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1,840,421</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69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Estimated ESPP</w:t>
            </w:r>
          </w:p>
        </w:tc>
        <w:tc>
          <w:tcPr>
            <w:tcW w:w="21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141,184</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5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694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Common stock warrants</w:t>
            </w:r>
          </w:p>
        </w:tc>
        <w:tc>
          <w:tcPr>
            <w:tcW w:w="2820" w:type="dxa"/>
            <w:vAlign w:val="bottom"/>
            <w:gridSpan w:val="3"/>
          </w:tcPr>
          <w:p>
            <w:pPr>
              <w:ind w:left="208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1,647,667</w:t>
            </w:r>
          </w:p>
        </w:tc>
        <w:tc>
          <w:tcPr>
            <w:tcW w:w="0" w:type="dxa"/>
            <w:vAlign w:val="bottom"/>
          </w:tcPr>
          <w:p>
            <w:pPr>
              <w:spacing w:after="0"/>
              <w:rPr>
                <w:sz w:val="1"/>
                <w:szCs w:val="1"/>
                <w:color w:val="auto"/>
              </w:rPr>
            </w:pPr>
          </w:p>
        </w:tc>
      </w:tr>
      <w:tr>
        <w:trPr>
          <w:trHeight w:val="113"/>
        </w:trPr>
        <w:tc>
          <w:tcPr>
            <w:tcW w:w="6940" w:type="dxa"/>
            <w:vAlign w:val="bottom"/>
            <w:tcBorders>
              <w:top w:val="single" w:sz="8" w:color="CCEEFF"/>
              <w:bottom w:val="single" w:sz="8" w:color="CCEEFF"/>
            </w:tcBorders>
            <w:shd w:val="clear" w:color="auto" w:fill="CCEEFF"/>
          </w:tcPr>
          <w:p>
            <w:pPr>
              <w:spacing w:after="0"/>
              <w:rPr>
                <w:sz w:val="9"/>
                <w:szCs w:val="9"/>
                <w:color w:val="auto"/>
              </w:rPr>
            </w:pPr>
          </w:p>
        </w:tc>
        <w:tc>
          <w:tcPr>
            <w:tcW w:w="218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12,208,816</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520" w:type="dxa"/>
            <w:vAlign w:val="bottom"/>
            <w:tcBorders>
              <w:top w:val="single" w:sz="8" w:color="auto"/>
              <w:bottom w:val="single" w:sz="8" w:color="auto"/>
            </w:tcBorders>
            <w:shd w:val="clear" w:color="auto" w:fill="CCEEFF"/>
          </w:tcPr>
          <w:p>
            <w:pPr>
              <w:spacing w:after="0"/>
              <w:rPr>
                <w:sz w:val="9"/>
                <w:szCs w:val="9"/>
                <w:color w:val="auto"/>
              </w:rPr>
            </w:pPr>
          </w:p>
        </w:tc>
        <w:tc>
          <w:tcPr>
            <w:tcW w:w="154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132,462,824</w:t>
            </w:r>
          </w:p>
        </w:tc>
        <w:tc>
          <w:tcPr>
            <w:tcW w:w="0" w:type="dxa"/>
            <w:vAlign w:val="bottom"/>
          </w:tcPr>
          <w:p>
            <w:pPr>
              <w:spacing w:after="0"/>
              <w:rPr>
                <w:sz w:val="1"/>
                <w:szCs w:val="1"/>
                <w:color w:val="auto"/>
              </w:rPr>
            </w:pP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Income Taxes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had an effective tax rate of 0% for the three months ended March 31, 2026 and 2025. The Company continues to incur operating losses.</w:t>
      </w:r>
    </w:p>
    <w:p>
      <w:pPr>
        <w:spacing w:after="0" w:line="114" w:lineRule="exact"/>
        <w:rPr>
          <w:sz w:val="20"/>
          <w:szCs w:val="20"/>
          <w:color w:val="auto"/>
        </w:rPr>
      </w:pPr>
    </w:p>
    <w:p>
      <w:pPr>
        <w:jc w:val="both"/>
        <w:ind w:right="160"/>
        <w:spacing w:after="0" w:line="241" w:lineRule="auto"/>
        <w:rPr>
          <w:sz w:val="20"/>
          <w:szCs w:val="20"/>
          <w:color w:val="auto"/>
        </w:rPr>
      </w:pPr>
      <w:r>
        <w:rPr>
          <w:rFonts w:ascii="Times New Roman" w:cs="Times New Roman" w:eastAsia="Times New Roman" w:hAnsi="Times New Roman"/>
          <w:sz w:val="12"/>
          <w:szCs w:val="12"/>
          <w:color w:val="auto"/>
        </w:rPr>
        <w:t>During the three months ended March 31, 2026 and 2025, the Company has evaluated all available evidence, both positive and negative, including historical levels of income, expectations and risks associated with estimates of future taxable income, and has determined that it is more likely than not that its net deferred tax assets will not be realized. Due to uncertainties surrounding the realization of the deferred tax assets, the Company continues to maintain a full valuation allowance against its net deferred tax assets.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Subsequent Events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Patent Litigation</w:t>
      </w:r>
    </w:p>
    <w:p>
      <w:pPr>
        <w:spacing w:after="0" w:line="118"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2"/>
          <w:szCs w:val="12"/>
          <w:color w:val="auto"/>
        </w:rPr>
        <w:t>On April 13, 2026, the Company filed a patent infringement lawsuit against Cleerly, Inc. in the United States District Court for the Eastern District of Texas. The complaint seeks permanent injunctive relief and damages arising from Cleerly’s unauthorized and continued use of Heartflow’s patented technology. Heartflow asserts that Cleerly’s Ischemia, Plaque Analysis, and Compare products infringe six of Heartflow’s patents with priority dates from 2012 to 2018, protecting Heartflow innovations developed years before the introduction of any Cleerly product.</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129540</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3" w:right="299" w:bottom="1440" w:gutter="0" w:footer="0" w:header="0"/>
        </w:sectPr>
      </w:pPr>
    </w:p>
    <w:bookmarkStart w:id="31" w:name="page32"/>
    <w:bookmarkEnd w:id="31"/>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2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9"/>
          <w:szCs w:val="19"/>
          <w:b w:val="1"/>
          <w:bCs w:val="1"/>
          <w:color w:val="auto"/>
        </w:rPr>
        <w:t>Item 2. Management’s Discussion and Analysis of Financial Condition and Results of Operations</w:t>
      </w:r>
    </w:p>
    <w:p>
      <w:pPr>
        <w:spacing w:after="0" w:line="137" w:lineRule="exact"/>
        <w:rPr>
          <w:sz w:val="20"/>
          <w:szCs w:val="20"/>
          <w:color w:val="auto"/>
        </w:rPr>
      </w:pPr>
    </w:p>
    <w:p>
      <w:pPr>
        <w:ind w:left="8"/>
        <w:spacing w:after="0" w:line="230" w:lineRule="auto"/>
        <w:rPr>
          <w:sz w:val="20"/>
          <w:szCs w:val="20"/>
          <w:color w:val="auto"/>
        </w:rPr>
      </w:pPr>
      <w:r>
        <w:rPr>
          <w:rFonts w:ascii="Times New Roman" w:cs="Times New Roman" w:eastAsia="Times New Roman" w:hAnsi="Times New Roman"/>
          <w:sz w:val="12"/>
          <w:szCs w:val="12"/>
          <w:color w:val="auto"/>
        </w:rPr>
        <w:t>You should read the following discussion and analysis of our financial condition and results of operations in conjunction with our condensed consolidated financial statements and the related notes and other financial information included elsewhere in this Quarterly Report on Form 10-Q and our audited consolidated financial statements and the related notes and the discussion under the heading “Management’s Discussion and Analysis of Financial Condition and Results of Operations” for the year ended December 31, 2025 included in our Annual Report on Form 10-K filed with the SEC on March 18, 2026. This discussion and analysis and other parts of this Quarterly Report on Form 10-Q contain forward-looking statements based upon our current plans and expectations that involve risks, uncertainties and assumptions, such as statements regarding our plans, objectives, expectations, intentions and beliefs. Our actual results and the timing of events could differ materially from those anticipated in these forward-looking statements as a result of various factors, including those set forth under Part I, Item 1A, “Risk Factors” in our Annual Report on Form 10-K filed with the SEC on March 18, 2026. Please also see the section titled “Special Note Regarding Forward-looking Statements” in this Quarterly Report on Form 10-Q. Our historical results are not necessarily indicative of the results that may be expected for any period in the future.</w:t>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27" w:lineRule="exact"/>
        <w:rPr>
          <w:sz w:val="20"/>
          <w:szCs w:val="20"/>
          <w:color w:val="auto"/>
        </w:rPr>
      </w:pPr>
    </w:p>
    <w:p>
      <w:pPr>
        <w:ind w:left="8"/>
        <w:spacing w:after="0" w:line="230" w:lineRule="auto"/>
        <w:rPr>
          <w:sz w:val="20"/>
          <w:szCs w:val="20"/>
          <w:color w:val="auto"/>
        </w:rPr>
      </w:pPr>
      <w:r>
        <w:rPr>
          <w:rFonts w:ascii="Times New Roman" w:cs="Times New Roman" w:eastAsia="Times New Roman" w:hAnsi="Times New Roman"/>
          <w:sz w:val="12"/>
          <w:szCs w:val="12"/>
          <w:color w:val="auto"/>
        </w:rPr>
        <w:t>We provide software and artificial intelligence (“AI”) designed to deliver a more accurate and clinically effective non-invasive solution for diagnosing and managing coronary artery disease (“CAD”), a leading cause of death worldwide. As of March 31, 2026, our Heartflow Platform has been used to assess CAD in more than 650,000 patients, including 219,000 in 2025 alone. We believe that we are the most widely adopted AI-powered test for CAD. Our novel platform leverages AI and advanced computational fluid dynamics to create a personalized 3D model of a patient’s heart from a single coronary computed tomography angiography (“CCTA”), a specialized type of scan that provides detailed images of the heart’s arteries. Our Heartflow Platform delivers actionable insights on blood flow, stenosis, plaque volume and plaque composition thereby overcoming the limitations of traditional non-invasive imaging tests which rely on indirect measures of coronary disease and lead to higher false negative and false positive rates as demonstrated by our PRECISE trial. We believe the differentiated accuracy and clinical utility of our Heartflow Platform, along with its ability to enhance workflows, will continue to support our growth and advance the “CCTA + Heartflow” pathway as the definitive standard for the non-invasive diagnosis and management of CAD.</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To date, we have developed four software products under the Heartflow Platform that provide physicians with the critical insights needed to effectively diagnose and manage CAD:</w:t>
      </w:r>
    </w:p>
    <w:p>
      <w:pPr>
        <w:spacing w:after="0" w:line="121" w:lineRule="exact"/>
        <w:rPr>
          <w:sz w:val="20"/>
          <w:szCs w:val="20"/>
          <w:color w:val="auto"/>
        </w:rPr>
      </w:pPr>
    </w:p>
    <w:p>
      <w:pPr>
        <w:ind w:left="208" w:right="120" w:hanging="208"/>
        <w:spacing w:after="0" w:line="251" w:lineRule="auto"/>
        <w:tabs>
          <w:tab w:leader="none" w:pos="208" w:val="left"/>
        </w:tabs>
        <w:numPr>
          <w:ilvl w:val="0"/>
          <w:numId w:val="5"/>
        </w:numPr>
        <w:rPr>
          <w:rFonts w:ascii="Arial" w:cs="Arial" w:eastAsia="Arial" w:hAnsi="Arial"/>
          <w:sz w:val="12"/>
          <w:szCs w:val="12"/>
          <w:color w:val="auto"/>
        </w:rPr>
      </w:pPr>
      <w:r>
        <w:rPr>
          <w:rFonts w:ascii="Times New Roman" w:cs="Times New Roman" w:eastAsia="Times New Roman" w:hAnsi="Times New Roman"/>
          <w:sz w:val="12"/>
          <w:szCs w:val="12"/>
          <w:i w:val="1"/>
          <w:iCs w:val="1"/>
          <w:color w:val="auto"/>
        </w:rPr>
        <w:t xml:space="preserve">Heartflow RoadMap Analysis </w:t>
      </w:r>
      <w:r>
        <w:rPr>
          <w:rFonts w:ascii="Times New Roman" w:cs="Times New Roman" w:eastAsia="Times New Roman" w:hAnsi="Times New Roman"/>
          <w:sz w:val="12"/>
          <w:szCs w:val="12"/>
          <w:color w:val="auto"/>
        </w:rPr>
        <w:t>offers a highly intuitive anatomic visualization of the coronary arteries, helping physicians quickly identify clinically relevant areas to focus their review. We provide Heartflow RoadMap Analysis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accounts as an integrated feature to enhance the efficiency of their CCTA program, and it is not a stand-alone product.</w:t>
      </w:r>
    </w:p>
    <w:p>
      <w:pPr>
        <w:spacing w:after="0" w:line="10" w:lineRule="exact"/>
        <w:rPr>
          <w:rFonts w:ascii="Arial" w:cs="Arial" w:eastAsia="Arial" w:hAnsi="Arial"/>
          <w:sz w:val="12"/>
          <w:szCs w:val="12"/>
          <w:color w:val="auto"/>
        </w:rPr>
      </w:pPr>
    </w:p>
    <w:p>
      <w:pPr>
        <w:ind w:left="208" w:right="120" w:hanging="208"/>
        <w:spacing w:after="0" w:line="265" w:lineRule="auto"/>
        <w:tabs>
          <w:tab w:leader="none" w:pos="208" w:val="left"/>
        </w:tabs>
        <w:numPr>
          <w:ilvl w:val="0"/>
          <w:numId w:val="5"/>
        </w:numPr>
        <w:rPr>
          <w:rFonts w:ascii="Arial" w:cs="Arial" w:eastAsia="Arial" w:hAnsi="Arial"/>
          <w:sz w:val="12"/>
          <w:szCs w:val="12"/>
          <w:color w:val="auto"/>
        </w:rPr>
      </w:pPr>
      <w:r>
        <w:rPr>
          <w:rFonts w:ascii="Times New Roman" w:cs="Times New Roman" w:eastAsia="Times New Roman" w:hAnsi="Times New Roman"/>
          <w:sz w:val="12"/>
          <w:szCs w:val="12"/>
          <w:i w:val="1"/>
          <w:iCs w:val="1"/>
          <w:color w:val="auto"/>
        </w:rPr>
        <w:t>Heartflow FFR</w:t>
      </w:r>
      <w:r>
        <w:rPr>
          <w:rFonts w:ascii="Times New Roman" w:cs="Times New Roman" w:eastAsia="Times New Roman" w:hAnsi="Times New Roman"/>
          <w:sz w:val="19"/>
          <w:szCs w:val="19"/>
          <w:i w:val="1"/>
          <w:iCs w:val="1"/>
          <w:color w:val="auto"/>
          <w:vertAlign w:val="subscript"/>
        </w:rPr>
        <w:t>CT</w:t>
      </w:r>
      <w:r>
        <w:rPr>
          <w:rFonts w:ascii="Times New Roman" w:cs="Times New Roman" w:eastAsia="Times New Roman" w:hAnsi="Times New Roman"/>
          <w:sz w:val="12"/>
          <w:szCs w:val="12"/>
          <w:i w:val="1"/>
          <w:iCs w:val="1"/>
          <w:color w:val="auto"/>
        </w:rPr>
        <w:t xml:space="preserve"> Analysis </w:t>
      </w:r>
      <w:r>
        <w:rPr>
          <w:rFonts w:ascii="Times New Roman" w:cs="Times New Roman" w:eastAsia="Times New Roman" w:hAnsi="Times New Roman"/>
          <w:sz w:val="12"/>
          <w:szCs w:val="12"/>
          <w:color w:val="auto"/>
        </w:rPr>
        <w:t>calculates blood flow and pinpoints clinically significant CAD, which is CAD with a fractional flow reserve (“FFR”) value of 0.80 or below, at every point in the major coronary arteries. FFR measures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severity of blood flow restriction in the coronary arteries on a scale of 1.0 (no restriction) to 0.0 (complete blockage) by assessing pressure differences across a stenosis during induced stress, guiding decisions on whether a patient requires invasive revascularization.</w:t>
      </w:r>
    </w:p>
    <w:p>
      <w:pPr>
        <w:spacing w:after="0" w:line="89" w:lineRule="exact"/>
        <w:rPr>
          <w:rFonts w:ascii="Arial" w:cs="Arial" w:eastAsia="Arial" w:hAnsi="Arial"/>
          <w:sz w:val="12"/>
          <w:szCs w:val="12"/>
          <w:color w:val="auto"/>
        </w:rPr>
      </w:pPr>
    </w:p>
    <w:p>
      <w:pPr>
        <w:ind w:left="208" w:hanging="208"/>
        <w:spacing w:after="0"/>
        <w:tabs>
          <w:tab w:leader="none" w:pos="208" w:val="left"/>
        </w:tabs>
        <w:numPr>
          <w:ilvl w:val="0"/>
          <w:numId w:val="5"/>
        </w:numPr>
        <w:rPr>
          <w:rFonts w:ascii="Arial" w:cs="Arial" w:eastAsia="Arial" w:hAnsi="Arial"/>
          <w:sz w:val="12"/>
          <w:szCs w:val="12"/>
          <w:color w:val="auto"/>
        </w:rPr>
      </w:pPr>
      <w:r>
        <w:rPr>
          <w:rFonts w:ascii="Times New Roman" w:cs="Times New Roman" w:eastAsia="Times New Roman" w:hAnsi="Times New Roman"/>
          <w:sz w:val="12"/>
          <w:szCs w:val="12"/>
          <w:i w:val="1"/>
          <w:iCs w:val="1"/>
          <w:color w:val="auto"/>
        </w:rPr>
        <w:t xml:space="preserve">Heartflow Plaque Analysis </w:t>
      </w:r>
      <w:r>
        <w:rPr>
          <w:rFonts w:ascii="Times New Roman" w:cs="Times New Roman" w:eastAsia="Times New Roman" w:hAnsi="Times New Roman"/>
          <w:sz w:val="12"/>
          <w:szCs w:val="12"/>
          <w:color w:val="auto"/>
        </w:rPr>
        <w:t>provides a comprehensive assessment of coronary plaque, enabling optimized medical treatment strategies.</w:t>
      </w:r>
    </w:p>
    <w:p>
      <w:pPr>
        <w:spacing w:after="0" w:line="122" w:lineRule="exact"/>
        <w:rPr>
          <w:rFonts w:ascii="Arial" w:cs="Arial" w:eastAsia="Arial" w:hAnsi="Arial"/>
          <w:sz w:val="12"/>
          <w:szCs w:val="12"/>
          <w:color w:val="auto"/>
        </w:rPr>
      </w:pPr>
    </w:p>
    <w:p>
      <w:pPr>
        <w:ind w:left="208" w:hanging="208"/>
        <w:spacing w:after="0" w:line="230" w:lineRule="auto"/>
        <w:tabs>
          <w:tab w:leader="none" w:pos="208" w:val="left"/>
        </w:tabs>
        <w:numPr>
          <w:ilvl w:val="0"/>
          <w:numId w:val="5"/>
        </w:numPr>
        <w:rPr>
          <w:rFonts w:ascii="Arial" w:cs="Arial" w:eastAsia="Arial" w:hAnsi="Arial"/>
          <w:sz w:val="12"/>
          <w:szCs w:val="12"/>
          <w:color w:val="auto"/>
        </w:rPr>
      </w:pPr>
      <w:r>
        <w:rPr>
          <w:rFonts w:ascii="Times New Roman" w:cs="Times New Roman" w:eastAsia="Times New Roman" w:hAnsi="Times New Roman"/>
          <w:sz w:val="12"/>
          <w:szCs w:val="12"/>
          <w:i w:val="1"/>
          <w:iCs w:val="1"/>
          <w:color w:val="auto"/>
        </w:rPr>
        <w:t>Heartflow PCI Navigator</w:t>
      </w:r>
      <w:r>
        <w:rPr>
          <w:rFonts w:ascii="Times New Roman" w:cs="Times New Roman" w:eastAsia="Times New Roman" w:hAnsi="Times New Roman"/>
          <w:sz w:val="12"/>
          <w:szCs w:val="12"/>
          <w:color w:val="auto"/>
        </w:rPr>
        <w:t>, which we recently launched in April 2026, provides advanced visualization and clinical insights to optimize revascularization strategies, guide device selection, enhance procedural efficiency, and improve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patient care. We provide Heartflow PCI Navigator to accounts as an integrated feature to enhance procedural efficiency, not as a stand-alone product.</w:t>
      </w:r>
    </w:p>
    <w:p>
      <w:pPr>
        <w:spacing w:after="0" w:line="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127635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32" w:name="page33"/>
    <w:bookmarkEnd w:id="32"/>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We anticipate launching Plaque Tracker, our fifth product, in 2027. Plaque Tracker will enable longitudinal plaque analysis of sequential CCTAs to measure the efficacy of medical therapy based on plaque regression.</w:t>
      </w:r>
    </w:p>
    <w:p>
      <w:pPr>
        <w:spacing w:after="0" w:line="159" w:lineRule="exact"/>
        <w:rPr>
          <w:sz w:val="20"/>
          <w:szCs w:val="20"/>
          <w:color w:val="auto"/>
        </w:rPr>
      </w:pPr>
    </w:p>
    <w:p>
      <w:pPr>
        <w:ind w:left="8"/>
        <w:spacing w:after="0" w:line="235" w:lineRule="auto"/>
        <w:rPr>
          <w:sz w:val="20"/>
          <w:szCs w:val="20"/>
          <w:color w:val="auto"/>
        </w:rPr>
      </w:pPr>
      <w:r>
        <w:rPr>
          <w:rFonts w:ascii="Times New Roman" w:cs="Times New Roman" w:eastAsia="Times New Roman" w:hAnsi="Times New Roman"/>
          <w:sz w:val="12"/>
          <w:szCs w:val="12"/>
          <w:color w:val="auto"/>
        </w:rPr>
        <w:t>The Heartflow Platform has an existing commercial presence and regulatory approval in the United States, United Kingdom, European Union and Japan. Additionally, some or all of our platform has received medical device licensing or approvals in Canada, Australia, Israel, Saudi Arabia, United Arab Emirates and Bahrain. We have developed a highly scalable, capital efficient commercial model that combines Territory Sales Managers who drive new account adoption with Territory Account Managers who focus on increasing utilization by educating referring physicians. Our commercial team does not cover cases or otherwise spend time in an operating room or lab setting, which enables them to focus solely on driving commercial adoption and educational activities. We also have small, direct commercial teams in our international markets. In the future, we may expand our international presence beyond these markets.</w:t>
      </w:r>
    </w:p>
    <w:p>
      <w:pPr>
        <w:spacing w:after="0" w:line="108" w:lineRule="exact"/>
        <w:rPr>
          <w:sz w:val="20"/>
          <w:szCs w:val="20"/>
          <w:color w:val="auto"/>
        </w:rPr>
      </w:pPr>
    </w:p>
    <w:p>
      <w:pPr>
        <w:ind w:left="8" w:right="200"/>
        <w:spacing w:after="0" w:line="248" w:lineRule="auto"/>
        <w:rPr>
          <w:sz w:val="20"/>
          <w:szCs w:val="20"/>
          <w:color w:val="auto"/>
        </w:rPr>
      </w:pPr>
      <w:r>
        <w:rPr>
          <w:rFonts w:ascii="Times New Roman" w:cs="Times New Roman" w:eastAsia="Times New Roman" w:hAnsi="Times New Roman"/>
          <w:sz w:val="12"/>
          <w:szCs w:val="12"/>
          <w:color w:val="auto"/>
        </w:rPr>
        <w:t>Our technology is simple and intuitive and does not require the purchase of any capital equipment. Our onboarding process seamlessly integrates the Heartflow Platform into the customer’s daily workflow. These unique attributes of our business model afford our commercial organization a differentiated level of efficiency and scalability.</w:t>
      </w:r>
    </w:p>
    <w:p>
      <w:pPr>
        <w:spacing w:after="0" w:line="30" w:lineRule="exact"/>
        <w:rPr>
          <w:sz w:val="20"/>
          <w:szCs w:val="20"/>
          <w:color w:val="auto"/>
        </w:rPr>
      </w:pPr>
    </w:p>
    <w:p>
      <w:pPr>
        <w:ind w:left="8" w:right="100"/>
        <w:spacing w:after="0" w:line="193" w:lineRule="auto"/>
        <w:rPr>
          <w:sz w:val="20"/>
          <w:szCs w:val="20"/>
          <w:color w:val="auto"/>
        </w:rPr>
      </w:pPr>
      <w:r>
        <w:rPr>
          <w:rFonts w:ascii="Times New Roman" w:cs="Times New Roman" w:eastAsia="Times New Roman" w:hAnsi="Times New Roman"/>
          <w:sz w:val="11"/>
          <w:szCs w:val="11"/>
          <w:color w:val="auto"/>
        </w:rPr>
        <w:t>We have experienced considerable revenue growth since we began commercializing the Heartflow Platform in 2015, driven primarily by growth in our account base and increasing test volumes at accounts in our installed base. For the three months ended March 31, 2026 and 2025, we recognized revenue of $52.6 million and $37.2 million, respectively. Substantially all of our revenue is generated on a “pay-per-click” basis each time a physician chooses to review either our Heartflow FFR</w:t>
      </w:r>
      <w:r>
        <w:rPr>
          <w:rFonts w:ascii="Times New Roman" w:cs="Times New Roman" w:eastAsia="Times New Roman" w:hAnsi="Times New Roman"/>
          <w:sz w:val="18"/>
          <w:szCs w:val="18"/>
          <w:color w:val="auto"/>
          <w:vertAlign w:val="subscript"/>
        </w:rPr>
        <w:t>CT</w:t>
      </w:r>
      <w:r>
        <w:rPr>
          <w:rFonts w:ascii="Times New Roman" w:cs="Times New Roman" w:eastAsia="Times New Roman" w:hAnsi="Times New Roman"/>
          <w:sz w:val="11"/>
          <w:szCs w:val="11"/>
          <w:color w:val="auto"/>
        </w:rPr>
        <w:t xml:space="preserve"> Analysis, Heartflow Plaque Analysis, or both, and we recognize usage-driven fee revenue upon delivery of the requested analysis to the physician. Heartflow FFR</w:t>
      </w:r>
      <w:r>
        <w:rPr>
          <w:rFonts w:ascii="Times New Roman" w:cs="Times New Roman" w:eastAsia="Times New Roman" w:hAnsi="Times New Roman"/>
          <w:sz w:val="18"/>
          <w:szCs w:val="18"/>
          <w:color w:val="auto"/>
          <w:vertAlign w:val="subscript"/>
        </w:rPr>
        <w:t>CT</w:t>
      </w:r>
      <w:r>
        <w:rPr>
          <w:rFonts w:ascii="Times New Roman" w:cs="Times New Roman" w:eastAsia="Times New Roman" w:hAnsi="Times New Roman"/>
          <w:sz w:val="11"/>
          <w:szCs w:val="11"/>
          <w:color w:val="auto"/>
        </w:rPr>
        <w:t xml:space="preserve"> Analysis has served as our commercial</w:t>
      </w:r>
    </w:p>
    <w:p>
      <w:pPr>
        <w:ind w:left="8" w:right="60"/>
        <w:spacing w:after="0" w:line="228" w:lineRule="auto"/>
        <w:rPr>
          <w:sz w:val="20"/>
          <w:szCs w:val="20"/>
          <w:color w:val="auto"/>
        </w:rPr>
      </w:pPr>
      <w:r>
        <w:rPr>
          <w:rFonts w:ascii="Times New Roman" w:cs="Times New Roman" w:eastAsia="Times New Roman" w:hAnsi="Times New Roman"/>
          <w:sz w:val="12"/>
          <w:szCs w:val="12"/>
          <w:color w:val="auto"/>
        </w:rPr>
        <w:t>foundation, representing 98% of our total cumulative revenue as of March 31, 2026. In the second half of 2023, we initiated limited market education efforts for Heartflow Plaque Analysis, our second commercial product, and we expect to broaden our market education efforts as payor coverage for Heartflow Plaque Analysis increases. Heartflow Plaque Analysis is currently covered by five of the seven MACs with the remaining MACs providing coverage on a case-by-case basis and by a majority of commercial payors. Our Heartflow RoadMap Analysis is generally provided as a workflow efficiency tool to drive customer retention and loyalty and is not a stand-alone product.</w:t>
      </w:r>
    </w:p>
    <w:p>
      <w:pPr>
        <w:spacing w:after="0" w:line="36" w:lineRule="exact"/>
        <w:rPr>
          <w:sz w:val="20"/>
          <w:szCs w:val="20"/>
          <w:color w:val="auto"/>
        </w:rPr>
      </w:pPr>
    </w:p>
    <w:p>
      <w:pPr>
        <w:ind w:left="8" w:right="140"/>
        <w:spacing w:after="0" w:line="264" w:lineRule="auto"/>
        <w:rPr>
          <w:sz w:val="20"/>
          <w:szCs w:val="20"/>
          <w:color w:val="auto"/>
        </w:rPr>
      </w:pPr>
      <w:r>
        <w:rPr>
          <w:rFonts w:ascii="Times New Roman" w:cs="Times New Roman" w:eastAsia="Times New Roman" w:hAnsi="Times New Roman"/>
          <w:sz w:val="12"/>
          <w:szCs w:val="12"/>
          <w:color w:val="auto"/>
        </w:rPr>
        <w:t>Prior to our initial public offering (“IPO”), we primarily funded our operations with proceeds from sales of shares of our redeemable convertible preferred stock, common stock and convertible promissory notes, borrowings under our term loans and revenue received from our customers. As of March 31, 2026, we had $254.9 million in cash, cash equivalents and investments.</w:t>
      </w:r>
    </w:p>
    <w:p>
      <w:pPr>
        <w:spacing w:after="0" w:line="92" w:lineRule="exact"/>
        <w:rPr>
          <w:sz w:val="20"/>
          <w:szCs w:val="20"/>
          <w:color w:val="auto"/>
        </w:rPr>
      </w:pPr>
    </w:p>
    <w:p>
      <w:pPr>
        <w:ind w:left="8" w:right="60"/>
        <w:spacing w:after="0" w:line="248" w:lineRule="auto"/>
        <w:rPr>
          <w:sz w:val="20"/>
          <w:szCs w:val="20"/>
          <w:color w:val="auto"/>
        </w:rPr>
      </w:pPr>
      <w:r>
        <w:rPr>
          <w:rFonts w:ascii="Times New Roman" w:cs="Times New Roman" w:eastAsia="Times New Roman" w:hAnsi="Times New Roman"/>
          <w:sz w:val="12"/>
          <w:szCs w:val="12"/>
          <w:color w:val="auto"/>
        </w:rPr>
        <w:t>On August 11, 2025, we completed our IPO, in which we issued and sold 19,166,667 shares of our common stock, which includes an additional 2,500,000 shares of common stock purchased by the underwriters pursuant to their option to purchase additional shares, at a price to the public of $19.00 per share. The cash proceeds from our IPO were approximately $332.4 million, net of underwriting discounts and commissions and offering costs of $31.8 million.</w:t>
      </w:r>
    </w:p>
    <w:p>
      <w:pPr>
        <w:spacing w:after="0" w:line="102" w:lineRule="exact"/>
        <w:rPr>
          <w:sz w:val="20"/>
          <w:szCs w:val="20"/>
          <w:color w:val="auto"/>
        </w:rPr>
      </w:pPr>
    </w:p>
    <w:p>
      <w:pPr>
        <w:ind w:left="8" w:right="200"/>
        <w:spacing w:after="0" w:line="248" w:lineRule="auto"/>
        <w:rPr>
          <w:sz w:val="20"/>
          <w:szCs w:val="20"/>
          <w:color w:val="auto"/>
        </w:rPr>
      </w:pPr>
      <w:r>
        <w:rPr>
          <w:rFonts w:ascii="Times New Roman" w:cs="Times New Roman" w:eastAsia="Times New Roman" w:hAnsi="Times New Roman"/>
          <w:sz w:val="12"/>
          <w:szCs w:val="12"/>
          <w:color w:val="auto"/>
        </w:rPr>
        <w:t>We have incurred significant operating losses and negative cash flows since our inception, and we expect to continue to incur losses as we grow and transition to now operating as a public company. Our net loss for the three months ended March 31, 2026 and 2025 was $27.4 million and $32.3 million, respectively.</w:t>
      </w:r>
    </w:p>
    <w:p>
      <w:pPr>
        <w:spacing w:after="0" w:line="1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Key Factors Affecting Our Results of Operations and Performance</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We believe there are several important factors that have impacted and that we expect will continue to impact our operating performance and results of operations for the foreseeable future. These factors include, among others:</w:t>
      </w:r>
    </w:p>
    <w:p>
      <w:pPr>
        <w:spacing w:after="0" w:line="114" w:lineRule="exact"/>
        <w:rPr>
          <w:sz w:val="20"/>
          <w:szCs w:val="20"/>
          <w:color w:val="auto"/>
        </w:rPr>
      </w:pPr>
    </w:p>
    <w:p>
      <w:pPr>
        <w:ind w:left="5588" w:right="3560" w:hanging="5588"/>
        <w:spacing w:after="0" w:line="482" w:lineRule="auto"/>
        <w:tabs>
          <w:tab w:leader="none" w:pos="212" w:val="left"/>
        </w:tabs>
        <w:numPr>
          <w:ilvl w:val="0"/>
          <w:numId w:val="6"/>
        </w:numPr>
        <w:rPr>
          <w:rFonts w:ascii="Arial" w:cs="Arial" w:eastAsia="Arial" w:hAnsi="Arial"/>
          <w:sz w:val="12"/>
          <w:szCs w:val="12"/>
          <w:color w:val="auto"/>
        </w:rPr>
      </w:pPr>
      <w:r>
        <w:rPr>
          <w:rFonts w:ascii="Times New Roman" w:cs="Times New Roman" w:eastAsia="Times New Roman" w:hAnsi="Times New Roman"/>
          <w:sz w:val="12"/>
          <w:szCs w:val="12"/>
          <w:color w:val="auto"/>
        </w:rPr>
        <w:t>Rate of adoption of CCTA in the market and our ability to increase adoption of the CCTA+ Heartflow pathway among both referring and reading physicians.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36195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33" w:name="page34"/>
    <w:bookmarkEnd w:id="33"/>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39" w:lineRule="exact"/>
        <w:rPr>
          <w:sz w:val="20"/>
          <w:szCs w:val="20"/>
          <w:color w:val="auto"/>
        </w:rPr>
      </w:pPr>
    </w:p>
    <w:p>
      <w:pPr>
        <w:ind w:left="208" w:hanging="208"/>
        <w:spacing w:after="0"/>
        <w:tabs>
          <w:tab w:leader="none" w:pos="208" w:val="left"/>
        </w:tabs>
        <w:numPr>
          <w:ilvl w:val="0"/>
          <w:numId w:val="7"/>
        </w:numPr>
        <w:rPr>
          <w:rFonts w:ascii="Arial" w:cs="Arial" w:eastAsia="Arial" w:hAnsi="Arial"/>
          <w:sz w:val="12"/>
          <w:szCs w:val="12"/>
          <w:color w:val="auto"/>
        </w:rPr>
      </w:pPr>
      <w:r>
        <w:rPr>
          <w:rFonts w:ascii="Times New Roman" w:cs="Times New Roman" w:eastAsia="Times New Roman" w:hAnsi="Times New Roman"/>
          <w:sz w:val="12"/>
          <w:szCs w:val="12"/>
          <w:color w:val="auto"/>
        </w:rPr>
        <w:t>Ability to successfully introduce our Heartflow Plaque Analysis and other new products and the rate at which they are adopted by physicians.</w:t>
      </w:r>
    </w:p>
    <w:p>
      <w:pPr>
        <w:spacing w:after="0" w:line="122" w:lineRule="exact"/>
        <w:rPr>
          <w:rFonts w:ascii="Arial" w:cs="Arial" w:eastAsia="Arial" w:hAnsi="Arial"/>
          <w:sz w:val="12"/>
          <w:szCs w:val="12"/>
          <w:color w:val="auto"/>
        </w:rPr>
      </w:pPr>
    </w:p>
    <w:p>
      <w:pPr>
        <w:ind w:left="208" w:hanging="208"/>
        <w:spacing w:after="0"/>
        <w:tabs>
          <w:tab w:leader="none" w:pos="208" w:val="left"/>
        </w:tabs>
        <w:numPr>
          <w:ilvl w:val="0"/>
          <w:numId w:val="7"/>
        </w:numPr>
        <w:rPr>
          <w:rFonts w:ascii="Arial" w:cs="Arial" w:eastAsia="Arial" w:hAnsi="Arial"/>
          <w:sz w:val="12"/>
          <w:szCs w:val="12"/>
          <w:color w:val="auto"/>
        </w:rPr>
      </w:pPr>
      <w:r>
        <w:rPr>
          <w:rFonts w:ascii="Times New Roman" w:cs="Times New Roman" w:eastAsia="Times New Roman" w:hAnsi="Times New Roman"/>
          <w:sz w:val="12"/>
          <w:szCs w:val="12"/>
          <w:color w:val="auto"/>
        </w:rPr>
        <w:t>Ability to automate an increasing number of the manual components of our production process and the rate at which we hire and train analysts to full productivity.</w:t>
      </w:r>
    </w:p>
    <w:p>
      <w:pPr>
        <w:spacing w:after="0" w:line="122" w:lineRule="exact"/>
        <w:rPr>
          <w:rFonts w:ascii="Arial" w:cs="Arial" w:eastAsia="Arial" w:hAnsi="Arial"/>
          <w:sz w:val="12"/>
          <w:szCs w:val="12"/>
          <w:color w:val="auto"/>
        </w:rPr>
      </w:pPr>
    </w:p>
    <w:p>
      <w:pPr>
        <w:ind w:left="208" w:hanging="208"/>
        <w:spacing w:after="0"/>
        <w:tabs>
          <w:tab w:leader="none" w:pos="208" w:val="left"/>
        </w:tabs>
        <w:numPr>
          <w:ilvl w:val="0"/>
          <w:numId w:val="7"/>
        </w:numPr>
        <w:rPr>
          <w:rFonts w:ascii="Arial" w:cs="Arial" w:eastAsia="Arial" w:hAnsi="Arial"/>
          <w:sz w:val="12"/>
          <w:szCs w:val="12"/>
          <w:color w:val="auto"/>
        </w:rPr>
      </w:pPr>
      <w:r>
        <w:rPr>
          <w:rFonts w:ascii="Times New Roman" w:cs="Times New Roman" w:eastAsia="Times New Roman" w:hAnsi="Times New Roman"/>
          <w:sz w:val="12"/>
          <w:szCs w:val="12"/>
          <w:color w:val="auto"/>
        </w:rPr>
        <w:t>Seasonality we experience throughout the year, including due to staff availability, vacations, weather and other macro economic events.</w:t>
      </w:r>
    </w:p>
    <w:p>
      <w:pPr>
        <w:spacing w:after="0" w:line="122" w:lineRule="exact"/>
        <w:rPr>
          <w:rFonts w:ascii="Arial" w:cs="Arial" w:eastAsia="Arial" w:hAnsi="Arial"/>
          <w:sz w:val="12"/>
          <w:szCs w:val="12"/>
          <w:color w:val="auto"/>
        </w:rPr>
      </w:pPr>
    </w:p>
    <w:p>
      <w:pPr>
        <w:ind w:left="208" w:hanging="208"/>
        <w:spacing w:after="0"/>
        <w:tabs>
          <w:tab w:leader="none" w:pos="208" w:val="left"/>
        </w:tabs>
        <w:numPr>
          <w:ilvl w:val="0"/>
          <w:numId w:val="7"/>
        </w:numPr>
        <w:rPr>
          <w:rFonts w:ascii="Arial" w:cs="Arial" w:eastAsia="Arial" w:hAnsi="Arial"/>
          <w:sz w:val="12"/>
          <w:szCs w:val="12"/>
          <w:color w:val="auto"/>
        </w:rPr>
      </w:pPr>
      <w:r>
        <w:rPr>
          <w:rFonts w:ascii="Times New Roman" w:cs="Times New Roman" w:eastAsia="Times New Roman" w:hAnsi="Times New Roman"/>
          <w:sz w:val="12"/>
          <w:szCs w:val="12"/>
          <w:color w:val="auto"/>
        </w:rPr>
        <w:t>Publications of clinical results by us and third parties.</w:t>
      </w:r>
    </w:p>
    <w:p>
      <w:pPr>
        <w:spacing w:after="0" w:line="11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Heartflow Revenue Cases</w:t>
      </w:r>
    </w:p>
    <w:p>
      <w:pPr>
        <w:spacing w:after="0" w:line="127" w:lineRule="exact"/>
        <w:rPr>
          <w:sz w:val="20"/>
          <w:szCs w:val="20"/>
          <w:color w:val="auto"/>
        </w:rPr>
      </w:pPr>
    </w:p>
    <w:p>
      <w:pPr>
        <w:ind w:left="8" w:right="140"/>
        <w:spacing w:after="0" w:line="215" w:lineRule="auto"/>
        <w:rPr>
          <w:sz w:val="20"/>
          <w:szCs w:val="20"/>
          <w:color w:val="auto"/>
        </w:rPr>
      </w:pPr>
      <w:r>
        <w:rPr>
          <w:rFonts w:ascii="Times New Roman" w:cs="Times New Roman" w:eastAsia="Times New Roman" w:hAnsi="Times New Roman"/>
          <w:sz w:val="11"/>
          <w:szCs w:val="11"/>
          <w:color w:val="auto"/>
        </w:rPr>
        <w:t>We regularly review a number of operating and financial metrics to evaluate our business, measure our performance, identify trends affecting our business, formulate our business plan and make strategic decisions. Substantially all of our revenue is generated on a “pay-per-click” basis each time a physician chooses to review either our Heartflow FFR</w:t>
      </w:r>
      <w:r>
        <w:rPr>
          <w:rFonts w:ascii="Times New Roman" w:cs="Times New Roman" w:eastAsia="Times New Roman" w:hAnsi="Times New Roman"/>
          <w:sz w:val="18"/>
          <w:szCs w:val="18"/>
          <w:color w:val="auto"/>
          <w:vertAlign w:val="subscript"/>
        </w:rPr>
        <w:t>CT</w:t>
      </w:r>
      <w:r>
        <w:rPr>
          <w:rFonts w:ascii="Times New Roman" w:cs="Times New Roman" w:eastAsia="Times New Roman" w:hAnsi="Times New Roman"/>
          <w:sz w:val="11"/>
          <w:szCs w:val="11"/>
          <w:color w:val="auto"/>
        </w:rPr>
        <w:t xml:space="preserve"> Analysis, Heartflow Plaque Analysis, or both, and we recognize usage-driven fee revenue upon delivery of the</w:t>
      </w:r>
    </w:p>
    <w:p>
      <w:pPr>
        <w:spacing w:after="0" w:line="1" w:lineRule="exact"/>
        <w:rPr>
          <w:sz w:val="20"/>
          <w:szCs w:val="20"/>
          <w:color w:val="auto"/>
        </w:rPr>
      </w:pPr>
    </w:p>
    <w:p>
      <w:pPr>
        <w:jc w:val="both"/>
        <w:ind w:left="8" w:right="220"/>
        <w:spacing w:after="0" w:line="191" w:lineRule="auto"/>
        <w:rPr>
          <w:sz w:val="20"/>
          <w:szCs w:val="20"/>
          <w:color w:val="auto"/>
        </w:rPr>
      </w:pPr>
      <w:r>
        <w:rPr>
          <w:rFonts w:ascii="Times New Roman" w:cs="Times New Roman" w:eastAsia="Times New Roman" w:hAnsi="Times New Roman"/>
          <w:sz w:val="12"/>
          <w:szCs w:val="12"/>
          <w:color w:val="auto"/>
        </w:rPr>
        <w:t>requested analysis to the physician. We define a “Heartflow revenue case” as each time an account orders and we deliver the requested analysis to the physician. For example, the ordering of both a Heartflow FFR</w:t>
      </w:r>
      <w:r>
        <w:rPr>
          <w:rFonts w:ascii="Times New Roman" w:cs="Times New Roman" w:eastAsia="Times New Roman" w:hAnsi="Times New Roman"/>
          <w:sz w:val="19"/>
          <w:szCs w:val="19"/>
          <w:color w:val="auto"/>
          <w:vertAlign w:val="subscript"/>
        </w:rPr>
        <w:t>CT</w:t>
      </w:r>
      <w:r>
        <w:rPr>
          <w:rFonts w:ascii="Times New Roman" w:cs="Times New Roman" w:eastAsia="Times New Roman" w:hAnsi="Times New Roman"/>
          <w:sz w:val="12"/>
          <w:szCs w:val="12"/>
          <w:color w:val="auto"/>
        </w:rPr>
        <w:t xml:space="preserve"> Analysis and a Heartflow Plaque Analysis from a single CCTA counts as two revenue cases. We define an “account” as any individual facility that orders a Heartflow FFR</w:t>
      </w:r>
      <w:r>
        <w:rPr>
          <w:rFonts w:ascii="Times New Roman" w:cs="Times New Roman" w:eastAsia="Times New Roman" w:hAnsi="Times New Roman"/>
          <w:sz w:val="19"/>
          <w:szCs w:val="19"/>
          <w:color w:val="auto"/>
          <w:vertAlign w:val="subscript"/>
        </w:rPr>
        <w:t>CT</w:t>
      </w:r>
      <w:r>
        <w:rPr>
          <w:rFonts w:ascii="Times New Roman" w:cs="Times New Roman" w:eastAsia="Times New Roman" w:hAnsi="Times New Roman"/>
          <w:sz w:val="12"/>
          <w:szCs w:val="12"/>
          <w:color w:val="auto"/>
        </w:rPr>
        <w:t xml:space="preserve"> Analysis, Heartflow Plaque Analysis, or both. Accounts may have more than one reading physician or CT machine. The following table lists these revenue cases in each of the three month periods as indicated:</w:t>
      </w:r>
    </w:p>
    <w:p>
      <w:pPr>
        <w:spacing w:after="0" w:line="124" w:lineRule="exact"/>
        <w:rPr>
          <w:sz w:val="20"/>
          <w:szCs w:val="20"/>
          <w:color w:val="auto"/>
        </w:rPr>
      </w:pPr>
    </w:p>
    <w:tbl>
      <w:tblPr>
        <w:tblLayout w:type="fixed"/>
        <w:tblInd w:w="8" w:type="dxa"/>
        <w:tblCellMar>
          <w:top w:w="0" w:type="dxa"/>
          <w:left w:w="0" w:type="dxa"/>
          <w:bottom w:w="0" w:type="dxa"/>
          <w:right w:w="0" w:type="dxa"/>
        </w:tblCellMar>
      </w:tblPr>
      <w:tr>
        <w:trPr>
          <w:trHeight w:val="137"/>
        </w:trPr>
        <w:tc>
          <w:tcPr>
            <w:tcW w:w="19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Revenue cases</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Q1 2024</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Q2 2024</w:t>
            </w: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Q3 2024</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Q4 2024</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Q1 2025</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Q2 2025</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Q3 2025</w:t>
            </w: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Q4 2025</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Q1 2026</w:t>
            </w:r>
          </w:p>
        </w:tc>
        <w:tc>
          <w:tcPr>
            <w:tcW w:w="0" w:type="dxa"/>
            <w:vAlign w:val="bottom"/>
          </w:tcPr>
          <w:p>
            <w:pPr>
              <w:spacing w:after="0"/>
              <w:rPr>
                <w:sz w:val="1"/>
                <w:szCs w:val="1"/>
                <w:color w:val="auto"/>
              </w:rPr>
            </w:pPr>
          </w:p>
        </w:tc>
      </w:tr>
      <w:tr>
        <w:trPr>
          <w:trHeight w:val="129"/>
        </w:trPr>
        <w:tc>
          <w:tcPr>
            <w:tcW w:w="1980" w:type="dxa"/>
            <w:vAlign w:val="bottom"/>
            <w:vMerge w:val="continue"/>
          </w:tcPr>
          <w:p>
            <w:pPr>
              <w:spacing w:after="0"/>
              <w:rPr>
                <w:sz w:val="11"/>
                <w:szCs w:val="1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28,803</w:t>
            </w:r>
          </w:p>
        </w:tc>
        <w:tc>
          <w:tcPr>
            <w:tcW w:w="100" w:type="dxa"/>
            <w:vAlign w:val="bottom"/>
          </w:tcPr>
          <w:p>
            <w:pPr>
              <w:spacing w:after="0"/>
              <w:rPr>
                <w:sz w:val="11"/>
                <w:szCs w:val="1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33,039</w:t>
            </w:r>
          </w:p>
        </w:tc>
        <w:tc>
          <w:tcPr>
            <w:tcW w:w="100" w:type="dxa"/>
            <w:vAlign w:val="bottom"/>
          </w:tcPr>
          <w:p>
            <w:pPr>
              <w:spacing w:after="0"/>
              <w:rPr>
                <w:sz w:val="11"/>
                <w:szCs w:val="1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34,970</w:t>
            </w:r>
          </w:p>
        </w:tc>
        <w:tc>
          <w:tcPr>
            <w:tcW w:w="100" w:type="dxa"/>
            <w:vAlign w:val="bottom"/>
          </w:tcPr>
          <w:p>
            <w:pPr>
              <w:spacing w:after="0"/>
              <w:rPr>
                <w:sz w:val="11"/>
                <w:szCs w:val="1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37,805</w:t>
            </w:r>
          </w:p>
        </w:tc>
        <w:tc>
          <w:tcPr>
            <w:tcW w:w="100" w:type="dxa"/>
            <w:vAlign w:val="bottom"/>
          </w:tcPr>
          <w:p>
            <w:pPr>
              <w:spacing w:after="0"/>
              <w:rPr>
                <w:sz w:val="11"/>
                <w:szCs w:val="11"/>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40,336</w:t>
            </w:r>
          </w:p>
        </w:tc>
        <w:tc>
          <w:tcPr>
            <w:tcW w:w="100" w:type="dxa"/>
            <w:vAlign w:val="bottom"/>
          </w:tcPr>
          <w:p>
            <w:pPr>
              <w:spacing w:after="0"/>
              <w:rPr>
                <w:sz w:val="11"/>
                <w:szCs w:val="11"/>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48,423</w:t>
            </w:r>
          </w:p>
        </w:tc>
        <w:tc>
          <w:tcPr>
            <w:tcW w:w="100" w:type="dxa"/>
            <w:vAlign w:val="bottom"/>
          </w:tcPr>
          <w:p>
            <w:pPr>
              <w:spacing w:after="0"/>
              <w:rPr>
                <w:sz w:val="11"/>
                <w:szCs w:val="11"/>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51,805</w:t>
            </w:r>
          </w:p>
        </w:tc>
        <w:tc>
          <w:tcPr>
            <w:tcW w:w="100" w:type="dxa"/>
            <w:vAlign w:val="bottom"/>
          </w:tcPr>
          <w:p>
            <w:pPr>
              <w:spacing w:after="0"/>
              <w:rPr>
                <w:sz w:val="11"/>
                <w:szCs w:val="11"/>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57,776</w:t>
            </w:r>
          </w:p>
        </w:tc>
        <w:tc>
          <w:tcPr>
            <w:tcW w:w="80" w:type="dxa"/>
            <w:vAlign w:val="bottom"/>
          </w:tcPr>
          <w:p>
            <w:pPr>
              <w:spacing w:after="0"/>
              <w:rPr>
                <w:sz w:val="11"/>
                <w:szCs w:val="11"/>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67,443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jc w:val="both"/>
        <w:ind w:left="8" w:right="280"/>
        <w:spacing w:after="0" w:line="264" w:lineRule="auto"/>
        <w:rPr>
          <w:sz w:val="20"/>
          <w:szCs w:val="20"/>
          <w:color w:val="auto"/>
        </w:rPr>
      </w:pPr>
      <w:r>
        <w:rPr>
          <w:rFonts w:ascii="Times New Roman" w:cs="Times New Roman" w:eastAsia="Times New Roman" w:hAnsi="Times New Roman"/>
          <w:sz w:val="12"/>
          <w:szCs w:val="12"/>
          <w:color w:val="auto"/>
        </w:rPr>
        <w:t>The period-to-period change in Heartflow revenue cases is an indicator of our ability to drive adoption and generate sales revenue and is helpful in tracking the progress of our business. We believe that Heartflow revenue cases are representative of our current business; however, we anticipate this metric may be substituted for additional or different metrics as our business grows.</w:t>
      </w:r>
    </w:p>
    <w:p>
      <w:pPr>
        <w:spacing w:after="0" w:line="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Components of Our Results of Operations</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Revenue</w:t>
      </w:r>
    </w:p>
    <w:p>
      <w:pPr>
        <w:spacing w:after="0" w:line="4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Substantially all of our revenue comprises usage-driven fees from accounts who order either our Heartflow FFR</w:t>
      </w:r>
      <w:r>
        <w:rPr>
          <w:rFonts w:ascii="Times New Roman" w:cs="Times New Roman" w:eastAsia="Times New Roman" w:hAnsi="Times New Roman"/>
          <w:sz w:val="19"/>
          <w:szCs w:val="19"/>
          <w:color w:val="auto"/>
          <w:vertAlign w:val="subscript"/>
        </w:rPr>
        <w:t>CT</w:t>
      </w:r>
      <w:r>
        <w:rPr>
          <w:rFonts w:ascii="Times New Roman" w:cs="Times New Roman" w:eastAsia="Times New Roman" w:hAnsi="Times New Roman"/>
          <w:sz w:val="12"/>
          <w:szCs w:val="12"/>
          <w:color w:val="auto"/>
        </w:rPr>
        <w:t xml:space="preserve"> Analysis or our Heartflow Plaque Analysis, or both. We recognize usage-driven fee revenue upon delivery of the</w:t>
      </w:r>
    </w:p>
    <w:p>
      <w:pPr>
        <w:spacing w:after="0" w:line="33" w:lineRule="exact"/>
        <w:rPr>
          <w:sz w:val="20"/>
          <w:szCs w:val="20"/>
          <w:color w:val="auto"/>
        </w:rPr>
      </w:pPr>
    </w:p>
    <w:p>
      <w:pPr>
        <w:ind w:left="8" w:right="40"/>
        <w:spacing w:after="0" w:line="235" w:lineRule="auto"/>
        <w:rPr>
          <w:sz w:val="20"/>
          <w:szCs w:val="20"/>
          <w:color w:val="auto"/>
        </w:rPr>
      </w:pPr>
      <w:r>
        <w:rPr>
          <w:rFonts w:ascii="Times New Roman" w:cs="Times New Roman" w:eastAsia="Times New Roman" w:hAnsi="Times New Roman"/>
          <w:sz w:val="11"/>
          <w:szCs w:val="11"/>
          <w:color w:val="auto"/>
        </w:rPr>
        <w:t>requested analysis to the physician. Key factors that drive our revenue include revenue case growth from our installed base and the success of our sales force in expanding adoption of the Heartflow Platform to new accounts and expanding the utilization of our system by accounts in our installed base. We consider an account that has our Heartflow solution deployed with the ability to send us CCTA images for processing as being part of our installed base. New accounts generally take 12 months to reach steady state revenue case volumes. New accounts typically ramp to FFR</w:t>
      </w:r>
      <w:r>
        <w:rPr>
          <w:rFonts w:ascii="Times New Roman" w:cs="Times New Roman" w:eastAsia="Times New Roman" w:hAnsi="Times New Roman"/>
          <w:sz w:val="18"/>
          <w:szCs w:val="18"/>
          <w:color w:val="auto"/>
          <w:vertAlign w:val="subscript"/>
        </w:rPr>
        <w:t>CT</w:t>
      </w:r>
      <w:r>
        <w:rPr>
          <w:rFonts w:ascii="Times New Roman" w:cs="Times New Roman" w:eastAsia="Times New Roman" w:hAnsi="Times New Roman"/>
          <w:sz w:val="11"/>
          <w:szCs w:val="11"/>
          <w:color w:val="auto"/>
        </w:rPr>
        <w:t xml:space="preserve"> utilization close to full patient applicability in the first year and remain at this level consistently. Our Heartflow FFR</w:t>
      </w:r>
      <w:r>
        <w:rPr>
          <w:rFonts w:ascii="Times New Roman" w:cs="Times New Roman" w:eastAsia="Times New Roman" w:hAnsi="Times New Roman"/>
          <w:sz w:val="18"/>
          <w:szCs w:val="18"/>
          <w:color w:val="auto"/>
          <w:vertAlign w:val="subscript"/>
        </w:rPr>
        <w:t>CT</w:t>
      </w:r>
      <w:r>
        <w:rPr>
          <w:rFonts w:ascii="Times New Roman" w:cs="Times New Roman" w:eastAsia="Times New Roman" w:hAnsi="Times New Roman"/>
          <w:sz w:val="11"/>
          <w:szCs w:val="11"/>
          <w:color w:val="auto"/>
        </w:rPr>
        <w:t xml:space="preserve"> Analysis is indicated for patients with stenosis levels between 40% and 90%, and we believe approximately 33% of patients have this level of stenosis. Revenue cases generated from clinic or office-based accounts typically</w:t>
      </w:r>
    </w:p>
    <w:p>
      <w:pPr>
        <w:spacing w:after="0" w:line="2" w:lineRule="exact"/>
        <w:rPr>
          <w:sz w:val="20"/>
          <w:szCs w:val="20"/>
          <w:color w:val="auto"/>
        </w:rPr>
      </w:pPr>
    </w:p>
    <w:p>
      <w:pPr>
        <w:ind w:left="8" w:right="120"/>
        <w:spacing w:after="0" w:line="233" w:lineRule="auto"/>
        <w:rPr>
          <w:sz w:val="20"/>
          <w:szCs w:val="20"/>
          <w:color w:val="auto"/>
        </w:rPr>
      </w:pPr>
      <w:r>
        <w:rPr>
          <w:rFonts w:ascii="Times New Roman" w:cs="Times New Roman" w:eastAsia="Times New Roman" w:hAnsi="Times New Roman"/>
          <w:sz w:val="12"/>
          <w:szCs w:val="12"/>
          <w:color w:val="auto"/>
        </w:rPr>
        <w:t>carry a lower pricing than hospital-based accounts. We expect the percentage of our revenue cases generated from clinic or office-based accounts to continue to increase over time. The percentage of our U.S. revenue cases attributable to office and clinic-based accounts was 36% and 30% for the three months ended March 31, 2026 and 2025, respectively.</w:t>
      </w:r>
    </w:p>
    <w:p>
      <w:pPr>
        <w:spacing w:after="0" w:line="107" w:lineRule="exact"/>
        <w:rPr>
          <w:sz w:val="20"/>
          <w:szCs w:val="20"/>
          <w:color w:val="auto"/>
        </w:rPr>
      </w:pPr>
    </w:p>
    <w:p>
      <w:pPr>
        <w:ind w:left="8" w:right="40"/>
        <w:spacing w:after="0" w:line="237" w:lineRule="auto"/>
        <w:rPr>
          <w:sz w:val="20"/>
          <w:szCs w:val="20"/>
          <w:color w:val="auto"/>
        </w:rPr>
      </w:pPr>
      <w:r>
        <w:rPr>
          <w:rFonts w:ascii="Times New Roman" w:cs="Times New Roman" w:eastAsia="Times New Roman" w:hAnsi="Times New Roman"/>
          <w:sz w:val="12"/>
          <w:szCs w:val="12"/>
          <w:color w:val="auto"/>
        </w:rPr>
        <w:t>While a single customer may include multiple accounts, no single customer accounted for 10% or more of our revenue during the three months ended March 31, 2026 and 2025. However, the decision-making function for some of these accounts is concentrated in a relatively small number of customers, such that the loss of one customer could</w:t>
      </w:r>
    </w:p>
    <w:p>
      <w:pPr>
        <w:jc w:val="center"/>
        <w:ind w:right="-7"/>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result in a disproportionate loss across our accounts. As we expand the adoption of the Heartflow Platform, we expect a majority of new accounts to come from new customers, decreasing our customer concentration risk.</w:t>
      </w:r>
    </w:p>
    <w:p>
      <w:pPr>
        <w:spacing w:after="0" w:line="123"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2"/>
          <w:szCs w:val="12"/>
          <w:color w:val="auto"/>
        </w:rPr>
        <w:t>Our revenue has fluctuated, and we expect it to continue to fluctuate from quarter-to-quarter due to a variety of factors, including the number of accounts in our installed base, the volume of Heartflow Platform usage by accounts in our installed base, customer pricing contracts that include utilization and volume rebates, changes in the mix of customer accounts and seasonality. We may experience fluctuations in the volume of Heartflow Platform usage by our customers based on seasonal factors that impact the number of radiologists and support staff available to conduct CCTAs at customer accounts.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Cost of Revenue and Gross Margin</w:t>
      </w:r>
    </w:p>
    <w:p>
      <w:pPr>
        <w:spacing w:after="0" w:line="12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2"/>
          <w:szCs w:val="12"/>
          <w:color w:val="auto"/>
        </w:rPr>
        <w:t>Cost of revenue consists of personnel and related expenses, including stock-based compensation costs, primarily related to our production team. Additional costs include third-party hosting fees, amortization of capitalized internal-use software, amortization of contract fulfillment costs as well as royalties associated with technology licenses used in connection with the delivery of our product and allocated overhead, which includes facilities expenses, equipment, depreciation and technology services. These costs are partially offset by capitalized contract fulfillment costs. The role of the production team is to support our patient case volume revenue by performing defined quality-related activities on CCTA scans submitted by our customers for analysis. The portion of these costs that supports patient case volume revenue is recorded as cost of revenue. The production team also supports activities in our clinical trials and research and development, which are allocated as research and development expense. We expect cost of revenue to increase as we hire additional personnel in our production team to support our increasing patient case volume.</w:t>
      </w:r>
    </w:p>
    <w:p>
      <w:pPr>
        <w:spacing w:after="0" w:line="98"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11"/>
          <w:szCs w:val="11"/>
          <w:color w:val="auto"/>
        </w:rPr>
        <w:t>We calculate gross margin as gross profit divided by revenue. Our gross margin has been and will continue to be affected by a variety of factors, primarily by our production team costs, the timing of hiring new production team members and training them to full productivity, the timing of our acquisition of new customers and the related capitalization of contract fulfillment costs, and the pricing and commercialization of Heartflow Plaque Analysis and other new products. Although, we expect our gross margin to fluctuate from period to period, based upon the factors described above, we believe our gross margin will increase over the long term as we leverage the AI-based nature of our software platform to automate an increasing number of the manual components of our production team’s process, thereby lowering the cost of revenue per analysis. We also expect increased revenues from our Heartflow Plaque Analysis to positively impact our gross margin, as it runs on the same CCTA scan as Heartflow FFR</w:t>
      </w:r>
      <w:r>
        <w:rPr>
          <w:rFonts w:ascii="Times New Roman" w:cs="Times New Roman" w:eastAsia="Times New Roman" w:hAnsi="Times New Roman"/>
          <w:sz w:val="18"/>
          <w:szCs w:val="18"/>
          <w:color w:val="auto"/>
          <w:vertAlign w:val="subscript"/>
        </w:rPr>
        <w:t>CT</w:t>
      </w:r>
      <w:r>
        <w:rPr>
          <w:rFonts w:ascii="Times New Roman" w:cs="Times New Roman" w:eastAsia="Times New Roman" w:hAnsi="Times New Roman"/>
          <w:sz w:val="11"/>
          <w:szCs w:val="11"/>
          <w:color w:val="auto"/>
        </w:rPr>
        <w:t xml:space="preserve"> Analysis. In the short term, we expect modulations in our gross margin as we hire and train additional personnel in our production</w:t>
      </w:r>
    </w:p>
    <w:p>
      <w:pPr>
        <w:spacing w:after="0" w:line="1"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12"/>
          <w:szCs w:val="12"/>
          <w:color w:val="auto"/>
        </w:rPr>
        <w:t>team to support our increasing patient case volume. These expenses are offset by the varying levels of support provided by the production team in our clinical trials and research and development, which are allocated as research and development expense, and the capitalization of contract fulfillment costs.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Expenses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Research and development</w:t>
      </w:r>
    </w:p>
    <w:p>
      <w:pPr>
        <w:spacing w:after="0" w:line="125"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12"/>
          <w:szCs w:val="12"/>
          <w:color w:val="auto"/>
        </w:rPr>
        <w:t>Research and development expenses are incurred in connection with the advancement of the Heartflow Platform with the goal to introduce products, features and improvements aimed at increasing the value proposition for our customers by expanding its applicability to additional disease states and patient populations. Research and development expenses consist primarily of engineering, product development, consulting services, clinical studies to develop and support our products, regulatory activities, medical affairs, and other costs associated with products and technologies that are in development. Research and development expenses consist of personnel and related expenses, including stock-based compensation costs, clinical trials, third-party consulting costs, the portion of the costs incurred by our production team to support clinical trials and research and development efforts, and allocated overhead, including facilities expenses, equipment and depreciation. Our research and development team is comprised of PhD research scientists with expertise in AI-based algorithms and medical imaging, alongside software engineers skilled in cloud architecture, AI algorithms, machine and deep learning and 3D visualization, as well as product managers and designers who ensure optimal customer experience and design. We record research and development expenses in the periods in which they are incurred. We expect our research and development expenses to increase as we conduct clinical studies for expanded indications for use or to expand the addressable market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121920</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13" w:lineRule="exact"/>
        <w:rPr>
          <w:sz w:val="20"/>
          <w:szCs w:val="20"/>
          <w:color w:val="auto"/>
        </w:rPr>
      </w:pPr>
    </w:p>
    <w:p>
      <w:pPr>
        <w:ind w:right="320"/>
        <w:spacing w:after="0" w:line="248" w:lineRule="auto"/>
        <w:rPr>
          <w:sz w:val="20"/>
          <w:szCs w:val="20"/>
          <w:color w:val="auto"/>
        </w:rPr>
      </w:pPr>
      <w:r>
        <w:rPr>
          <w:rFonts w:ascii="Times New Roman" w:cs="Times New Roman" w:eastAsia="Times New Roman" w:hAnsi="Times New Roman"/>
          <w:sz w:val="12"/>
          <w:szCs w:val="12"/>
          <w:color w:val="auto"/>
        </w:rPr>
        <w:t>populations for our products and to hire additional personnel to develop new product offerings and product enhancements. For example, in the second half of 2026, we expect to begin enrollment in three randomized clinical trials focused on high-risk asymptomatic sub populations to expand the addressable market for our products.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Selling, general and administrative</w:t>
      </w:r>
    </w:p>
    <w:p>
      <w:pPr>
        <w:spacing w:after="0" w:line="12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2"/>
          <w:szCs w:val="12"/>
          <w:color w:val="auto"/>
        </w:rPr>
        <w:t>Selling, general and administrative expenses consist of personnel and related expenses, including stock-based compensation costs, related to selling and marketing, commercial operations, reimbursement, finance, legal, information technology and human resources functions. Other expenses include sales commission, marketing initiatives, professional service fees (including legal, audit, accounting and tax fees), market access work to secure reimbursement for our technologies, travel expenses, conferences and trade shows, and allocated overhead, which includes facilities expenses, software licenses, depreciation and other miscellaneous expenses.</w:t>
      </w:r>
    </w:p>
    <w:p>
      <w:pPr>
        <w:spacing w:after="0" w:line="97"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2"/>
          <w:szCs w:val="12"/>
          <w:color w:val="auto"/>
        </w:rPr>
        <w:t>We expect that our selling, general and administrative expenses will increase in the future as a result of expanding our operations, including hiring personnel, to both drive and support anticipated growth as well as various incremental costs associated with operating as a public company. We expect that our costs will increase related to legal, audit, accounting fees, consulting fees, regulatory and tax-related services associated with maintaining compliance with exchange listing and SEC requirements, director and officer insurance costs, investor and public relations costs and other expenses that we did not incur as a private company. However, we expect selling, general and administrative expenses to decrease as a percentage of revenue primarily as, and to the extent that, our revenue grows.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Interest income (expense), net</w:t>
      </w:r>
    </w:p>
    <w:p>
      <w:pPr>
        <w:spacing w:after="0" w:line="125"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2"/>
          <w:szCs w:val="12"/>
          <w:color w:val="auto"/>
        </w:rPr>
        <w:t>Interest income (expense), net consists primarily of interest income earned on our cash, cash equivalents and investments, offset by interest expense on our 2024 Term Loan and related amortization of debt discount and debt issuance costs prior to its full repayment in August 2025.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Other expense, net</w:t>
      </w:r>
    </w:p>
    <w:p>
      <w:pPr>
        <w:spacing w:after="0" w:line="12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2"/>
          <w:szCs w:val="12"/>
          <w:color w:val="auto"/>
        </w:rPr>
        <w:t>Other expense, net consists primarily of changes in fair value related to our common stock warrant and derivative liability, as well as foreign exchange transaction gains or losses from transactions and asset and liability balances denominated in currencies other than the U.S. dollar. We continued to record adjustments to the estimated fair value of the common stock warrant liability until the warrants were exercised, and we continued to record adjustments to the estimated fair value of the derivative liability until their conversion upon our IPO. All of our common stock warrants were net exercised in October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Provision for income taxes</w:t>
      </w:r>
    </w:p>
    <w:p>
      <w:pPr>
        <w:spacing w:after="0" w:line="116"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2"/>
          <w:szCs w:val="12"/>
          <w:color w:val="auto"/>
        </w:rPr>
        <w:t>Provision for income taxes consists of income tax expense in foreign jurisdictions. To date, we have not recorded any U.S. federal or state income tax expense. In the United States, we have recorded deferred tax assets for which we provide a full valuation allowance. Due to our history of net operating losses since inception, we expect to maintain a full U.S. valuation allowance in the foreseeable future due to uncertainties regarding our ability to realize these assets.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129540</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Comparison of Three Months Ended March 31, 2026 and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summarizes our results of operations for the three months ended March 31, 2026 and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6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37"/>
        </w:trPr>
        <w:tc>
          <w:tcPr>
            <w:tcW w:w="460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0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00" w:type="dxa"/>
            <w:vAlign w:val="bottom"/>
            <w:tcBorders>
              <w:bottom w:val="single" w:sz="8" w:color="auto"/>
            </w:tcBorders>
          </w:tcPr>
          <w:p>
            <w:pPr>
              <w:spacing w:after="0"/>
              <w:rPr>
                <w:sz w:val="11"/>
                <w:szCs w:val="11"/>
                <w:color w:val="auto"/>
              </w:rPr>
            </w:pPr>
          </w:p>
        </w:tc>
      </w:tr>
      <w:tr>
        <w:trPr>
          <w:trHeight w:val="106"/>
        </w:trPr>
        <w:tc>
          <w:tcPr>
            <w:tcW w:w="4600" w:type="dxa"/>
            <w:vAlign w:val="bottom"/>
            <w:tcBorders>
              <w:bottom w:val="single" w:sz="8" w:color="CCEEFF"/>
            </w:tcBorders>
          </w:tcPr>
          <w:p>
            <w:pPr>
              <w:spacing w:after="0"/>
              <w:rPr>
                <w:sz w:val="9"/>
                <w:szCs w:val="9"/>
                <w:color w:val="auto"/>
              </w:rPr>
            </w:pPr>
          </w:p>
        </w:tc>
        <w:tc>
          <w:tcPr>
            <w:tcW w:w="1080" w:type="dxa"/>
            <w:vAlign w:val="bottom"/>
            <w:tcBorders>
              <w:bottom w:val="single" w:sz="8" w:color="auto"/>
            </w:tcBorders>
          </w:tcPr>
          <w:p>
            <w:pPr>
              <w:jc w:val="right"/>
              <w:ind w:right="86"/>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60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ind w:right="666"/>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jc w:val="right"/>
              <w:ind w:right="746"/>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jc w:val="right"/>
              <w:ind w:right="606"/>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r>
      <w:tr>
        <w:trPr>
          <w:trHeight w:val="106"/>
        </w:trPr>
        <w:tc>
          <w:tcPr>
            <w:tcW w:w="4600" w:type="dxa"/>
            <w:vAlign w:val="bottom"/>
            <w:shd w:val="clear" w:color="auto" w:fill="CCEEFF"/>
          </w:tcPr>
          <w:p>
            <w:pPr>
              <w:ind w:left="60"/>
              <w:spacing w:after="0" w:line="106" w:lineRule="exact"/>
              <w:rPr>
                <w:sz w:val="20"/>
                <w:szCs w:val="20"/>
                <w:color w:val="auto"/>
              </w:rPr>
            </w:pPr>
            <w:r>
              <w:rPr>
                <w:rFonts w:ascii="Times New Roman" w:cs="Times New Roman" w:eastAsia="Times New Roman" w:hAnsi="Times New Roman"/>
                <w:sz w:val="11"/>
                <w:szCs w:val="11"/>
                <w:color w:val="auto"/>
              </w:rPr>
              <w:t>Revenue</w:t>
            </w:r>
          </w:p>
        </w:tc>
        <w:tc>
          <w:tcPr>
            <w:tcW w:w="1080" w:type="dxa"/>
            <w:vAlign w:val="bottom"/>
            <w:shd w:val="clear" w:color="auto" w:fill="CCEEFF"/>
          </w:tcPr>
          <w:p>
            <w:pPr>
              <w:jc w:val="right"/>
              <w:ind w:right="96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52,587</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ind w:right="46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37,205</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ind w:right="3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15,382</w:t>
            </w: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41%</w:t>
            </w:r>
          </w:p>
        </w:tc>
      </w:tr>
      <w:tr>
        <w:trPr>
          <w:trHeight w:val="117"/>
        </w:trPr>
        <w:tc>
          <w:tcPr>
            <w:tcW w:w="4600" w:type="dxa"/>
            <w:vAlign w:val="bottom"/>
            <w:tcBorders>
              <w:bottom w:val="single" w:sz="8" w:color="CCEEFF"/>
            </w:tcBorders>
          </w:tcPr>
          <w:p>
            <w:pPr>
              <w:ind w:left="60"/>
              <w:spacing w:after="0" w:line="117" w:lineRule="exact"/>
              <w:rPr>
                <w:sz w:val="20"/>
                <w:szCs w:val="20"/>
                <w:color w:val="auto"/>
              </w:rPr>
            </w:pPr>
            <w:r>
              <w:rPr>
                <w:rFonts w:ascii="Times New Roman" w:cs="Times New Roman" w:eastAsia="Times New Roman" w:hAnsi="Times New Roman"/>
                <w:sz w:val="11"/>
                <w:szCs w:val="11"/>
                <w:color w:val="auto"/>
              </w:rPr>
              <w:t>Cost of revenue</w:t>
            </w:r>
          </w:p>
        </w:tc>
        <w:tc>
          <w:tcPr>
            <w:tcW w:w="10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10,423</w:t>
            </w:r>
          </w:p>
        </w:tc>
        <w:tc>
          <w:tcPr>
            <w:tcW w:w="8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9,264</w:t>
            </w:r>
          </w:p>
        </w:tc>
        <w:tc>
          <w:tcPr>
            <w:tcW w:w="8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1,159</w:t>
            </w:r>
          </w:p>
        </w:tc>
        <w:tc>
          <w:tcPr>
            <w:tcW w:w="10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13%</w:t>
            </w:r>
          </w:p>
        </w:tc>
      </w:tr>
      <w:tr>
        <w:trPr>
          <w:trHeight w:val="106"/>
        </w:trPr>
        <w:tc>
          <w:tcPr>
            <w:tcW w:w="4600" w:type="dxa"/>
            <w:vAlign w:val="bottom"/>
            <w:shd w:val="clear" w:color="auto" w:fill="CCEEFF"/>
          </w:tcPr>
          <w:p>
            <w:pPr>
              <w:ind w:left="200"/>
              <w:spacing w:after="0" w:line="106" w:lineRule="exact"/>
              <w:rPr>
                <w:sz w:val="20"/>
                <w:szCs w:val="20"/>
                <w:color w:val="auto"/>
              </w:rPr>
            </w:pPr>
            <w:r>
              <w:rPr>
                <w:rFonts w:ascii="Times New Roman" w:cs="Times New Roman" w:eastAsia="Times New Roman" w:hAnsi="Times New Roman"/>
                <w:sz w:val="11"/>
                <w:szCs w:val="11"/>
                <w:color w:val="auto"/>
              </w:rPr>
              <w:t>Gross profit</w:t>
            </w:r>
          </w:p>
        </w:tc>
        <w:tc>
          <w:tcPr>
            <w:tcW w:w="10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42,164</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27,941</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2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14,223</w:t>
            </w: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51%</w:t>
            </w:r>
          </w:p>
        </w:tc>
      </w:tr>
      <w:tr>
        <w:trPr>
          <w:trHeight w:val="117"/>
        </w:trPr>
        <w:tc>
          <w:tcPr>
            <w:tcW w:w="4600" w:type="dxa"/>
            <w:vAlign w:val="bottom"/>
          </w:tcPr>
          <w:p>
            <w:pPr>
              <w:ind w:left="60"/>
              <w:spacing w:after="0" w:line="117" w:lineRule="exact"/>
              <w:rPr>
                <w:sz w:val="20"/>
                <w:szCs w:val="20"/>
                <w:color w:val="auto"/>
              </w:rPr>
            </w:pPr>
            <w:r>
              <w:rPr>
                <w:rFonts w:ascii="Times New Roman" w:cs="Times New Roman" w:eastAsia="Times New Roman" w:hAnsi="Times New Roman"/>
                <w:sz w:val="11"/>
                <w:szCs w:val="11"/>
                <w:color w:val="auto"/>
              </w:rPr>
              <w:t>Operating expenses:</w:t>
            </w:r>
          </w:p>
        </w:tc>
        <w:tc>
          <w:tcPr>
            <w:tcW w:w="10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17"/>
        </w:trPr>
        <w:tc>
          <w:tcPr>
            <w:tcW w:w="4600" w:type="dxa"/>
            <w:vAlign w:val="bottom"/>
            <w:shd w:val="clear" w:color="auto" w:fill="CCEEFF"/>
          </w:tcPr>
          <w:p>
            <w:pPr>
              <w:ind w:left="140"/>
              <w:spacing w:after="0" w:line="117" w:lineRule="exact"/>
              <w:rPr>
                <w:sz w:val="20"/>
                <w:szCs w:val="20"/>
                <w:color w:val="auto"/>
              </w:rPr>
            </w:pPr>
            <w:r>
              <w:rPr>
                <w:rFonts w:ascii="Times New Roman" w:cs="Times New Roman" w:eastAsia="Times New Roman" w:hAnsi="Times New Roman"/>
                <w:sz w:val="11"/>
                <w:szCs w:val="11"/>
                <w:color w:val="auto"/>
              </w:rPr>
              <w:t>Research and development</w:t>
            </w:r>
          </w:p>
        </w:tc>
        <w:tc>
          <w:tcPr>
            <w:tcW w:w="10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21,620</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13,924</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7,696</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55%</w:t>
            </w:r>
          </w:p>
        </w:tc>
      </w:tr>
      <w:tr>
        <w:trPr>
          <w:trHeight w:val="117"/>
        </w:trPr>
        <w:tc>
          <w:tcPr>
            <w:tcW w:w="4600" w:type="dxa"/>
            <w:vAlign w:val="bottom"/>
          </w:tcPr>
          <w:p>
            <w:pPr>
              <w:ind w:left="140"/>
              <w:spacing w:after="0" w:line="117" w:lineRule="exact"/>
              <w:rPr>
                <w:sz w:val="20"/>
                <w:szCs w:val="20"/>
                <w:color w:val="auto"/>
              </w:rPr>
            </w:pPr>
            <w:r>
              <w:rPr>
                <w:rFonts w:ascii="Times New Roman" w:cs="Times New Roman" w:eastAsia="Times New Roman" w:hAnsi="Times New Roman"/>
                <w:sz w:val="11"/>
                <w:szCs w:val="11"/>
                <w:color w:val="auto"/>
              </w:rPr>
              <w:t>Selling, general and administrative</w:t>
            </w:r>
          </w:p>
        </w:tc>
        <w:tc>
          <w:tcPr>
            <w:tcW w:w="10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42,566</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31,519</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11,047</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35%</w:t>
            </w:r>
          </w:p>
        </w:tc>
      </w:tr>
      <w:tr>
        <w:trPr>
          <w:trHeight w:val="117"/>
        </w:trPr>
        <w:tc>
          <w:tcPr>
            <w:tcW w:w="4600" w:type="dxa"/>
            <w:vAlign w:val="bottom"/>
            <w:shd w:val="clear" w:color="auto" w:fill="CCEEFF"/>
          </w:tcPr>
          <w:p>
            <w:pPr>
              <w:ind w:left="140"/>
              <w:spacing w:after="0" w:line="117" w:lineRule="exact"/>
              <w:rPr>
                <w:sz w:val="20"/>
                <w:szCs w:val="20"/>
                <w:color w:val="auto"/>
              </w:rPr>
            </w:pPr>
            <w:r>
              <w:rPr>
                <w:rFonts w:ascii="Times New Roman" w:cs="Times New Roman" w:eastAsia="Times New Roman" w:hAnsi="Times New Roman"/>
                <w:sz w:val="11"/>
                <w:szCs w:val="11"/>
                <w:color w:val="auto"/>
              </w:rPr>
              <w:t>Asset impairment charge</w:t>
            </w:r>
          </w:p>
        </w:tc>
        <w:tc>
          <w:tcPr>
            <w:tcW w:w="10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line="117" w:lineRule="exact"/>
              <w:rPr>
                <w:sz w:val="20"/>
                <w:szCs w:val="20"/>
                <w:color w:val="auto"/>
              </w:rPr>
            </w:pPr>
            <w:r>
              <w:rPr>
                <w:rFonts w:ascii="Times New Roman" w:cs="Times New Roman" w:eastAsia="Times New Roman" w:hAnsi="Times New Roman"/>
                <w:sz w:val="11"/>
                <w:szCs w:val="11"/>
                <w:color w:val="auto"/>
              </w:rPr>
              <w:t>7,482</w:t>
            </w:r>
          </w:p>
        </w:tc>
        <w:tc>
          <w:tcPr>
            <w:tcW w:w="58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80"/>
              <w:spacing w:after="0" w:line="117"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8,691</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r>
      <w:tr>
        <w:trPr>
          <w:trHeight w:val="106"/>
        </w:trPr>
        <w:tc>
          <w:tcPr>
            <w:tcW w:w="4600" w:type="dxa"/>
            <w:vAlign w:val="bottom"/>
            <w:tcBorders>
              <w:bottom w:val="single" w:sz="8" w:color="CCEEFF"/>
            </w:tcBorders>
          </w:tcPr>
          <w:p>
            <w:pPr>
              <w:ind w:left="200"/>
              <w:spacing w:after="0" w:line="106" w:lineRule="exact"/>
              <w:rPr>
                <w:sz w:val="20"/>
                <w:szCs w:val="20"/>
                <w:color w:val="auto"/>
              </w:rPr>
            </w:pPr>
            <w:r>
              <w:rPr>
                <w:rFonts w:ascii="Times New Roman" w:cs="Times New Roman" w:eastAsia="Times New Roman" w:hAnsi="Times New Roman"/>
                <w:sz w:val="11"/>
                <w:szCs w:val="11"/>
                <w:color w:val="auto"/>
              </w:rPr>
              <w:t>Total operating expenses</w:t>
            </w:r>
          </w:p>
        </w:tc>
        <w:tc>
          <w:tcPr>
            <w:tcW w:w="108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71,668</w:t>
            </w:r>
          </w:p>
        </w:tc>
        <w:tc>
          <w:tcPr>
            <w:tcW w:w="80" w:type="dxa"/>
            <w:vAlign w:val="bottom"/>
            <w:tcBorders>
              <w:bottom w:val="single" w:sz="8" w:color="CCEEFF"/>
            </w:tcBorders>
          </w:tcPr>
          <w:p>
            <w:pPr>
              <w:spacing w:after="0"/>
              <w:rPr>
                <w:sz w:val="9"/>
                <w:szCs w:val="9"/>
                <w:color w:val="auto"/>
              </w:rPr>
            </w:pPr>
          </w:p>
        </w:tc>
        <w:tc>
          <w:tcPr>
            <w:tcW w:w="580" w:type="dxa"/>
            <w:vAlign w:val="bottom"/>
            <w:tcBorders>
              <w:top w:val="single" w:sz="8" w:color="auto"/>
              <w:bottom w:val="single" w:sz="8" w:color="auto"/>
            </w:tcBorders>
          </w:tcPr>
          <w:p>
            <w:pPr>
              <w:spacing w:after="0"/>
              <w:rPr>
                <w:sz w:val="9"/>
                <w:szCs w:val="9"/>
                <w:color w:val="auto"/>
              </w:rPr>
            </w:pPr>
          </w:p>
        </w:tc>
        <w:tc>
          <w:tcPr>
            <w:tcW w:w="108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45,443</w:t>
            </w:r>
          </w:p>
        </w:tc>
        <w:tc>
          <w:tcPr>
            <w:tcW w:w="80" w:type="dxa"/>
            <w:vAlign w:val="bottom"/>
            <w:tcBorders>
              <w:bottom w:val="single" w:sz="8" w:color="CCEEFF"/>
            </w:tcBorders>
          </w:tcPr>
          <w:p>
            <w:pPr>
              <w:spacing w:after="0"/>
              <w:rPr>
                <w:sz w:val="9"/>
                <w:szCs w:val="9"/>
                <w:color w:val="auto"/>
              </w:rPr>
            </w:pPr>
          </w:p>
        </w:tc>
        <w:tc>
          <w:tcPr>
            <w:tcW w:w="440" w:type="dxa"/>
            <w:vAlign w:val="bottom"/>
            <w:tcBorders>
              <w:top w:val="single" w:sz="8" w:color="auto"/>
              <w:bottom w:val="single" w:sz="8" w:color="auto"/>
            </w:tcBorders>
          </w:tcPr>
          <w:p>
            <w:pPr>
              <w:spacing w:after="0"/>
              <w:rPr>
                <w:sz w:val="9"/>
                <w:szCs w:val="9"/>
                <w:color w:val="auto"/>
              </w:rPr>
            </w:pPr>
          </w:p>
        </w:tc>
        <w:tc>
          <w:tcPr>
            <w:tcW w:w="122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27,434</w:t>
            </w:r>
          </w:p>
        </w:tc>
        <w:tc>
          <w:tcPr>
            <w:tcW w:w="100" w:type="dxa"/>
            <w:vAlign w:val="bottom"/>
            <w:tcBorders>
              <w:bottom w:val="single" w:sz="8" w:color="CCEEFF"/>
            </w:tcBorders>
          </w:tcPr>
          <w:p>
            <w:pPr>
              <w:spacing w:after="0"/>
              <w:rPr>
                <w:sz w:val="9"/>
                <w:szCs w:val="9"/>
                <w:color w:val="auto"/>
              </w:rPr>
            </w:pPr>
          </w:p>
        </w:tc>
        <w:tc>
          <w:tcPr>
            <w:tcW w:w="340" w:type="dxa"/>
            <w:vAlign w:val="bottom"/>
            <w:tcBorders>
              <w:top w:val="single" w:sz="8" w:color="auto"/>
              <w:bottom w:val="single" w:sz="8" w:color="auto"/>
            </w:tcBorders>
          </w:tcPr>
          <w:p>
            <w:pPr>
              <w:spacing w:after="0"/>
              <w:rPr>
                <w:sz w:val="9"/>
                <w:szCs w:val="9"/>
                <w:color w:val="auto"/>
              </w:rPr>
            </w:pPr>
          </w:p>
        </w:tc>
        <w:tc>
          <w:tcPr>
            <w:tcW w:w="11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60%</w:t>
            </w:r>
          </w:p>
        </w:tc>
      </w:tr>
      <w:tr>
        <w:trPr>
          <w:trHeight w:val="106"/>
        </w:trPr>
        <w:tc>
          <w:tcPr>
            <w:tcW w:w="4600" w:type="dxa"/>
            <w:vAlign w:val="bottom"/>
            <w:shd w:val="clear" w:color="auto" w:fill="CCEEFF"/>
          </w:tcPr>
          <w:p>
            <w:pPr>
              <w:ind w:left="200"/>
              <w:spacing w:after="0" w:line="106" w:lineRule="exact"/>
              <w:rPr>
                <w:sz w:val="20"/>
                <w:szCs w:val="20"/>
                <w:color w:val="auto"/>
              </w:rPr>
            </w:pPr>
            <w:r>
              <w:rPr>
                <w:rFonts w:ascii="Times New Roman" w:cs="Times New Roman" w:eastAsia="Times New Roman" w:hAnsi="Times New Roman"/>
                <w:sz w:val="11"/>
                <w:szCs w:val="11"/>
                <w:color w:val="auto"/>
              </w:rPr>
              <w:t>Loss from operations</w:t>
            </w:r>
          </w:p>
        </w:tc>
        <w:tc>
          <w:tcPr>
            <w:tcW w:w="10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(29,504)</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(17,502)</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2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(12,002)</w:t>
            </w: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69%</w:t>
            </w:r>
          </w:p>
        </w:tc>
      </w:tr>
      <w:tr>
        <w:trPr>
          <w:trHeight w:val="117"/>
        </w:trPr>
        <w:tc>
          <w:tcPr>
            <w:tcW w:w="4600" w:type="dxa"/>
            <w:vAlign w:val="bottom"/>
          </w:tcPr>
          <w:p>
            <w:pPr>
              <w:ind w:left="60"/>
              <w:spacing w:after="0" w:line="117" w:lineRule="exact"/>
              <w:rPr>
                <w:sz w:val="20"/>
                <w:szCs w:val="20"/>
                <w:color w:val="auto"/>
              </w:rPr>
            </w:pPr>
            <w:r>
              <w:rPr>
                <w:rFonts w:ascii="Times New Roman" w:cs="Times New Roman" w:eastAsia="Times New Roman" w:hAnsi="Times New Roman"/>
                <w:sz w:val="11"/>
                <w:szCs w:val="11"/>
                <w:color w:val="auto"/>
              </w:rPr>
              <w:t>Interest income (expense), net</w:t>
            </w:r>
          </w:p>
        </w:tc>
        <w:tc>
          <w:tcPr>
            <w:tcW w:w="10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2,461</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60" w:type="dxa"/>
            <w:vAlign w:val="bottom"/>
            <w:gridSpan w:val="2"/>
          </w:tcPr>
          <w:p>
            <w:pPr>
              <w:jc w:val="right"/>
              <w:ind w:right="80"/>
              <w:spacing w:after="0" w:line="117" w:lineRule="exact"/>
              <w:rPr>
                <w:sz w:val="20"/>
                <w:szCs w:val="20"/>
                <w:color w:val="auto"/>
              </w:rPr>
            </w:pPr>
            <w:r>
              <w:rPr>
                <w:rFonts w:ascii="Times New Roman" w:cs="Times New Roman" w:eastAsia="Times New Roman" w:hAnsi="Times New Roman"/>
                <w:sz w:val="11"/>
                <w:szCs w:val="11"/>
                <w:color w:val="auto"/>
              </w:rPr>
              <w:t>(4,550)</w:t>
            </w:r>
          </w:p>
        </w:tc>
        <w:tc>
          <w:tcPr>
            <w:tcW w:w="440" w:type="dxa"/>
            <w:vAlign w:val="bottom"/>
          </w:tcPr>
          <w:p>
            <w:pPr>
              <w:spacing w:after="0"/>
              <w:rPr>
                <w:sz w:val="10"/>
                <w:szCs w:val="10"/>
                <w:color w:val="auto"/>
              </w:rPr>
            </w:pPr>
          </w:p>
        </w:tc>
        <w:tc>
          <w:tcPr>
            <w:tcW w:w="12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7,011</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(154)%</w:t>
            </w:r>
          </w:p>
        </w:tc>
      </w:tr>
      <w:tr>
        <w:trPr>
          <w:trHeight w:val="117"/>
        </w:trPr>
        <w:tc>
          <w:tcPr>
            <w:tcW w:w="4600" w:type="dxa"/>
            <w:vAlign w:val="bottom"/>
            <w:shd w:val="clear" w:color="auto" w:fill="CCEEFF"/>
          </w:tcPr>
          <w:p>
            <w:pPr>
              <w:ind w:left="60"/>
              <w:spacing w:after="0" w:line="117" w:lineRule="exact"/>
              <w:rPr>
                <w:sz w:val="20"/>
                <w:szCs w:val="20"/>
                <w:color w:val="auto"/>
              </w:rPr>
            </w:pPr>
            <w:r>
              <w:rPr>
                <w:rFonts w:ascii="Times New Roman" w:cs="Times New Roman" w:eastAsia="Times New Roman" w:hAnsi="Times New Roman"/>
                <w:sz w:val="11"/>
                <w:szCs w:val="11"/>
                <w:color w:val="auto"/>
              </w:rPr>
              <w:t>Other expense, net</w:t>
            </w:r>
          </w:p>
        </w:tc>
        <w:tc>
          <w:tcPr>
            <w:tcW w:w="10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line="117" w:lineRule="exact"/>
              <w:rPr>
                <w:sz w:val="20"/>
                <w:szCs w:val="20"/>
                <w:color w:val="auto"/>
              </w:rPr>
            </w:pPr>
            <w:r>
              <w:rPr>
                <w:rFonts w:ascii="Times New Roman" w:cs="Times New Roman" w:eastAsia="Times New Roman" w:hAnsi="Times New Roman"/>
                <w:sz w:val="11"/>
                <w:szCs w:val="11"/>
                <w:color w:val="auto"/>
              </w:rPr>
              <w:t>(314)</w:t>
            </w:r>
          </w:p>
        </w:tc>
        <w:tc>
          <w:tcPr>
            <w:tcW w:w="58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80"/>
              <w:spacing w:after="0" w:line="117" w:lineRule="exact"/>
              <w:rPr>
                <w:sz w:val="20"/>
                <w:szCs w:val="20"/>
                <w:color w:val="auto"/>
              </w:rPr>
            </w:pPr>
            <w:r>
              <w:rPr>
                <w:rFonts w:ascii="Times New Roman" w:cs="Times New Roman" w:eastAsia="Times New Roman" w:hAnsi="Times New Roman"/>
                <w:sz w:val="11"/>
                <w:szCs w:val="11"/>
                <w:color w:val="auto"/>
              </w:rPr>
              <w:t>(10,293)</w:t>
            </w:r>
          </w:p>
        </w:tc>
        <w:tc>
          <w:tcPr>
            <w:tcW w:w="44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9,979</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(97)%</w:t>
            </w:r>
          </w:p>
        </w:tc>
      </w:tr>
      <w:tr>
        <w:trPr>
          <w:trHeight w:val="106"/>
        </w:trPr>
        <w:tc>
          <w:tcPr>
            <w:tcW w:w="4600" w:type="dxa"/>
            <w:vAlign w:val="bottom"/>
            <w:tcBorders>
              <w:bottom w:val="single" w:sz="8" w:color="CCEEFF"/>
            </w:tcBorders>
          </w:tcPr>
          <w:p>
            <w:pPr>
              <w:ind w:left="200"/>
              <w:spacing w:after="0" w:line="106" w:lineRule="exact"/>
              <w:rPr>
                <w:sz w:val="20"/>
                <w:szCs w:val="20"/>
                <w:color w:val="auto"/>
              </w:rPr>
            </w:pPr>
            <w:r>
              <w:rPr>
                <w:rFonts w:ascii="Times New Roman" w:cs="Times New Roman" w:eastAsia="Times New Roman" w:hAnsi="Times New Roman"/>
                <w:sz w:val="11"/>
                <w:szCs w:val="11"/>
                <w:color w:val="auto"/>
              </w:rPr>
              <w:t>Loss before provision for income taxes</w:t>
            </w:r>
          </w:p>
        </w:tc>
        <w:tc>
          <w:tcPr>
            <w:tcW w:w="108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(27,357)</w:t>
            </w:r>
          </w:p>
        </w:tc>
        <w:tc>
          <w:tcPr>
            <w:tcW w:w="80" w:type="dxa"/>
            <w:vAlign w:val="bottom"/>
            <w:tcBorders>
              <w:bottom w:val="single" w:sz="8" w:color="CCEEFF"/>
            </w:tcBorders>
          </w:tcPr>
          <w:p>
            <w:pPr>
              <w:spacing w:after="0"/>
              <w:rPr>
                <w:sz w:val="9"/>
                <w:szCs w:val="9"/>
                <w:color w:val="auto"/>
              </w:rPr>
            </w:pPr>
          </w:p>
        </w:tc>
        <w:tc>
          <w:tcPr>
            <w:tcW w:w="580" w:type="dxa"/>
            <w:vAlign w:val="bottom"/>
            <w:tcBorders>
              <w:top w:val="single" w:sz="8" w:color="auto"/>
              <w:bottom w:val="single" w:sz="8" w:color="auto"/>
            </w:tcBorders>
          </w:tcPr>
          <w:p>
            <w:pPr>
              <w:spacing w:after="0"/>
              <w:rPr>
                <w:sz w:val="9"/>
                <w:szCs w:val="9"/>
                <w:color w:val="auto"/>
              </w:rPr>
            </w:pPr>
          </w:p>
        </w:tc>
        <w:tc>
          <w:tcPr>
            <w:tcW w:w="108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(32,345)</w:t>
            </w:r>
          </w:p>
        </w:tc>
        <w:tc>
          <w:tcPr>
            <w:tcW w:w="80" w:type="dxa"/>
            <w:vAlign w:val="bottom"/>
            <w:tcBorders>
              <w:bottom w:val="single" w:sz="8" w:color="CCEEFF"/>
            </w:tcBorders>
          </w:tcPr>
          <w:p>
            <w:pPr>
              <w:spacing w:after="0"/>
              <w:rPr>
                <w:sz w:val="9"/>
                <w:szCs w:val="9"/>
                <w:color w:val="auto"/>
              </w:rPr>
            </w:pPr>
          </w:p>
        </w:tc>
        <w:tc>
          <w:tcPr>
            <w:tcW w:w="440" w:type="dxa"/>
            <w:vAlign w:val="bottom"/>
            <w:tcBorders>
              <w:top w:val="single" w:sz="8" w:color="auto"/>
              <w:bottom w:val="single" w:sz="8" w:color="auto"/>
            </w:tcBorders>
          </w:tcPr>
          <w:p>
            <w:pPr>
              <w:spacing w:after="0"/>
              <w:rPr>
                <w:sz w:val="9"/>
                <w:szCs w:val="9"/>
                <w:color w:val="auto"/>
              </w:rPr>
            </w:pPr>
          </w:p>
        </w:tc>
        <w:tc>
          <w:tcPr>
            <w:tcW w:w="122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4,988</w:t>
            </w:r>
          </w:p>
        </w:tc>
        <w:tc>
          <w:tcPr>
            <w:tcW w:w="100" w:type="dxa"/>
            <w:vAlign w:val="bottom"/>
            <w:tcBorders>
              <w:bottom w:val="single" w:sz="8" w:color="CCEEFF"/>
            </w:tcBorders>
          </w:tcPr>
          <w:p>
            <w:pPr>
              <w:spacing w:after="0"/>
              <w:rPr>
                <w:sz w:val="9"/>
                <w:szCs w:val="9"/>
                <w:color w:val="auto"/>
              </w:rPr>
            </w:pPr>
          </w:p>
        </w:tc>
        <w:tc>
          <w:tcPr>
            <w:tcW w:w="340" w:type="dxa"/>
            <w:vAlign w:val="bottom"/>
            <w:tcBorders>
              <w:top w:val="single" w:sz="8" w:color="auto"/>
              <w:bottom w:val="single" w:sz="8" w:color="auto"/>
            </w:tcBorders>
          </w:tcPr>
          <w:p>
            <w:pPr>
              <w:spacing w:after="0"/>
              <w:rPr>
                <w:sz w:val="9"/>
                <w:szCs w:val="9"/>
                <w:color w:val="auto"/>
              </w:rPr>
            </w:pPr>
          </w:p>
        </w:tc>
        <w:tc>
          <w:tcPr>
            <w:tcW w:w="11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(15)%</w:t>
            </w:r>
          </w:p>
        </w:tc>
      </w:tr>
      <w:tr>
        <w:trPr>
          <w:trHeight w:val="106"/>
        </w:trPr>
        <w:tc>
          <w:tcPr>
            <w:tcW w:w="4600" w:type="dxa"/>
            <w:vAlign w:val="bottom"/>
            <w:shd w:val="clear" w:color="auto" w:fill="CCEEFF"/>
          </w:tcPr>
          <w:p>
            <w:pPr>
              <w:ind w:left="60"/>
              <w:spacing w:after="0" w:line="106" w:lineRule="exact"/>
              <w:rPr>
                <w:sz w:val="20"/>
                <w:szCs w:val="20"/>
                <w:color w:val="auto"/>
              </w:rPr>
            </w:pPr>
            <w:r>
              <w:rPr>
                <w:rFonts w:ascii="Times New Roman" w:cs="Times New Roman" w:eastAsia="Times New Roman" w:hAnsi="Times New Roman"/>
                <w:sz w:val="11"/>
                <w:szCs w:val="11"/>
                <w:color w:val="auto"/>
              </w:rPr>
              <w:t>Provision for income taxes</w:t>
            </w:r>
          </w:p>
        </w:tc>
        <w:tc>
          <w:tcPr>
            <w:tcW w:w="1080" w:type="dxa"/>
            <w:vAlign w:val="bottom"/>
            <w:tcBorders>
              <w:bottom w:val="single" w:sz="8" w:color="auto"/>
            </w:tcBorders>
            <w:shd w:val="clear" w:color="auto" w:fill="CCEEFF"/>
          </w:tcPr>
          <w:p>
            <w:pPr>
              <w:spacing w:after="0"/>
              <w:rPr>
                <w:sz w:val="9"/>
                <w:szCs w:val="9"/>
                <w:color w:val="auto"/>
              </w:rPr>
            </w:pPr>
          </w:p>
        </w:tc>
        <w:tc>
          <w:tcPr>
            <w:tcW w:w="60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(23)</w:t>
            </w:r>
          </w:p>
        </w:tc>
        <w:tc>
          <w:tcPr>
            <w:tcW w:w="80" w:type="dxa"/>
            <w:vAlign w:val="bottom"/>
            <w:shd w:val="clear" w:color="auto" w:fill="CCEEFF"/>
          </w:tcPr>
          <w:p>
            <w:pPr>
              <w:spacing w:after="0"/>
              <w:rPr>
                <w:sz w:val="9"/>
                <w:szCs w:val="9"/>
                <w:color w:val="auto"/>
              </w:rPr>
            </w:pPr>
          </w:p>
        </w:tc>
        <w:tc>
          <w:tcPr>
            <w:tcW w:w="580" w:type="dxa"/>
            <w:vAlign w:val="bottom"/>
            <w:tcBorders>
              <w:bottom w:val="single" w:sz="8" w:color="auto"/>
            </w:tcBorders>
            <w:shd w:val="clear" w:color="auto" w:fill="CCEEFF"/>
          </w:tcPr>
          <w:p>
            <w:pPr>
              <w:spacing w:after="0"/>
              <w:rPr>
                <w:sz w:val="9"/>
                <w:szCs w:val="9"/>
                <w:color w:val="auto"/>
              </w:rPr>
            </w:pPr>
          </w:p>
        </w:tc>
        <w:tc>
          <w:tcPr>
            <w:tcW w:w="108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spacing w:after="0"/>
              <w:rPr>
                <w:sz w:val="9"/>
                <w:szCs w:val="9"/>
                <w:color w:val="auto"/>
              </w:rPr>
            </w:pPr>
          </w:p>
        </w:tc>
        <w:tc>
          <w:tcPr>
            <w:tcW w:w="122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(23)</w:t>
            </w:r>
          </w:p>
        </w:tc>
        <w:tc>
          <w:tcPr>
            <w:tcW w:w="100" w:type="dxa"/>
            <w:vAlign w:val="bottom"/>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spacing w:after="0"/>
              <w:rPr>
                <w:sz w:val="9"/>
                <w:szCs w:val="9"/>
                <w:color w:val="auto"/>
              </w:rPr>
            </w:pPr>
          </w:p>
        </w:tc>
        <w:tc>
          <w:tcPr>
            <w:tcW w:w="110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w:t>
            </w:r>
          </w:p>
        </w:tc>
      </w:tr>
      <w:tr>
        <w:trPr>
          <w:trHeight w:val="106"/>
        </w:trPr>
        <w:tc>
          <w:tcPr>
            <w:tcW w:w="4600" w:type="dxa"/>
            <w:vAlign w:val="bottom"/>
          </w:tcPr>
          <w:p>
            <w:pPr>
              <w:ind w:left="200"/>
              <w:spacing w:after="0" w:line="106" w:lineRule="exact"/>
              <w:rPr>
                <w:sz w:val="20"/>
                <w:szCs w:val="20"/>
                <w:color w:val="auto"/>
              </w:rPr>
            </w:pPr>
            <w:r>
              <w:rPr>
                <w:rFonts w:ascii="Times New Roman" w:cs="Times New Roman" w:eastAsia="Times New Roman" w:hAnsi="Times New Roman"/>
                <w:sz w:val="11"/>
                <w:szCs w:val="11"/>
                <w:color w:val="auto"/>
              </w:rPr>
              <w:t>Net loss</w:t>
            </w:r>
          </w:p>
        </w:tc>
        <w:tc>
          <w:tcPr>
            <w:tcW w:w="1080" w:type="dxa"/>
            <w:vAlign w:val="bottom"/>
            <w:tcBorders>
              <w:bottom w:val="single" w:sz="8" w:color="auto"/>
            </w:tcBorders>
          </w:tcPr>
          <w:p>
            <w:pPr>
              <w:jc w:val="right"/>
              <w:ind w:right="96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(27,380)</w:t>
            </w:r>
          </w:p>
        </w:tc>
        <w:tc>
          <w:tcPr>
            <w:tcW w:w="80" w:type="dxa"/>
            <w:vAlign w:val="bottom"/>
          </w:tcPr>
          <w:p>
            <w:pPr>
              <w:spacing w:after="0"/>
              <w:rPr>
                <w:sz w:val="9"/>
                <w:szCs w:val="9"/>
                <w:color w:val="auto"/>
              </w:rPr>
            </w:pPr>
          </w:p>
        </w:tc>
        <w:tc>
          <w:tcPr>
            <w:tcW w:w="580" w:type="dxa"/>
            <w:vAlign w:val="bottom"/>
            <w:tcBorders>
              <w:bottom w:val="single" w:sz="8" w:color="auto"/>
            </w:tcBorders>
          </w:tcPr>
          <w:p>
            <w:pPr>
              <w:jc w:val="right"/>
              <w:ind w:right="46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(32,345)</w:t>
            </w:r>
          </w:p>
        </w:tc>
        <w:tc>
          <w:tcPr>
            <w:tcW w:w="80" w:type="dxa"/>
            <w:vAlign w:val="bottom"/>
          </w:tcPr>
          <w:p>
            <w:pPr>
              <w:spacing w:after="0"/>
              <w:rPr>
                <w:sz w:val="9"/>
                <w:szCs w:val="9"/>
                <w:color w:val="auto"/>
              </w:rPr>
            </w:pPr>
          </w:p>
        </w:tc>
        <w:tc>
          <w:tcPr>
            <w:tcW w:w="440" w:type="dxa"/>
            <w:vAlign w:val="bottom"/>
            <w:tcBorders>
              <w:bottom w:val="single" w:sz="8" w:color="auto"/>
            </w:tcBorders>
          </w:tcPr>
          <w:p>
            <w:pPr>
              <w:jc w:val="right"/>
              <w:ind w:right="3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4,965</w:t>
            </w:r>
          </w:p>
        </w:tc>
        <w:tc>
          <w:tcPr>
            <w:tcW w:w="1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(15)%</w:t>
            </w:r>
          </w:p>
        </w:tc>
      </w:tr>
    </w:tbl>
    <w:p>
      <w:pPr>
        <w:spacing w:after="0"/>
        <w:tabs>
          <w:tab w:leader="none" w:pos="140" w:val="left"/>
        </w:tabs>
        <w:rPr>
          <w:sz w:val="20"/>
          <w:szCs w:val="20"/>
          <w:color w:val="auto"/>
        </w:rPr>
      </w:pPr>
      <w:r>
        <w:rPr>
          <w:rFonts w:ascii="Times New Roman" w:cs="Times New Roman" w:eastAsia="Times New Roman" w:hAnsi="Times New Roman"/>
          <w:sz w:val="9"/>
          <w:szCs w:val="9"/>
          <w:color w:val="auto"/>
        </w:rPr>
        <w:t>*:</w:t>
      </w:r>
      <w:r>
        <w:rPr>
          <w:sz w:val="20"/>
          <w:szCs w:val="20"/>
          <w:color w:val="auto"/>
        </w:rPr>
        <w:tab/>
      </w:r>
      <w:r>
        <w:rPr>
          <w:rFonts w:ascii="Times New Roman" w:cs="Times New Roman" w:eastAsia="Times New Roman" w:hAnsi="Times New Roman"/>
          <w:sz w:val="8"/>
          <w:szCs w:val="8"/>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-59055</wp:posOffset>
            </wp:positionV>
            <wp:extent cx="425196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251960" cy="5715"/>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w:t>
      </w:r>
    </w:p>
    <w:p>
      <w:pPr>
        <w:spacing w:after="0" w:line="127"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11"/>
          <w:szCs w:val="11"/>
          <w:color w:val="auto"/>
        </w:rPr>
        <w:t>Revenue increased $15.4 million, or 41%, to $52.6 million during the three months ended March 31, 2026, compared to $37.2 million during the three months ended March 31, 2025. The increase in revenue was primarily attributable to a 67% increase in revenue case volume, partially offset by a reduction in average sales price due to a higher percentage of revenue cases generated from clinic and office-based accounts and an increase in volume rebates.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Cost of revenue and gross margin</w:t>
      </w:r>
    </w:p>
    <w:p>
      <w:pPr>
        <w:spacing w:after="0" w:line="127"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12"/>
          <w:szCs w:val="12"/>
          <w:color w:val="auto"/>
        </w:rPr>
        <w:t>Cost of revenue increased $1.1 million, or 13%, to $10.4 million during the three months ended March 31, 2026, compared to $9.3 million during the three months ended March 31, 2025. This increase was attributable to an increase of $2.0 million in personnel and related expenses, $0.3 million in third-party hosting fees, $0.2 million in royalties, and $0.1 million in computer hardware expenses, partially offset by a net increase of $1.5 million in capitalized and amortized contract fulfillment costs. Personnel and related expenses included $0.1 million of stock-based compensation costs during each of the three months ended March 31, 2026 and 2025. Gross margin for the three months ended March 31, 2026 increased to 80% as compared to 75% for the three months ended March 31, 2025. The gross margin increase during the three months ended March 31, 2026 was primarily attributable to our increase in revenue case volume and improved production team productivity driven by AI efficiency initiatives, partially offset by our continued investment in the hiring and training of additional personnel in our production team to support our increasing revenue case volume. Although we expect to continue to invest in the hiring and training of additional personnel in our production team, we expect our gross margin will continue to increase over the long term.</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 expenses</w:t>
      </w:r>
    </w:p>
    <w:p>
      <w:pPr>
        <w:spacing w:after="0" w:line="118"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2"/>
          <w:szCs w:val="12"/>
          <w:color w:val="auto"/>
        </w:rPr>
        <w:t>Research and development expenses increased $7.7 million, or 55%, to $21.6 million during the three months ended March 31, 2026, compared to $13.9 million during the three months ended March 31, 2025. The increase in research and development expenses was primarily attributable to an increase of $6.1 million in personnel and related expenses directly associated with an increase in headcount, $0.8 million in consulting and professional fees, $0.3 million in allocated overhead, $0.2 million in allocated production team costs to support clinical trials and research and development efforts, $0.2 million in software-related costs and $0.2 million in third-party hosting fees,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121920</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13"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2"/>
          <w:szCs w:val="12"/>
          <w:color w:val="auto"/>
        </w:rPr>
        <w:t>partially offset by a decrease of $0.2 million in clinical trial expenses and a net increase of $0.2 million of capitalized internal-use software costs. Personnel and related expenses included $2.1 million and $0.5 million of stock-based compensation costs during the three months ended March 31, 2026 and 2025, respectively.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Selling, general and administrative expenses</w:t>
      </w:r>
    </w:p>
    <w:p>
      <w:pPr>
        <w:spacing w:after="0" w:line="12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2"/>
          <w:szCs w:val="12"/>
          <w:color w:val="auto"/>
        </w:rPr>
        <w:t>Selling, general and administrative expenses increased $11.1 million, or 35%, to $42.6 million during the three months ended March 31, 2026, compared to $31.5 million during the three months ended March 31, 2025. The increase in selling, general and administrative expenses was primarily attributable to an increase of $8.4 million in personnel and related expenses directly associated with an increase in headcount, $0.7 million in professional fees, including legal, audit and consulting fees, $0.7 million in computer hardware and software-related costs, $0.7 million in travel expenses and $0.4 million in advertising and other promotional expenses, partially offset by a decrease of $0.4 million in allocated overhead. Personnel and related expenses included $4.3 million and $1.9 million of stock-based compensation costs for the three months ended March 31, 2026 and 2025,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Asset impairment charge</w:t>
      </w:r>
    </w:p>
    <w:p>
      <w:pPr>
        <w:spacing w:after="0" w:line="127"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2"/>
          <w:szCs w:val="12"/>
          <w:color w:val="auto"/>
        </w:rPr>
        <w:t>Asset impairment charge consists of a non-cash impairment charge related to the right-of-use asset and leasehold improvements for our Mountain View, California facility. In March 2026, we entered into a sublease agreement with a third-party subtenant to sublease this facility. We evaluated the associated right-of-use asset and leasehold improvements for impairment as the substantially lower sublease income indicated that the carrying amount of such assets may not be recoverable. We compared the carrying value of the impacted assets to the fair value to determine the impairment amount and recognized an asset impairment charge of $7.5 million during the three months ended March 31,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income (expense), net</w:t>
      </w:r>
    </w:p>
    <w:p>
      <w:pPr>
        <w:spacing w:after="0" w:line="118"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2"/>
          <w:szCs w:val="12"/>
          <w:color w:val="auto"/>
        </w:rPr>
        <w:t>Interest income (expense), net increased to income of $2.5 million during the three months ended March 31, 2026, compared to an expense of $4.6 million during the three months ended March 31, 2025. This change was mainly attributable to the repayment in full of our 2024 Term Loan in August 2025 and the conversion of our 2025 Convertible Notes to common stock upon our IPO in August 2025.</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expense, net</w:t>
      </w:r>
    </w:p>
    <w:p>
      <w:pPr>
        <w:spacing w:after="0" w:line="118"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2"/>
          <w:szCs w:val="12"/>
          <w:color w:val="auto"/>
        </w:rPr>
        <w:t>Other expense, net decreased to an expense of $0.3 million during the three months ended March 31, 2026, compared to an expense of $10.3 million during the three months ended March 31, 2025. The three months ended March 31, 2025 included a $1.6 million charge from the remeasurement and recognition of the change in fair value related to our common stock warrant liability and a $9.0 million charge from the remeasurement and recognition of the change in fair value related to our derivative liability.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Provision for income taxes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Provision for income taxes was $23,000 for the three months ended March 31, 2026, compared to $0 for the three months ended March 31, 2025, which was related to our foreign taxes.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Sources of Liquidity</w:t>
      </w:r>
    </w:p>
    <w:p>
      <w:pPr>
        <w:spacing w:after="0" w:line="118"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12"/>
          <w:szCs w:val="12"/>
          <w:color w:val="auto"/>
        </w:rPr>
        <w:t>As of March 31, 2026, we had $254.9 million in cash, cash equivalents and investments and an accumulated deficit of $1.1 billion. Prior to our IPO, we primarily funded our operations with proceeds from sales of shares of our redeemable convertible preferred stock, common stock and convertible promissory notes, borrowings under our term loans and revenue received from our customers, which we expect to continue to be our primary source of future liquidity.</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129540</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3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2"/>
          <w:szCs w:val="12"/>
          <w:color w:val="auto"/>
        </w:rPr>
        <w:t>We expect to continue to incur losses and to expend significant amounts of cash in the foreseeable future as we continue to scale our business, invest in research and development activities, increase sales and marketing efforts to support commercial expansion, and increase general and administrative expenses to support being a publicly-traded company.</w:t>
      </w:r>
    </w:p>
    <w:p>
      <w:pPr>
        <w:spacing w:after="0" w:line="83"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12"/>
          <w:szCs w:val="12"/>
          <w:color w:val="auto"/>
        </w:rPr>
        <w:t>Based on our current operating plan, we believe that our existing cash, cash equivalents and investments, together with the expected cash generated from revenue transactions with customers, will be sufficient to meet our capital requirements and fund our operations for at least the next 12 months. We have based this estimate on assumptions that may prove to be wrong, and we could deplete our capital resources sooner than we expect. We may experience lower than expected cash generated from operating activities or greater than expected capital expenditures, cost of revenue, or operating expenses, and may need to raise additional capital to fund operations, further research and development activities, or acquire, invest in, or in-license other businesses, assets, or technologies.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Hayfin Credit Agreement</w:t>
      </w:r>
    </w:p>
    <w:p>
      <w:pPr>
        <w:spacing w:after="0" w:line="127"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2"/>
          <w:szCs w:val="12"/>
          <w:color w:val="auto"/>
        </w:rPr>
        <w:t>On June 14, 2024, we entered into a Credit Agreement and Guaranty with Hayfin Services, LLP (“Hayfin”) for a $138.1 million term loan to refinance the outstanding loan obligations under the initial credit agreement we entered into with Hayfin on January 19, 2021 and the additional term loans entered into with Hayfin on March 17, 2022 in exchange for the payment of exit fees and early prepayment fees in the aggregate amount of $8.3 million payable in sixteen equal quarterly installments, or immediately upon the occurrence of our IPO. On January 24, 2025, in connection with the issuance of the 2025 Convertible Notes as further described below, we entered into Amendment No. 1 to the Credit Agreement and Guaranty (as amended, the “2024 Credit Agreement”) to amend the terms and conditions governing the term loan outstanding thereunder (as amended, the “2024 Term Loan”). Under this amendment, Hayfin also converted $23.0 million of principal under the 2024 Term Loan to 2025 Convertible Notes under the same terms as the other purchasers of the 2025 Convertible Notes.</w:t>
      </w:r>
    </w:p>
    <w:p>
      <w:pPr>
        <w:spacing w:after="0" w:line="107"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2"/>
          <w:szCs w:val="12"/>
          <w:color w:val="auto"/>
        </w:rPr>
        <w:t>During its term, the 2024 Term Loan was scheduled to mature on June 14, 2028 and bore interest at a floating rate per annum equal to the sum of (i) 7.0% (or 6.0% if the alternative base rate (“ABR”) was in effect) plus (ii) the greater of (x) the forward-looking term rate based on the Secured Overnight Financing Rate (“SOFR”) for a respective tenor in effect on such day (or the alternative base rate, if applicable), and (y) 2.0%. The ABR equaled the sum of (i) 6.0% plus (ii) the greater of (1) the Wall Street Journal Prime Rate, plus 0.5%, (2) the Federal Reserve Bank of New York rate plus 0.5% or (3) the CBA Term SOFR for one month tenor plus 1.0%. We had an option to pay interest in-kind at the rate equal to the cash interest rate plus 1.0% through the last interest period ending before the 18th month anniversary of the 2024 Credit Agreement. We had an option to prepay the 2024 Term Loan subject to a prepayment fee of 1.5% for prepayments after the second anniversary but on or prior to the third anniversary of the 2024 Term Loan and a prepayment fee of 3% for prepayments thereafter.</w:t>
      </w:r>
    </w:p>
    <w:p>
      <w:pPr>
        <w:spacing w:after="0" w:line="107"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12"/>
          <w:szCs w:val="12"/>
          <w:color w:val="auto"/>
        </w:rPr>
        <w:t>On August 18, 2025, we repaid $55.0 million of indebtedness outstanding under the 2024 Credit Agreement for which we were obligated to pay in connection with the completion of our IPO and approximately $5.8 million in fees consisting of a 3.0% exit fee and a 3.0% early prepayment fee due under the 2021 Credit Agreement, as amended.</w:t>
      </w:r>
    </w:p>
    <w:p>
      <w:pPr>
        <w:spacing w:after="0" w:line="102" w:lineRule="exact"/>
        <w:rPr>
          <w:sz w:val="20"/>
          <w:szCs w:val="20"/>
          <w:color w:val="auto"/>
        </w:rPr>
      </w:pPr>
    </w:p>
    <w:p>
      <w:pPr>
        <w:ind w:right="340"/>
        <w:spacing w:after="0" w:line="248" w:lineRule="auto"/>
        <w:rPr>
          <w:sz w:val="20"/>
          <w:szCs w:val="20"/>
          <w:color w:val="auto"/>
        </w:rPr>
      </w:pPr>
      <w:r>
        <w:rPr>
          <w:rFonts w:ascii="Times New Roman" w:cs="Times New Roman" w:eastAsia="Times New Roman" w:hAnsi="Times New Roman"/>
          <w:sz w:val="12"/>
          <w:szCs w:val="12"/>
          <w:color w:val="auto"/>
        </w:rPr>
        <w:t>On August 22, 2025, we prepaid in full all outstanding amounts under, and terminated, the 2024 Credit Agreement, in the aggregate principal amount of $60.1 million plus accrued interest of $1.0 million. We did not incur exit or prepayment fees in connection with the termination of the 2024 Credit Agreement.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Convertible Notes</w:t>
      </w:r>
    </w:p>
    <w:p>
      <w:pPr>
        <w:spacing w:after="0" w:line="127"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12"/>
          <w:szCs w:val="12"/>
          <w:color w:val="auto"/>
        </w:rPr>
        <w:t>In January and March 2025, we issued convertible promissory notes to various investors and certain employees in the aggregate amount of $98.3 million, which was comprised of $74.0 million in aggregate principal amount of notes issued for cash consideration, $1.3 million in aggregate principal amount of notes issued in lieu of cash compensation to certain employees and $23.0 million in aggregate principal amount of notes issued from the conversion of principal under the 2024 Term Loan Conversion (collectively, the “2025 Convertible Notes”). The 2025 Convertible Notes did not accrue interest for one year following the date of issuance and were due and payable in full 48 months from the issue date. Upon the completion of our IPO, the aggregate outstanding principal balance</w:t>
      </w: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121920</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under the 2025 Convertible Notes automatically converted into shares of our common stock at a 20% discount to the IPO price.</w:t>
      </w:r>
    </w:p>
    <w:p>
      <w:pPr>
        <w:spacing w:after="0" w:line="123" w:lineRule="exact"/>
        <w:rPr>
          <w:sz w:val="20"/>
          <w:szCs w:val="20"/>
          <w:color w:val="auto"/>
        </w:rPr>
      </w:pPr>
    </w:p>
    <w:p>
      <w:pPr>
        <w:jc w:val="both"/>
        <w:ind w:right="120"/>
        <w:spacing w:after="0" w:line="235" w:lineRule="auto"/>
        <w:rPr>
          <w:sz w:val="20"/>
          <w:szCs w:val="20"/>
          <w:color w:val="auto"/>
        </w:rPr>
      </w:pPr>
      <w:r>
        <w:rPr>
          <w:rFonts w:ascii="Times New Roman" w:cs="Times New Roman" w:eastAsia="Times New Roman" w:hAnsi="Times New Roman"/>
          <w:sz w:val="12"/>
          <w:szCs w:val="12"/>
          <w:color w:val="auto"/>
        </w:rPr>
        <w:t>The 2025 Convertible Notes contained embedded derivative features, including conversion upon a change in control and automatic conversion upon completion of a qualified IPO, that were required to be bifurcated and accounted for separately as a single derivative instrument. The issuance date estimated fair values of the derivative liability was $11.1 million and $20.8 million in January and March 2025, respectively, which were recorded as debt discounts. The derivative liability was remeasured to an aggregate fair value of $24.6 million immediately before the conversion of the 2025 Convertible Notes to common stock upon the IPO, resulting in a gain of $7.3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Cash Flows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summarizes our cash flows for each of the periods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20" w:type="dxa"/>
            <w:vAlign w:val="bottom"/>
            <w:gridSpan w:val="3"/>
          </w:tcPr>
          <w:p>
            <w:pPr>
              <w:jc w:val="center"/>
              <w:ind w:left="666"/>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7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2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3"/>
          </w:tcPr>
          <w:p>
            <w:pPr>
              <w:jc w:val="center"/>
              <w:ind w:left="666"/>
              <w:spacing w:after="0"/>
              <w:rPr>
                <w:sz w:val="20"/>
                <w:szCs w:val="20"/>
                <w:color w:val="auto"/>
              </w:rPr>
            </w:pPr>
            <w:r>
              <w:rPr>
                <w:rFonts w:ascii="Times New Roman" w:cs="Times New Roman" w:eastAsia="Times New Roman" w:hAnsi="Times New Roman"/>
                <w:sz w:val="11"/>
                <w:szCs w:val="11"/>
                <w:b w:val="1"/>
                <w:bCs w:val="1"/>
                <w:color w:val="auto"/>
                <w:w w:val="95"/>
              </w:rPr>
              <w:t>March 31,</w:t>
            </w: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7720" w:type="dxa"/>
            <w:vAlign w:val="bottom"/>
            <w:tcBorders>
              <w:bottom w:val="single" w:sz="8" w:color="CCEEFF"/>
            </w:tcBorders>
            <w:vMerge w:val="continue"/>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jc w:val="right"/>
              <w:ind w:right="706"/>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CCEEFF"/>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ind w:right="706"/>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06"/>
        </w:trPr>
        <w:tc>
          <w:tcPr>
            <w:tcW w:w="77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Net cash used in operating activities</w:t>
            </w:r>
          </w:p>
        </w:tc>
        <w:tc>
          <w:tcPr>
            <w:tcW w:w="420" w:type="dxa"/>
            <w:vAlign w:val="bottom"/>
            <w:shd w:val="clear" w:color="auto" w:fill="CCEEFF"/>
          </w:tcPr>
          <w:p>
            <w:pPr>
              <w:jc w:val="right"/>
              <w:ind w:right="30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(30,104)</w:t>
            </w: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50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(13,166)</w:t>
            </w:r>
          </w:p>
        </w:tc>
        <w:tc>
          <w:tcPr>
            <w:tcW w:w="0" w:type="dxa"/>
            <w:vAlign w:val="bottom"/>
          </w:tcPr>
          <w:p>
            <w:pPr>
              <w:spacing w:after="0"/>
              <w:rPr>
                <w:sz w:val="1"/>
                <w:szCs w:val="1"/>
                <w:color w:val="auto"/>
              </w:rPr>
            </w:pPr>
          </w:p>
        </w:tc>
      </w:tr>
      <w:tr>
        <w:trPr>
          <w:trHeight w:val="117"/>
        </w:trPr>
        <w:tc>
          <w:tcPr>
            <w:tcW w:w="772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Net cash used in investing activities</w:t>
            </w:r>
          </w:p>
        </w:tc>
        <w:tc>
          <w:tcPr>
            <w:tcW w:w="420" w:type="dxa"/>
            <w:vAlign w:val="bottom"/>
          </w:tcPr>
          <w:p>
            <w:pPr>
              <w:spacing w:after="0"/>
              <w:rPr>
                <w:sz w:val="10"/>
                <w:szCs w:val="10"/>
                <w:color w:val="auto"/>
              </w:rPr>
            </w:pPr>
          </w:p>
        </w:tc>
        <w:tc>
          <w:tcPr>
            <w:tcW w:w="1400" w:type="dxa"/>
            <w:vAlign w:val="bottom"/>
            <w:gridSpan w:val="2"/>
          </w:tcPr>
          <w:p>
            <w:pPr>
              <w:jc w:val="right"/>
              <w:ind w:right="80"/>
              <w:spacing w:after="0" w:line="117" w:lineRule="exact"/>
              <w:rPr>
                <w:sz w:val="20"/>
                <w:szCs w:val="20"/>
                <w:color w:val="auto"/>
              </w:rPr>
            </w:pPr>
            <w:r>
              <w:rPr>
                <w:rFonts w:ascii="Times New Roman" w:cs="Times New Roman" w:eastAsia="Times New Roman" w:hAnsi="Times New Roman"/>
                <w:sz w:val="11"/>
                <w:szCs w:val="11"/>
                <w:color w:val="auto"/>
              </w:rPr>
              <w:t>(1,427)</w:t>
            </w:r>
          </w:p>
        </w:tc>
        <w:tc>
          <w:tcPr>
            <w:tcW w:w="620" w:type="dxa"/>
            <w:vAlign w:val="bottom"/>
          </w:tcPr>
          <w:p>
            <w:pPr>
              <w:spacing w:after="0"/>
              <w:rPr>
                <w:sz w:val="10"/>
                <w:szCs w:val="10"/>
                <w:color w:val="auto"/>
              </w:rPr>
            </w:pPr>
          </w:p>
        </w:tc>
        <w:tc>
          <w:tcPr>
            <w:tcW w:w="11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(1,101)</w:t>
            </w:r>
          </w:p>
        </w:tc>
        <w:tc>
          <w:tcPr>
            <w:tcW w:w="0" w:type="dxa"/>
            <w:vAlign w:val="bottom"/>
          </w:tcPr>
          <w:p>
            <w:pPr>
              <w:spacing w:after="0"/>
              <w:rPr>
                <w:sz w:val="1"/>
                <w:szCs w:val="1"/>
                <w:color w:val="auto"/>
              </w:rPr>
            </w:pPr>
          </w:p>
        </w:tc>
      </w:tr>
      <w:tr>
        <w:trPr>
          <w:trHeight w:val="117"/>
        </w:trPr>
        <w:tc>
          <w:tcPr>
            <w:tcW w:w="77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Net cash provided by financing activities</w:t>
            </w:r>
          </w:p>
        </w:tc>
        <w:tc>
          <w:tcPr>
            <w:tcW w:w="42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80"/>
              <w:spacing w:after="0" w:line="117" w:lineRule="exact"/>
              <w:rPr>
                <w:sz w:val="20"/>
                <w:szCs w:val="20"/>
                <w:color w:val="auto"/>
              </w:rPr>
            </w:pPr>
            <w:r>
              <w:rPr>
                <w:rFonts w:ascii="Times New Roman" w:cs="Times New Roman" w:eastAsia="Times New Roman" w:hAnsi="Times New Roman"/>
                <w:sz w:val="11"/>
                <w:szCs w:val="11"/>
                <w:color w:val="auto"/>
              </w:rPr>
              <w:t>6,157</w:t>
            </w:r>
          </w:p>
        </w:tc>
        <w:tc>
          <w:tcPr>
            <w:tcW w:w="62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72,922</w:t>
            </w: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cash used in operating activities</w:t>
      </w:r>
    </w:p>
    <w:p>
      <w:pPr>
        <w:spacing w:after="0" w:line="118"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2"/>
          <w:szCs w:val="12"/>
          <w:color w:val="auto"/>
        </w:rPr>
        <w:t>Net cash used in operating activities during the three months ended March 31, 2026 was $30.1 million, attributable to a net loss of $27.4 million and a net change in operating assets and liabilities of $18.3 million, partially offset by non-cash charges of $15.6 million. The non-cash charges primarily consisted of an asset impairment charge of $7.5 million, $6.6 million in stock-based compensation expense, $1.4 million of depreciation and amortization, $1.0 million of amortization of right-of-use asset and $0.8 million amortization of discounts on investments. The increase in net operating assets was primarily due to an increase of $6.2 million in accounts receivable, a $3.9 million increase in prepaid expenses and other current assets, a $1.6 million increase in other non-current assets, and an increase of $1.7 million in accounts payable, partially offset by a $7.4 million decrease in accrued expenses and other current liabilities and a $1.0 million decrease in operating lease liabilities.</w:t>
      </w:r>
    </w:p>
    <w:p>
      <w:pPr>
        <w:spacing w:after="0" w:line="107"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12"/>
          <w:szCs w:val="12"/>
          <w:color w:val="auto"/>
        </w:rPr>
        <w:t>Net cash used in operating activities during the three months ended March 31, 2025 was $13.2 million, attributable to a net loss of $32.3 million and a net change in operating assets and liabilities of $2.5 million, partially offset by non-cash charges of $16.7 million. The non-cash charges primarily consisted of $2.5 million in stock-based compensation expense, $9.0 million of change in fair value of derivative liability, $1.6 million of change in fair value of common stock warrant, $1.4 million of depreciation and amortization, $0.7 million of amortization of right-of-use asset, $0.5 million of non-cash interest charges and $1.0 million of amortization of debt discount and debt issuance costs. The increase in net operating assets was primarily due to an increase of $3.6 million in accounts receivable, a $0.4 million increase in prepaid expenses and other current assets, a $0.3 million increase in other non-current assets, a $9.3 million increase in accrued expenses and other current liabilities, a $1.6 million decrease in accounts payable and a $0.9 million decrease in operating lease liabilities.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cash used in investing activities</w:t>
      </w:r>
    </w:p>
    <w:p>
      <w:pPr>
        <w:spacing w:after="0" w:line="127"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2"/>
          <w:szCs w:val="12"/>
          <w:color w:val="auto"/>
        </w:rPr>
        <w:t>Net cash used in investing activities for the three months ended March 31, 2026 was $1.4 million, which consisted of $29.5 million in purchases of investments and $1.9 million in purchases of property and equipment, offset by $30.0 million in maturities of investments.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cash used in investing activities for the three months ended March 31, 2025 was $1.1 million consisting of purchases of property and equipment.</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129540</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cash provided by financing activities</w:t>
      </w:r>
    </w:p>
    <w:p>
      <w:pPr>
        <w:spacing w:after="0" w:line="127"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12"/>
          <w:szCs w:val="12"/>
          <w:color w:val="auto"/>
        </w:rPr>
        <w:t>Net cash provided by financing activities during the three months ended March 31, 2026 was $6.2 million, which consisted primarily of proceeds from the exercise of stock options and purchases under our employee stock purchase plan.</w:t>
      </w:r>
    </w:p>
    <w:p>
      <w:pPr>
        <w:spacing w:after="0" w:line="10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2"/>
          <w:szCs w:val="12"/>
          <w:color w:val="auto"/>
        </w:rPr>
        <w:t>Net cash provided by financing activities during the three months ended March 31, 2025 consisted primarily of $73.9 million in net proceeds from the issuance of our 2025 Convertible Notes, $0.6 million in proceeds from the exercise of stock options, offset by $0.5 million in exit and prepayment penalty fees related to our 2024 Term Loan and $1.0 million in payments of deferred IPO offering costs.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Contractual Obligations and Commitments</w:t>
      </w:r>
    </w:p>
    <w:p>
      <w:pPr>
        <w:spacing w:after="0" w:line="127"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2"/>
          <w:szCs w:val="12"/>
          <w:color w:val="auto"/>
        </w:rPr>
        <w:t>Our contractual commitments will have an impact on our future liquidity. Our material commitments include future payments on non-cancellable facility leases and the sublease of our Mountain View, California facility lease as disclosed in Note 2 to our condensed consolidated financial statements included elsewhere in this Quarterly Report on Form 10-Q, and our royalty obligations for exclusive technology licensing agreements. There have been no other material changes to our contractual obligations from those described in our Annual Report on Form 10-K filed with the SEC on March 18, 2026.</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Recently Issued Accounting Pronouncements</w:t>
      </w:r>
    </w:p>
    <w:p>
      <w:pPr>
        <w:spacing w:after="0" w:line="127" w:lineRule="exact"/>
        <w:rPr>
          <w:sz w:val="20"/>
          <w:szCs w:val="20"/>
          <w:color w:val="auto"/>
        </w:rPr>
      </w:pPr>
    </w:p>
    <w:p>
      <w:pPr>
        <w:ind w:right="300"/>
        <w:spacing w:after="0" w:line="248" w:lineRule="auto"/>
        <w:rPr>
          <w:sz w:val="20"/>
          <w:szCs w:val="20"/>
          <w:color w:val="auto"/>
        </w:rPr>
      </w:pPr>
      <w:r>
        <w:rPr>
          <w:rFonts w:ascii="Times New Roman" w:cs="Times New Roman" w:eastAsia="Times New Roman" w:hAnsi="Times New Roman"/>
          <w:sz w:val="12"/>
          <w:szCs w:val="12"/>
          <w:color w:val="auto"/>
        </w:rPr>
        <w:t>A description of recently issued accounting pronouncements that may potentially impact our financial position, results of operations or cash flows is disclosed in Note 2 to our condensed consolidated financial statements included elsewhere in this Quarterly Report on Form 10-Q.</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127"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2"/>
          <w:szCs w:val="12"/>
          <w:color w:val="auto"/>
        </w:rPr>
        <w:t>Our management’s discussion and analysis of our financial condition and results of operations is based on our condensed consolidated financial statements, which have been prepared in accordance with accounting principles generally accepted in the United States of America. The preparation of these condensed consolidated financial statements requires us to make estimates and assumptions that affect the reported amounts of assets, liabilities, revenue, expenses and related disclosures. Our estimates are based on our historical experience and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99"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2"/>
          <w:szCs w:val="12"/>
          <w:color w:val="auto"/>
        </w:rPr>
        <w:t>See Note 2 to our condensed consolidated financial statements included elsewhere in this Quarterly Report on Form 10-Q for information about our significant accounting policies and estimates used in the preparation of our condensed consolidated financial statements. There have been no significant and material changes in our critical accounting policies during the three months ended March 31, 2026, as compared to those disclosed in “Management’s Discussion and Analysis of Financial Condition and Results of Operations” for the year ended December 31, 2025 included in our Annual Report on Form 10-K filed with the SEC on March 18, 2026.</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Off-balance Sheet Arrangements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During the periods presented we did not have, nor do we currently have, any off-balance sheet arrangements as defined in the rules and regulations of the SEC.</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Emerging Growth Company Status</w:t>
      </w:r>
    </w:p>
    <w:p>
      <w:pPr>
        <w:spacing w:after="0" w:line="11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2"/>
          <w:szCs w:val="12"/>
          <w:color w:val="auto"/>
        </w:rPr>
        <w:t>We are an “emerging growth company” under the Jumpstart Our Business Startups Act of 2012 (the “JOBS Act”), which permits us to take advantage of an extended transition period to comply with new or revised accounting standards applicable to public companies. We have elected to use this extended transition period until we are no longer an emerging growth company or until we affirmatively and irrevocably opt out of the extended transition</w:t>
      </w: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127635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13"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2"/>
          <w:szCs w:val="12"/>
          <w:color w:val="auto"/>
        </w:rPr>
        <w:t>period. As a result, our condensed consolidated financial statements may not be comparable to companies that comply with new or revised accounting pronouncements applicable to public companies. The JOBS Act also exempts us from having to provide an attestation and report from our independent registered public accounting firm on the assessment of our internal control over financial reporting pursuant to the Sarbanes-Oxley Act of 2002.</w:t>
      </w:r>
    </w:p>
    <w:p>
      <w:pPr>
        <w:spacing w:after="0" w:line="10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2"/>
          <w:szCs w:val="12"/>
          <w:color w:val="auto"/>
        </w:rPr>
        <w:t>We will remain an emerging growth company until the earliest of: (i) December 31, 2030;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18" w:lineRule="exact"/>
        <w:rPr>
          <w:sz w:val="20"/>
          <w:szCs w:val="20"/>
          <w:color w:val="auto"/>
        </w:rPr>
      </w:pPr>
    </w:p>
    <w:p>
      <w:pPr>
        <w:ind w:right="1100"/>
        <w:spacing w:after="0" w:line="453" w:lineRule="auto"/>
        <w:rPr>
          <w:sz w:val="20"/>
          <w:szCs w:val="20"/>
          <w:color w:val="auto"/>
        </w:rPr>
      </w:pPr>
      <w:r>
        <w:rPr>
          <w:rFonts w:ascii="Times New Roman" w:cs="Times New Roman" w:eastAsia="Times New Roman" w:hAnsi="Times New Roman"/>
          <w:sz w:val="12"/>
          <w:szCs w:val="12"/>
          <w:color w:val="auto"/>
        </w:rPr>
        <w:t xml:space="preserve">We are exposed to market risks in the ordinary course of our business. These risks primarily include risk related to interest rate sensitivities, credit risk, foreign currency exchange rate sensitivity and inflation risk. </w:t>
      </w:r>
      <w:r>
        <w:rPr>
          <w:rFonts w:ascii="Times New Roman" w:cs="Times New Roman" w:eastAsia="Times New Roman" w:hAnsi="Times New Roman"/>
          <w:sz w:val="12"/>
          <w:szCs w:val="12"/>
          <w:b w:val="1"/>
          <w:bCs w:val="1"/>
          <w:i w:val="1"/>
          <w:iCs w:val="1"/>
          <w:color w:val="auto"/>
        </w:rPr>
        <w:t>Interest rate risk</w:t>
      </w:r>
    </w:p>
    <w:p>
      <w:pPr>
        <w:spacing w:after="0" w:line="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2"/>
          <w:szCs w:val="12"/>
          <w:color w:val="auto"/>
        </w:rPr>
        <w:t>As of March 31, 2026, we had cash, cash equivalents and investments of $254.9 million, which consisted of bank deposits, money market funds, U.S. government securities, U.S. treasury bills, commercial paper, corporate bonds/notes, asset-backed securities and agency bonds/notes.</w:t>
      </w:r>
    </w:p>
    <w:p>
      <w:pPr>
        <w:spacing w:after="0" w:line="102"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2"/>
          <w:szCs w:val="12"/>
          <w:color w:val="auto"/>
        </w:rPr>
        <w:t>The primary objectives of our investment activities are the preservation of capital and support of our liquidity requirements. We place our cash, cash equivalents, and investments with high-quality financial institutions and have established investment guidelines relative to diversification and maturities designed to maintain safety and liquidity. Our investments are exposed to market risk due to fluctuations in interest rates, which may affect our income and the fair market value of our investments. If interest rates rise, the market value of our investments may decline, which could result in a realized loss if we sell an investment before its scheduled maturity.</w:t>
      </w:r>
    </w:p>
    <w:p>
      <w:pPr>
        <w:spacing w:after="0" w:line="106"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2"/>
          <w:szCs w:val="12"/>
          <w:color w:val="auto"/>
        </w:rPr>
        <w:t>We do not enter into investments for trading or speculative purposes and have not used any derivative financial instruments to manage our interest rate risk exposure. A hypothetical 10% change in interest rates would not have a material impact on the value of our cash and cash equivalents or our investments as of March 31, 2026. While we believe our cash, cash equivalents, and investments do not contain excessive risk, we cannot provide absolute assurance that, in the future, our investments will not be subject to adverse changes in market value.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Credit risk</w:t>
      </w:r>
    </w:p>
    <w:p>
      <w:pPr>
        <w:spacing w:after="0" w:line="127"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2"/>
          <w:szCs w:val="12"/>
          <w:color w:val="auto"/>
        </w:rPr>
        <w:t>Our cash and cash equivalents, which at times may exceed federally insured limits, are maintained with large financial institutions. As of the issuance date of the financial statements included in this report, we have not experienced any losses on our deposits and all of our cash deposits have been accessible to us. As of March 31, 2026, our cash equivalents and investments are invested in highly rated money market funds, U.S. treasury bills, U.S. government securities, commercial paper, corporate bonds/notes, asset-backed securities and agency bonds/notes. Uncertain financial markets, or a U.S. sovereign default or threat thereof, could result in a tightening in the credit markets, a reduced level of liquidity in many financial markets, and extreme volatility in fixed income and credit markets. The credit ratings of securities in our investments could deteriorate and may have an adverse impact on the carrying value of these investments.</w:t>
      </w:r>
    </w:p>
    <w:p>
      <w:pPr>
        <w:spacing w:after="0" w:line="98" w:lineRule="exact"/>
        <w:rPr>
          <w:sz w:val="20"/>
          <w:szCs w:val="20"/>
          <w:color w:val="auto"/>
        </w:rPr>
      </w:pPr>
    </w:p>
    <w:p>
      <w:pPr>
        <w:ind w:right="900"/>
        <w:spacing w:after="0" w:line="453" w:lineRule="auto"/>
        <w:rPr>
          <w:sz w:val="20"/>
          <w:szCs w:val="20"/>
          <w:color w:val="auto"/>
        </w:rPr>
      </w:pPr>
      <w:r>
        <w:rPr>
          <w:rFonts w:ascii="Times New Roman" w:cs="Times New Roman" w:eastAsia="Times New Roman" w:hAnsi="Times New Roman"/>
          <w:sz w:val="12"/>
          <w:szCs w:val="12"/>
          <w:color w:val="auto"/>
        </w:rPr>
        <w:t xml:space="preserve">Our accounts receivable primarily relate to revenue from the sale of our products to medical providers. No customer represented 10% or more of our accounts receivable as of March 31, 2026 and December 31, 2025. </w:t>
      </w:r>
      <w:r>
        <w:rPr>
          <w:rFonts w:ascii="Times New Roman" w:cs="Times New Roman" w:eastAsia="Times New Roman" w:hAnsi="Times New Roman"/>
          <w:sz w:val="12"/>
          <w:szCs w:val="12"/>
          <w:b w:val="1"/>
          <w:bCs w:val="1"/>
          <w:i w:val="1"/>
          <w:iCs w:val="1"/>
          <w:color w:val="auto"/>
        </w:rPr>
        <w:t>Foreign currency exchange risk</w:t>
      </w:r>
    </w:p>
    <w:p>
      <w:pPr>
        <w:spacing w:after="0" w:line="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2"/>
          <w:szCs w:val="12"/>
          <w:color w:val="auto"/>
        </w:rPr>
        <w:t>The vast majority of our cash generated from revenue is denominated in U.S. dollars, with a small amount denominated in other foreign currencies. Our expenses are generally denominated in the currencies of the jurisdictions in which we conduct our operations, which are primarily in the United States, United</w:t>
      </w:r>
    </w:p>
    <w:p>
      <w:pPr>
        <w:jc w:val="center"/>
        <w:ind w:right="-39"/>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121920</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13"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2"/>
          <w:szCs w:val="12"/>
          <w:color w:val="auto"/>
        </w:rPr>
        <w:t>Kingdom and Japan. Our results of operations and cash flows are, therefore, subject to fluctuations due to changes in foreign currency exchange rates. The effect of a hypothetical 10% change in foreign currency exchange rates applicable to our business would not have had a material impact on our condensed consolidated financial statements during any of the periods presented.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Effects of inflation</w:t>
      </w:r>
    </w:p>
    <w:p>
      <w:pPr>
        <w:spacing w:after="0" w:line="127"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2"/>
          <w:szCs w:val="12"/>
          <w:color w:val="auto"/>
        </w:rPr>
        <w:t>Inflation generally affects us by increasing our cost of labor and overhead costs. We do not believe that inflation has had a material impact on our business, results of operations, or financial condition, or on our condensed consolidated financial statements included elsewhere in this Quarterly Report on Form 10-Q.</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Evaluation of Disclosure Controls and Procedures</w:t>
      </w:r>
    </w:p>
    <w:p>
      <w:pPr>
        <w:spacing w:after="0" w:line="127" w:lineRule="exact"/>
        <w:rPr>
          <w:sz w:val="20"/>
          <w:szCs w:val="20"/>
          <w:color w:val="auto"/>
        </w:rPr>
      </w:pPr>
    </w:p>
    <w:p>
      <w:pPr>
        <w:jc w:val="both"/>
        <w:ind w:right="100"/>
        <w:spacing w:after="0" w:line="241" w:lineRule="auto"/>
        <w:rPr>
          <w:sz w:val="20"/>
          <w:szCs w:val="20"/>
          <w:color w:val="auto"/>
        </w:rPr>
      </w:pPr>
      <w:r>
        <w:rPr>
          <w:rFonts w:ascii="Times New Roman" w:cs="Times New Roman" w:eastAsia="Times New Roman" w:hAnsi="Times New Roman"/>
          <w:sz w:val="12"/>
          <w:szCs w:val="12"/>
          <w:color w:val="auto"/>
        </w:rPr>
        <w:t>Our management, with the participation of our Chief Executive Officer and our Chief Financial Officer, has evaluated the effectiveness of our disclosure controls and procedures (as defined in Rules 13a-15(e) and 15d-15(e) under the Securities Exchange Act of 1934, as amended) as of the end of the period covered by this Quarterly Report on Form 10-Q. Based on that evaluation, our Chief Executive Officer and our Chief Financial Officer have concluded that, as of March 31, 2026, our disclosure controls and procedures were effective at the reasonable assurance level.</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Changes in Internal Control over Financial Reporting</w:t>
      </w:r>
    </w:p>
    <w:p>
      <w:pPr>
        <w:spacing w:after="0" w:line="12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2"/>
          <w:szCs w:val="12"/>
          <w:color w:val="auto"/>
        </w:rPr>
        <w:t>Due to a transition period established by SEC rules applicable to newly public companies, our management is not required to evaluate the effectiveness of our internal control over financial reporting until the filing of our Annual Report on Form 10-K for the year ended December 31, 2026. As a result, this Quarterly Report on Form 10-Q does not address whether there have been any changes in our internal control over financial reporting.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Limitations on Effectiveness of Controls and Procedures</w:t>
      </w:r>
    </w:p>
    <w:p>
      <w:pPr>
        <w:spacing w:after="0" w:line="12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2"/>
          <w:szCs w:val="12"/>
          <w:color w:val="auto"/>
        </w:rPr>
        <w:t>In designing and evaluating the disclosure controls and procedures, our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our management is required to apply judgment in evaluating the benefits of possible controls and procedures relative to their costs.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129540</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2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2"/>
          <w:szCs w:val="12"/>
          <w:color w:val="auto"/>
        </w:rPr>
        <w:t>In October 2025, we and certain of our employees received civil investigative demands (the “CID”) from the U.S. Department of Justice, Civil Division, in connection with an investigation under the federal Anti-Kickback Statute and Civil False Claims Act (the “Investigation”). The CID requests information, documents, and testimony focused on our financial and contractual arrangements with providers and our sales and marketing activities. We are cooperating with the Investigation. We are unable to express a view at this time regarding the likely duration, or ultimate outcome, of the Investigation. Depending on the outcome of the Investigation, there may be a material impact on our business, results of operations, financial condition, or cash flows.</w:t>
      </w:r>
    </w:p>
    <w:p>
      <w:pPr>
        <w:spacing w:after="0" w:line="99"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2"/>
          <w:szCs w:val="12"/>
          <w:color w:val="auto"/>
        </w:rPr>
        <w:t>On April 13, 2026, we filed a patent infringement lawsuit against Cleerly, Inc. in the United States District Court for the Eastern District of Texas. The complaint seeks permanent injunctive relief and damages arising from Cleerly’s unauthorized and continued use of Heartflow’s patented technology. Heartflow asserts that Cleerly’s Ischemia, Plaque Analysis, and Compare products infringe six of Heartflow’s patents with priority dates from 2012 to 2018, protecting Heartflow innovations developed years before the introduction of any Cleerly product.</w:t>
      </w:r>
    </w:p>
    <w:p>
      <w:pPr>
        <w:spacing w:after="0" w:line="106"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2"/>
          <w:szCs w:val="12"/>
          <w:color w:val="auto"/>
        </w:rPr>
        <w:t>In addition, we have become, and we may become in the future, involved in various legal proceedings arising from the normal course of business activities. We are not presently a party to any litigation for which the outcome, based on our reasonable belief, if determined adversely to us, would individually or taken together, materially and adversely affect our business, financial condition, or results of operations. However, we may from time to time be involved in various claims and legal proceedings of a nature we believe are normal and incidental to a business such as ours. These matters may include employment, contract, intellectual property, product liability and other general claims. Regardless of outcome, litigation can have an adverse impact on us because of defense and settlement costs, diversion of management resources and other factors.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2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We have described under the heading “Risk Factors” included in our Annual Report on Form 10-K filed with the SEC on March 18, 2026 a number of risks and uncertainties that could cause our actual results of operations and financial condition to vary materially from past, or from anticipated future, results of operations and financial condition. There have been no material changes from these risk factors previously described in our Annual Report on Form 10-K filed with the SEC on March 18, 2026. These risks and uncertainties are not the only risks facing us. Additional risks and uncertainties not presently known to us or that we currently deem not material may also adversely affect our business, financial condition, results of operations or the market price of our common stock.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Unregistered Sale of Equity Securities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Use of Proceeds</w:t>
      </w:r>
    </w:p>
    <w:p>
      <w:pPr>
        <w:spacing w:after="0" w:line="127"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2"/>
          <w:szCs w:val="12"/>
          <w:color w:val="auto"/>
        </w:rPr>
        <w:t>For a discussion of the use of proceeds from our IPO, see the information in Part II, Item 2, “Use of Proceeds” in our Quarterly Report on Form 10-Q for the quarter ended June 30, 2025. There have been no material changes to the use of proceeds from our IPO disclosed in our Quarterly Report on Form 10-Q for the quarter ended September 30, 2025.</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 applicable.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 applicable.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Insider Trading Arrangements</w:t>
      </w:r>
    </w:p>
    <w:p>
      <w:pPr>
        <w:spacing w:after="0" w:line="12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2"/>
          <w:szCs w:val="12"/>
          <w:color w:val="auto"/>
        </w:rPr>
        <w:t>During the quarter ended March 31, 2026, none of our directors or officers (as defined in Rule 16a-1(f) under the Securities Exchange Act of 1934, as amended) adopted, modified or terminated a “Rule 10b5-1 (c) trading arrangement” or a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129540</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6" w:right="359" w:bottom="1440" w:gutter="0" w:footer="0" w:header="0"/>
        </w:sectPr>
      </w:pPr>
    </w:p>
    <w:bookmarkStart w:id="45" w:name="page46"/>
    <w:bookmarkEnd w:id="45"/>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Item 6. Exhibit Index</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exhibits listed in the accompanying index to exhibits are filed as part of, or incorporated by reference, into this Quarterly Report on Form 10-Q.</w:t>
      </w:r>
    </w:p>
    <w:p>
      <w:pPr>
        <w:spacing w:after="0" w:line="153"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Incorporated by Reference</w:t>
            </w: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Exhibit number</w:t>
            </w:r>
          </w:p>
        </w:tc>
        <w:tc>
          <w:tcPr>
            <w:tcW w:w="1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96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0"/>
                <w:szCs w:val="10"/>
                <w:b w:val="1"/>
                <w:bCs w:val="1"/>
                <w:color w:val="auto"/>
              </w:rPr>
              <w:t>Exhibit description</w:t>
            </w:r>
          </w:p>
        </w:tc>
        <w:tc>
          <w:tcPr>
            <w:tcW w:w="960" w:type="dxa"/>
            <w:vAlign w:val="bottom"/>
            <w:tcBorders>
              <w:bottom w:val="single" w:sz="8" w:color="auto"/>
            </w:tcBorders>
          </w:tcPr>
          <w:p>
            <w:pPr>
              <w:jc w:val="center"/>
              <w:ind w:left="136"/>
              <w:spacing w:after="0"/>
              <w:rPr>
                <w:sz w:val="20"/>
                <w:szCs w:val="20"/>
                <w:color w:val="auto"/>
              </w:rPr>
            </w:pPr>
            <w:r>
              <w:rPr>
                <w:rFonts w:ascii="Times New Roman" w:cs="Times New Roman" w:eastAsia="Times New Roman" w:hAnsi="Times New Roman"/>
                <w:sz w:val="10"/>
                <w:szCs w:val="10"/>
                <w:b w:val="1"/>
                <w:bCs w:val="1"/>
                <w:color w:val="auto"/>
                <w:w w:val="91"/>
              </w:rPr>
              <w:t>Form</w:t>
            </w:r>
          </w:p>
        </w:tc>
        <w:tc>
          <w:tcPr>
            <w:tcW w:w="700" w:type="dxa"/>
            <w:vAlign w:val="bottom"/>
            <w:tcBorders>
              <w:bottom w:val="single" w:sz="8" w:color="auto"/>
            </w:tcBorders>
          </w:tcPr>
          <w:p>
            <w:pPr>
              <w:jc w:val="center"/>
              <w:ind w:left="296"/>
              <w:spacing w:after="0"/>
              <w:rPr>
                <w:sz w:val="20"/>
                <w:szCs w:val="20"/>
                <w:color w:val="auto"/>
              </w:rPr>
            </w:pPr>
            <w:r>
              <w:rPr>
                <w:rFonts w:ascii="Times New Roman" w:cs="Times New Roman" w:eastAsia="Times New Roman" w:hAnsi="Times New Roman"/>
                <w:sz w:val="10"/>
                <w:szCs w:val="10"/>
                <w:b w:val="1"/>
                <w:bCs w:val="1"/>
                <w:color w:val="auto"/>
                <w:w w:val="95"/>
              </w:rPr>
              <w:t>File No.</w:t>
            </w:r>
          </w:p>
        </w:tc>
        <w:tc>
          <w:tcPr>
            <w:tcW w:w="140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128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0"/>
                <w:szCs w:val="10"/>
                <w:b w:val="1"/>
                <w:bCs w:val="1"/>
                <w:color w:val="auto"/>
                <w:w w:val="96"/>
              </w:rPr>
              <w:t>Filing Date</w:t>
            </w:r>
          </w:p>
        </w:tc>
        <w:tc>
          <w:tcPr>
            <w:tcW w:w="0" w:type="dxa"/>
            <w:vAlign w:val="bottom"/>
          </w:tcPr>
          <w:p>
            <w:pPr>
              <w:spacing w:after="0"/>
              <w:rPr>
                <w:sz w:val="1"/>
                <w:szCs w:val="1"/>
                <w:color w:val="auto"/>
              </w:rPr>
            </w:pPr>
          </w:p>
        </w:tc>
      </w:tr>
      <w:tr>
        <w:trPr>
          <w:trHeight w:val="79"/>
        </w:trPr>
        <w:tc>
          <w:tcPr>
            <w:tcW w:w="1000" w:type="dxa"/>
            <w:vAlign w:val="bottom"/>
          </w:tcPr>
          <w:p>
            <w:pPr>
              <w:spacing w:after="0" w:line="79" w:lineRule="exact"/>
              <w:rPr>
                <w:sz w:val="20"/>
                <w:szCs w:val="20"/>
                <w:color w:val="auto"/>
              </w:rPr>
            </w:pPr>
            <w:r>
              <w:rPr>
                <w:rFonts w:ascii="Times New Roman" w:cs="Times New Roman" w:eastAsia="Times New Roman" w:hAnsi="Times New Roman"/>
                <w:sz w:val="8"/>
                <w:szCs w:val="8"/>
                <w:color w:val="auto"/>
              </w:rPr>
              <w:t>3.1</w:t>
            </w:r>
          </w:p>
        </w:tc>
        <w:tc>
          <w:tcPr>
            <w:tcW w:w="5960" w:type="dxa"/>
            <w:vAlign w:val="bottom"/>
            <w:gridSpan w:val="9"/>
          </w:tcPr>
          <w:p>
            <w:pPr>
              <w:spacing w:after="0" w:line="79" w:lineRule="exact"/>
              <w:rPr>
                <w:rFonts w:ascii="Times New Roman" w:cs="Times New Roman" w:eastAsia="Times New Roman" w:hAnsi="Times New Roman"/>
                <w:sz w:val="8"/>
                <w:szCs w:val="8"/>
                <w:color w:val="0000FF"/>
              </w:rPr>
            </w:pPr>
            <w:hyperlink r:id="rId70">
              <w:r>
                <w:rPr>
                  <w:rFonts w:ascii="Times New Roman" w:cs="Times New Roman" w:eastAsia="Times New Roman" w:hAnsi="Times New Roman"/>
                  <w:sz w:val="8"/>
                  <w:szCs w:val="8"/>
                  <w:color w:val="0000FF"/>
                </w:rPr>
                <w:t>Amended and Restated Certificate of Incorporation.</w:t>
              </w:r>
            </w:hyperlink>
          </w:p>
        </w:tc>
        <w:tc>
          <w:tcPr>
            <w:tcW w:w="960" w:type="dxa"/>
            <w:vAlign w:val="bottom"/>
          </w:tcPr>
          <w:p>
            <w:pPr>
              <w:jc w:val="center"/>
              <w:ind w:left="136"/>
              <w:spacing w:after="0" w:line="79" w:lineRule="exact"/>
              <w:rPr>
                <w:sz w:val="20"/>
                <w:szCs w:val="20"/>
                <w:color w:val="auto"/>
              </w:rPr>
            </w:pPr>
            <w:r>
              <w:rPr>
                <w:rFonts w:ascii="Times New Roman" w:cs="Times New Roman" w:eastAsia="Times New Roman" w:hAnsi="Times New Roman"/>
                <w:sz w:val="8"/>
                <w:szCs w:val="8"/>
                <w:color w:val="auto"/>
              </w:rPr>
              <w:t>8-K</w:t>
            </w:r>
          </w:p>
        </w:tc>
        <w:tc>
          <w:tcPr>
            <w:tcW w:w="700" w:type="dxa"/>
            <w:vAlign w:val="bottom"/>
          </w:tcPr>
          <w:p>
            <w:pPr>
              <w:jc w:val="right"/>
              <w:spacing w:after="0" w:line="79" w:lineRule="exact"/>
              <w:rPr>
                <w:sz w:val="20"/>
                <w:szCs w:val="20"/>
                <w:color w:val="auto"/>
              </w:rPr>
            </w:pPr>
            <w:r>
              <w:rPr>
                <w:rFonts w:ascii="Times New Roman" w:cs="Times New Roman" w:eastAsia="Times New Roman" w:hAnsi="Times New Roman"/>
                <w:sz w:val="8"/>
                <w:szCs w:val="8"/>
                <w:color w:val="auto"/>
              </w:rPr>
              <w:t>001-42790</w:t>
            </w:r>
          </w:p>
        </w:tc>
        <w:tc>
          <w:tcPr>
            <w:tcW w:w="1400" w:type="dxa"/>
            <w:vAlign w:val="bottom"/>
          </w:tcPr>
          <w:p>
            <w:pPr>
              <w:jc w:val="center"/>
              <w:ind w:left="15"/>
              <w:spacing w:after="0" w:line="79" w:lineRule="exact"/>
              <w:rPr>
                <w:sz w:val="20"/>
                <w:szCs w:val="20"/>
                <w:color w:val="auto"/>
              </w:rPr>
            </w:pPr>
            <w:r>
              <w:rPr>
                <w:rFonts w:ascii="Times New Roman" w:cs="Times New Roman" w:eastAsia="Times New Roman" w:hAnsi="Times New Roman"/>
                <w:sz w:val="8"/>
                <w:szCs w:val="8"/>
                <w:color w:val="auto"/>
                <w:w w:val="99"/>
              </w:rPr>
              <w:t>3.1</w:t>
            </w:r>
          </w:p>
        </w:tc>
        <w:tc>
          <w:tcPr>
            <w:tcW w:w="1280" w:type="dxa"/>
            <w:vAlign w:val="bottom"/>
          </w:tcPr>
          <w:p>
            <w:pPr>
              <w:jc w:val="center"/>
              <w:ind w:right="176"/>
              <w:spacing w:after="0" w:line="79" w:lineRule="exact"/>
              <w:rPr>
                <w:sz w:val="20"/>
                <w:szCs w:val="20"/>
                <w:color w:val="auto"/>
              </w:rPr>
            </w:pPr>
            <w:r>
              <w:rPr>
                <w:rFonts w:ascii="Times New Roman" w:cs="Times New Roman" w:eastAsia="Times New Roman" w:hAnsi="Times New Roman"/>
                <w:sz w:val="8"/>
                <w:szCs w:val="8"/>
                <w:color w:val="auto"/>
              </w:rPr>
              <w:t>8/11/2025</w:t>
            </w:r>
          </w:p>
        </w:tc>
        <w:tc>
          <w:tcPr>
            <w:tcW w:w="0" w:type="dxa"/>
            <w:vAlign w:val="bottom"/>
          </w:tcPr>
          <w:p>
            <w:pPr>
              <w:spacing w:after="0"/>
              <w:rPr>
                <w:sz w:val="1"/>
                <w:szCs w:val="1"/>
                <w:color w:val="auto"/>
              </w:rPr>
            </w:pPr>
          </w:p>
        </w:tc>
      </w:tr>
      <w:tr>
        <w:trPr>
          <w:trHeight w:val="106"/>
        </w:trPr>
        <w:tc>
          <w:tcPr>
            <w:tcW w:w="100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3.2</w:t>
            </w:r>
          </w:p>
        </w:tc>
        <w:tc>
          <w:tcPr>
            <w:tcW w:w="1240" w:type="dxa"/>
            <w:vAlign w:val="bottom"/>
            <w:tcBorders>
              <w:top w:val="single" w:sz="8" w:color="0000FF"/>
              <w:bottom w:val="single" w:sz="8" w:color="0000FF"/>
            </w:tcBorders>
            <w:gridSpan w:val="2"/>
          </w:tcPr>
          <w:p>
            <w:pPr>
              <w:spacing w:after="0" w:line="106" w:lineRule="exact"/>
              <w:rPr>
                <w:rFonts w:ascii="Times New Roman" w:cs="Times New Roman" w:eastAsia="Times New Roman" w:hAnsi="Times New Roman"/>
                <w:sz w:val="10"/>
                <w:szCs w:val="10"/>
                <w:color w:val="0000FF"/>
                <w:w w:val="95"/>
              </w:rPr>
            </w:pPr>
            <w:hyperlink r:id="rId71">
              <w:r>
                <w:rPr>
                  <w:rFonts w:ascii="Times New Roman" w:cs="Times New Roman" w:eastAsia="Times New Roman" w:hAnsi="Times New Roman"/>
                  <w:sz w:val="10"/>
                  <w:szCs w:val="10"/>
                  <w:color w:val="0000FF"/>
                  <w:w w:val="95"/>
                </w:rPr>
                <w:t>Amended and Restated Bylaws.</w:t>
              </w:r>
            </w:hyperlink>
          </w:p>
        </w:tc>
        <w:tc>
          <w:tcPr>
            <w:tcW w:w="20" w:type="dxa"/>
            <w:vAlign w:val="bottom"/>
            <w:tcBorders>
              <w:top w:val="single" w:sz="8" w:color="0000FF"/>
              <w:bottom w:val="single" w:sz="8" w:color="0000EE"/>
            </w:tcBorders>
          </w:tcPr>
          <w:p>
            <w:pPr>
              <w:spacing w:after="0"/>
              <w:rPr>
                <w:sz w:val="9"/>
                <w:szCs w:val="9"/>
                <w:color w:val="auto"/>
              </w:rPr>
            </w:pPr>
          </w:p>
        </w:tc>
        <w:tc>
          <w:tcPr>
            <w:tcW w:w="740" w:type="dxa"/>
            <w:vAlign w:val="bottom"/>
            <w:tcBorders>
              <w:top w:val="single" w:sz="8" w:color="0000FF"/>
            </w:tcBorders>
          </w:tcPr>
          <w:p>
            <w:pPr>
              <w:spacing w:after="0"/>
              <w:rPr>
                <w:sz w:val="9"/>
                <w:szCs w:val="9"/>
                <w:color w:val="auto"/>
              </w:rPr>
            </w:pPr>
          </w:p>
        </w:tc>
        <w:tc>
          <w:tcPr>
            <w:tcW w:w="3960" w:type="dxa"/>
            <w:vAlign w:val="bottom"/>
            <w:gridSpan w:val="5"/>
          </w:tcPr>
          <w:p>
            <w:pPr>
              <w:spacing w:after="0"/>
              <w:rPr>
                <w:sz w:val="9"/>
                <w:szCs w:val="9"/>
                <w:color w:val="auto"/>
              </w:rPr>
            </w:pPr>
          </w:p>
        </w:tc>
        <w:tc>
          <w:tcPr>
            <w:tcW w:w="960" w:type="dxa"/>
            <w:vAlign w:val="bottom"/>
          </w:tcPr>
          <w:p>
            <w:pPr>
              <w:jc w:val="center"/>
              <w:ind w:left="136"/>
              <w:spacing w:after="0"/>
              <w:rPr>
                <w:sz w:val="20"/>
                <w:szCs w:val="20"/>
                <w:color w:val="auto"/>
              </w:rPr>
            </w:pPr>
            <w:r>
              <w:rPr>
                <w:rFonts w:ascii="Times New Roman" w:cs="Times New Roman" w:eastAsia="Times New Roman" w:hAnsi="Times New Roman"/>
                <w:sz w:val="8"/>
                <w:szCs w:val="8"/>
                <w:color w:val="auto"/>
              </w:rPr>
              <w:t>8-K</w:t>
            </w: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001-42790</w:t>
            </w:r>
          </w:p>
        </w:tc>
        <w:tc>
          <w:tcPr>
            <w:tcW w:w="1400" w:type="dxa"/>
            <w:vAlign w:val="bottom"/>
          </w:tcPr>
          <w:p>
            <w:pPr>
              <w:jc w:val="center"/>
              <w:ind w:left="15"/>
              <w:spacing w:after="0"/>
              <w:rPr>
                <w:sz w:val="20"/>
                <w:szCs w:val="20"/>
                <w:color w:val="auto"/>
              </w:rPr>
            </w:pPr>
            <w:r>
              <w:rPr>
                <w:rFonts w:ascii="Times New Roman" w:cs="Times New Roman" w:eastAsia="Times New Roman" w:hAnsi="Times New Roman"/>
                <w:sz w:val="8"/>
                <w:szCs w:val="8"/>
                <w:color w:val="auto"/>
                <w:w w:val="99"/>
              </w:rPr>
              <w:t>3.2</w:t>
            </w:r>
          </w:p>
        </w:tc>
        <w:tc>
          <w:tcPr>
            <w:tcW w:w="1280" w:type="dxa"/>
            <w:vAlign w:val="bottom"/>
          </w:tcPr>
          <w:p>
            <w:pPr>
              <w:jc w:val="center"/>
              <w:ind w:right="176"/>
              <w:spacing w:after="0"/>
              <w:rPr>
                <w:sz w:val="20"/>
                <w:szCs w:val="20"/>
                <w:color w:val="auto"/>
              </w:rPr>
            </w:pPr>
            <w:r>
              <w:rPr>
                <w:rFonts w:ascii="Times New Roman" w:cs="Times New Roman" w:eastAsia="Times New Roman" w:hAnsi="Times New Roman"/>
                <w:sz w:val="8"/>
                <w:szCs w:val="8"/>
                <w:color w:val="auto"/>
              </w:rPr>
              <w:t>8/11/2025</w:t>
            </w:r>
          </w:p>
        </w:tc>
        <w:tc>
          <w:tcPr>
            <w:tcW w:w="0" w:type="dxa"/>
            <w:vAlign w:val="bottom"/>
          </w:tcPr>
          <w:p>
            <w:pPr>
              <w:spacing w:after="0"/>
              <w:rPr>
                <w:sz w:val="1"/>
                <w:szCs w:val="1"/>
                <w:color w:val="auto"/>
              </w:rPr>
            </w:pPr>
          </w:p>
        </w:tc>
      </w:tr>
      <w:tr>
        <w:trPr>
          <w:trHeight w:val="106"/>
        </w:trPr>
        <w:tc>
          <w:tcPr>
            <w:tcW w:w="100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10.1</w:t>
            </w:r>
            <w:r>
              <w:rPr>
                <w:rFonts w:ascii="Times New Roman" w:cs="Times New Roman" w:eastAsia="Times New Roman" w:hAnsi="Times New Roman"/>
                <w:sz w:val="8"/>
                <w:szCs w:val="8"/>
                <w:color w:val="auto"/>
              </w:rPr>
              <w:t>†</w:t>
            </w:r>
            <w:r>
              <w:rPr>
                <w:rFonts w:ascii="Times New Roman" w:cs="Times New Roman" w:eastAsia="Times New Roman" w:hAnsi="Times New Roman"/>
                <w:sz w:val="10"/>
                <w:szCs w:val="10"/>
                <w:color w:val="auto"/>
              </w:rPr>
              <w:t>+</w:t>
            </w:r>
          </w:p>
        </w:tc>
        <w:tc>
          <w:tcPr>
            <w:tcW w:w="5960" w:type="dxa"/>
            <w:vAlign w:val="bottom"/>
            <w:gridSpan w:val="9"/>
          </w:tcPr>
          <w:p>
            <w:pPr>
              <w:spacing w:after="0" w:line="106" w:lineRule="exact"/>
              <w:rPr>
                <w:sz w:val="20"/>
                <w:szCs w:val="20"/>
                <w:color w:val="auto"/>
              </w:rPr>
            </w:pPr>
            <w:r>
              <w:rPr>
                <w:rFonts w:ascii="Times New Roman" w:cs="Times New Roman" w:eastAsia="Times New Roman" w:hAnsi="Times New Roman"/>
                <w:sz w:val="10"/>
                <w:szCs w:val="10"/>
                <w:color w:val="0000FF"/>
              </w:rPr>
              <w:t>Sublease, dated March 10, 2026, by and between Heartflow, Inc. (Sublandlord) and Glean Technologies, Inc. (Subtenant).</w:t>
            </w:r>
          </w:p>
        </w:tc>
        <w:tc>
          <w:tcPr>
            <w:tcW w:w="9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580" w:type="dxa"/>
            <w:vAlign w:val="bottom"/>
            <w:gridSpan w:val="4"/>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00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31.1+</w:t>
            </w:r>
          </w:p>
        </w:tc>
        <w:tc>
          <w:tcPr>
            <w:tcW w:w="5960" w:type="dxa"/>
            <w:vAlign w:val="bottom"/>
            <w:tcBorders>
              <w:bottom w:val="single" w:sz="8" w:color="0000FF"/>
            </w:tcBorders>
            <w:gridSpan w:val="9"/>
          </w:tcPr>
          <w:p>
            <w:pPr>
              <w:spacing w:after="0" w:line="106" w:lineRule="exact"/>
              <w:rPr>
                <w:sz w:val="20"/>
                <w:szCs w:val="20"/>
                <w:color w:val="auto"/>
              </w:rPr>
            </w:pPr>
            <w:r>
              <w:rPr>
                <w:rFonts w:ascii="Times New Roman" w:cs="Times New Roman" w:eastAsia="Times New Roman" w:hAnsi="Times New Roman"/>
                <w:sz w:val="10"/>
                <w:szCs w:val="10"/>
                <w:color w:val="0000FF"/>
                <w:w w:val="96"/>
              </w:rPr>
              <w:t>Certification of Principal Executive Officer pursuant to Securities Exchange Act Rules 13a-14(a) and 15d-14(a), as adopted pursuant to Section 302 of the</w:t>
            </w:r>
          </w:p>
        </w:tc>
        <w:tc>
          <w:tcPr>
            <w:tcW w:w="9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100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31.2+</w:t>
            </w:r>
          </w:p>
        </w:tc>
        <w:tc>
          <w:tcPr>
            <w:tcW w:w="5960" w:type="dxa"/>
            <w:vAlign w:val="bottom"/>
            <w:gridSpan w:val="9"/>
          </w:tcPr>
          <w:p>
            <w:pPr>
              <w:spacing w:after="0" w:line="79" w:lineRule="exact"/>
              <w:rPr>
                <w:sz w:val="20"/>
                <w:szCs w:val="20"/>
                <w:color w:val="auto"/>
              </w:rPr>
            </w:pPr>
            <w:r>
              <w:rPr>
                <w:rFonts w:ascii="Times New Roman" w:cs="Times New Roman" w:eastAsia="Times New Roman" w:hAnsi="Times New Roman"/>
                <w:sz w:val="8"/>
                <w:szCs w:val="8"/>
                <w:color w:val="0000FF"/>
              </w:rPr>
              <w:t>Sarbanes-Oxley Act of 2002</w:t>
            </w:r>
            <w:r>
              <w:rPr>
                <w:rFonts w:ascii="Times New Roman" w:cs="Times New Roman" w:eastAsia="Times New Roman" w:hAnsi="Times New Roman"/>
                <w:sz w:val="8"/>
                <w:szCs w:val="8"/>
                <w:color w:val="000000"/>
              </w:rPr>
              <w:t>.</w:t>
            </w:r>
          </w:p>
        </w:tc>
        <w:tc>
          <w:tcPr>
            <w:tcW w:w="9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00" w:type="dxa"/>
            <w:vAlign w:val="bottom"/>
            <w:vMerge w:val="continue"/>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000" w:type="dxa"/>
            <w:vAlign w:val="bottom"/>
            <w:vMerge w:val="continue"/>
          </w:tcPr>
          <w:p>
            <w:pPr>
              <w:spacing w:after="0"/>
              <w:rPr>
                <w:sz w:val="7"/>
                <w:szCs w:val="7"/>
                <w:color w:val="auto"/>
              </w:rPr>
            </w:pPr>
          </w:p>
        </w:tc>
        <w:tc>
          <w:tcPr>
            <w:tcW w:w="5960" w:type="dxa"/>
            <w:vAlign w:val="bottom"/>
            <w:gridSpan w:val="9"/>
          </w:tcPr>
          <w:p>
            <w:pPr>
              <w:spacing w:after="0" w:line="88" w:lineRule="exact"/>
              <w:rPr>
                <w:sz w:val="20"/>
                <w:szCs w:val="20"/>
                <w:color w:val="auto"/>
              </w:rPr>
            </w:pPr>
            <w:r>
              <w:rPr>
                <w:rFonts w:ascii="Times New Roman" w:cs="Times New Roman" w:eastAsia="Times New Roman" w:hAnsi="Times New Roman"/>
                <w:sz w:val="10"/>
                <w:szCs w:val="10"/>
                <w:color w:val="0000FF"/>
                <w:w w:val="96"/>
              </w:rPr>
              <w:t>Certification of Principal Financial Officer pursuant to Securities Exchange Act Rules 13a-14(a) and 15d-14(a), as adopted pursuant to Section 302 of the</w:t>
            </w:r>
          </w:p>
        </w:tc>
        <w:tc>
          <w:tcPr>
            <w:tcW w:w="9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100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32.1*</w:t>
            </w:r>
          </w:p>
        </w:tc>
        <w:tc>
          <w:tcPr>
            <w:tcW w:w="5920" w:type="dxa"/>
            <w:vAlign w:val="bottom"/>
            <w:tcBorders>
              <w:top w:val="single" w:sz="8" w:color="0000FF"/>
            </w:tcBorders>
            <w:gridSpan w:val="8"/>
          </w:tcPr>
          <w:p>
            <w:pPr>
              <w:spacing w:after="0" w:line="79" w:lineRule="exact"/>
              <w:rPr>
                <w:sz w:val="20"/>
                <w:szCs w:val="20"/>
                <w:color w:val="auto"/>
              </w:rPr>
            </w:pPr>
            <w:r>
              <w:rPr>
                <w:rFonts w:ascii="Times New Roman" w:cs="Times New Roman" w:eastAsia="Times New Roman" w:hAnsi="Times New Roman"/>
                <w:sz w:val="8"/>
                <w:szCs w:val="8"/>
                <w:color w:val="0000FF"/>
              </w:rPr>
              <w:t>Sarbanes-Oxley Act of 2002</w:t>
            </w:r>
            <w:r>
              <w:rPr>
                <w:rFonts w:ascii="Times New Roman" w:cs="Times New Roman" w:eastAsia="Times New Roman" w:hAnsi="Times New Roman"/>
                <w:sz w:val="8"/>
                <w:szCs w:val="8"/>
                <w:color w:val="000000"/>
              </w:rPr>
              <w:t>.</w:t>
            </w:r>
          </w:p>
        </w:tc>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00" w:type="dxa"/>
            <w:vAlign w:val="bottom"/>
            <w:vMerge w:val="continue"/>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000" w:type="dxa"/>
            <w:vAlign w:val="bottom"/>
            <w:vMerge w:val="continue"/>
          </w:tcPr>
          <w:p>
            <w:pPr>
              <w:spacing w:after="0"/>
              <w:rPr>
                <w:sz w:val="7"/>
                <w:szCs w:val="7"/>
                <w:color w:val="auto"/>
              </w:rPr>
            </w:pPr>
          </w:p>
        </w:tc>
        <w:tc>
          <w:tcPr>
            <w:tcW w:w="5960" w:type="dxa"/>
            <w:vAlign w:val="bottom"/>
            <w:gridSpan w:val="9"/>
          </w:tcPr>
          <w:p>
            <w:pPr>
              <w:spacing w:after="0" w:line="88" w:lineRule="exact"/>
              <w:rPr>
                <w:sz w:val="20"/>
                <w:szCs w:val="20"/>
                <w:color w:val="auto"/>
              </w:rPr>
            </w:pPr>
            <w:r>
              <w:rPr>
                <w:rFonts w:ascii="Times New Roman" w:cs="Times New Roman" w:eastAsia="Times New Roman" w:hAnsi="Times New Roman"/>
                <w:sz w:val="10"/>
                <w:szCs w:val="10"/>
                <w:color w:val="0000FF"/>
              </w:rPr>
              <w:t>Certification of Chief Executive Officer pursuant to 18 U.S.C. Section 1350, as adopted pursuant to Section 906 of the Sarbanes-Oxley Act of 2002</w:t>
            </w:r>
            <w:r>
              <w:rPr>
                <w:rFonts w:ascii="Times New Roman" w:cs="Times New Roman" w:eastAsia="Times New Roman" w:hAnsi="Times New Roman"/>
                <w:sz w:val="10"/>
                <w:szCs w:val="10"/>
                <w:color w:val="000000"/>
              </w:rPr>
              <w:t>.</w:t>
            </w:r>
          </w:p>
        </w:tc>
        <w:tc>
          <w:tcPr>
            <w:tcW w:w="9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00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32.2*</w:t>
            </w:r>
          </w:p>
        </w:tc>
        <w:tc>
          <w:tcPr>
            <w:tcW w:w="5680" w:type="dxa"/>
            <w:vAlign w:val="bottom"/>
            <w:tcBorders>
              <w:top w:val="single" w:sz="8" w:color="0000FF"/>
            </w:tcBorders>
            <w:gridSpan w:val="7"/>
          </w:tcPr>
          <w:p>
            <w:pPr>
              <w:spacing w:after="0" w:line="106" w:lineRule="exact"/>
              <w:rPr>
                <w:sz w:val="20"/>
                <w:szCs w:val="20"/>
                <w:color w:val="auto"/>
              </w:rPr>
            </w:pPr>
            <w:r>
              <w:rPr>
                <w:rFonts w:ascii="Times New Roman" w:cs="Times New Roman" w:eastAsia="Times New Roman" w:hAnsi="Times New Roman"/>
                <w:sz w:val="10"/>
                <w:szCs w:val="10"/>
                <w:color w:val="0000FF"/>
                <w:w w:val="95"/>
              </w:rPr>
              <w:t>Certification of Chief Financial Officer pursuant to 18 U.S.C. Section 1350, as adopted pursuant to Section 906 of the Sarbanes-Oxley Act of 2002</w:t>
            </w:r>
            <w:r>
              <w:rPr>
                <w:rFonts w:ascii="Times New Roman" w:cs="Times New Roman" w:eastAsia="Times New Roman" w:hAnsi="Times New Roman"/>
                <w:sz w:val="10"/>
                <w:szCs w:val="10"/>
                <w:color w:val="000000"/>
                <w:w w:val="95"/>
              </w:rPr>
              <w:t>.</w:t>
            </w:r>
          </w:p>
        </w:tc>
        <w:tc>
          <w:tcPr>
            <w:tcW w:w="280" w:type="dxa"/>
            <w:vAlign w:val="bottom"/>
            <w:gridSpan w:val="2"/>
          </w:tcPr>
          <w:p>
            <w:pPr>
              <w:spacing w:after="0"/>
              <w:rPr>
                <w:sz w:val="9"/>
                <w:szCs w:val="9"/>
                <w:color w:val="auto"/>
              </w:rPr>
            </w:pPr>
          </w:p>
        </w:tc>
        <w:tc>
          <w:tcPr>
            <w:tcW w:w="9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660" w:type="dxa"/>
            <w:vAlign w:val="bottom"/>
            <w:tcBorders>
              <w:right w:val="single" w:sz="8" w:color="0000EE"/>
            </w:tcBorders>
            <w:gridSpan w:val="6"/>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000" w:type="dxa"/>
            <w:vAlign w:val="bottom"/>
          </w:tcPr>
          <w:p>
            <w:pPr>
              <w:spacing w:after="0" w:line="101" w:lineRule="exact"/>
              <w:rPr>
                <w:sz w:val="20"/>
                <w:szCs w:val="20"/>
                <w:color w:val="auto"/>
              </w:rPr>
            </w:pPr>
            <w:r>
              <w:rPr>
                <w:rFonts w:ascii="Times New Roman" w:cs="Times New Roman" w:eastAsia="Times New Roman" w:hAnsi="Times New Roman"/>
                <w:sz w:val="10"/>
                <w:szCs w:val="10"/>
                <w:color w:val="auto"/>
              </w:rPr>
              <w:t>101.INS+</w:t>
            </w:r>
          </w:p>
        </w:tc>
        <w:tc>
          <w:tcPr>
            <w:tcW w:w="5960" w:type="dxa"/>
            <w:vAlign w:val="bottom"/>
            <w:gridSpan w:val="9"/>
          </w:tcPr>
          <w:p>
            <w:pPr>
              <w:spacing w:after="0" w:line="101" w:lineRule="exact"/>
              <w:rPr>
                <w:sz w:val="20"/>
                <w:szCs w:val="20"/>
                <w:color w:val="auto"/>
              </w:rPr>
            </w:pPr>
            <w:r>
              <w:rPr>
                <w:rFonts w:ascii="Times New Roman" w:cs="Times New Roman" w:eastAsia="Times New Roman" w:hAnsi="Times New Roman"/>
                <w:sz w:val="10"/>
                <w:szCs w:val="10"/>
                <w:color w:val="auto"/>
                <w:w w:val="96"/>
              </w:rPr>
              <w:t>Inline XBRL Instance Document – the instance document does not appear in the Interactive Data File because XBRL tags are embedded within the Inline</w:t>
            </w:r>
          </w:p>
        </w:tc>
        <w:tc>
          <w:tcPr>
            <w:tcW w:w="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5960" w:type="dxa"/>
            <w:vAlign w:val="bottom"/>
            <w:gridSpan w:val="9"/>
          </w:tcPr>
          <w:p>
            <w:pPr>
              <w:spacing w:after="0" w:line="108" w:lineRule="exact"/>
              <w:rPr>
                <w:sz w:val="20"/>
                <w:szCs w:val="20"/>
                <w:color w:val="auto"/>
              </w:rPr>
            </w:pPr>
            <w:r>
              <w:rPr>
                <w:rFonts w:ascii="Times New Roman" w:cs="Times New Roman" w:eastAsia="Times New Roman" w:hAnsi="Times New Roman"/>
                <w:sz w:val="10"/>
                <w:szCs w:val="10"/>
                <w:color w:val="auto"/>
              </w:rPr>
              <w:t>XBRL document.</w:t>
            </w:r>
          </w:p>
        </w:tc>
        <w:tc>
          <w:tcPr>
            <w:tcW w:w="9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000" w:type="dxa"/>
            <w:vAlign w:val="bottom"/>
          </w:tcPr>
          <w:p>
            <w:pPr>
              <w:spacing w:after="0"/>
              <w:rPr>
                <w:sz w:val="20"/>
                <w:szCs w:val="20"/>
                <w:color w:val="auto"/>
              </w:rPr>
            </w:pPr>
            <w:r>
              <w:rPr>
                <w:rFonts w:ascii="Times New Roman" w:cs="Times New Roman" w:eastAsia="Times New Roman" w:hAnsi="Times New Roman"/>
                <w:sz w:val="10"/>
                <w:szCs w:val="10"/>
                <w:color w:val="auto"/>
              </w:rPr>
              <w:t>101.SCH+</w:t>
            </w:r>
          </w:p>
        </w:tc>
        <w:tc>
          <w:tcPr>
            <w:tcW w:w="5960" w:type="dxa"/>
            <w:vAlign w:val="bottom"/>
            <w:gridSpan w:val="9"/>
          </w:tcPr>
          <w:p>
            <w:pPr>
              <w:spacing w:after="0"/>
              <w:rPr>
                <w:sz w:val="20"/>
                <w:szCs w:val="20"/>
                <w:color w:val="auto"/>
              </w:rPr>
            </w:pPr>
            <w:r>
              <w:rPr>
                <w:rFonts w:ascii="Times New Roman" w:cs="Times New Roman" w:eastAsia="Times New Roman" w:hAnsi="Times New Roman"/>
                <w:sz w:val="10"/>
                <w:szCs w:val="10"/>
                <w:color w:val="auto"/>
              </w:rPr>
              <w:t>Inline XBRL Taxonomy Extension Schema with Embedded Linkbase Documents.</w:t>
            </w:r>
          </w:p>
        </w:tc>
        <w:tc>
          <w:tcPr>
            <w:tcW w:w="9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0" w:type="dxa"/>
            <w:vAlign w:val="bottom"/>
          </w:tcPr>
          <w:p>
            <w:pPr>
              <w:spacing w:after="0"/>
              <w:rPr>
                <w:sz w:val="20"/>
                <w:szCs w:val="20"/>
                <w:color w:val="auto"/>
              </w:rPr>
            </w:pPr>
            <w:r>
              <w:rPr>
                <w:rFonts w:ascii="Times New Roman" w:cs="Times New Roman" w:eastAsia="Times New Roman" w:hAnsi="Times New Roman"/>
                <w:sz w:val="10"/>
                <w:szCs w:val="10"/>
                <w:color w:val="auto"/>
              </w:rPr>
              <w:t>104+</w:t>
            </w:r>
          </w:p>
        </w:tc>
        <w:tc>
          <w:tcPr>
            <w:tcW w:w="5960" w:type="dxa"/>
            <w:vAlign w:val="bottom"/>
            <w:gridSpan w:val="9"/>
          </w:tcPr>
          <w:p>
            <w:pPr>
              <w:spacing w:after="0"/>
              <w:rPr>
                <w:sz w:val="20"/>
                <w:szCs w:val="20"/>
                <w:color w:val="auto"/>
              </w:rPr>
            </w:pPr>
            <w:r>
              <w:rPr>
                <w:rFonts w:ascii="Times New Roman" w:cs="Times New Roman" w:eastAsia="Times New Roman" w:hAnsi="Times New Roman"/>
                <w:sz w:val="10"/>
                <w:szCs w:val="10"/>
                <w:color w:val="auto"/>
              </w:rPr>
              <w:t>Cover Page Interactive Data File (embedded within the Inline XBRL document).</w:t>
            </w:r>
          </w:p>
        </w:tc>
        <w:tc>
          <w:tcPr>
            <w:tcW w:w="9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8" w:right="4980" w:hanging="8"/>
        <w:spacing w:after="0" w:line="251" w:lineRule="auto"/>
        <w:tabs>
          <w:tab w:leader="none" w:pos="224"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Certain identified information has been excluded from this exhibit because it is both (i) not material and (ii) is the type that the Registrant treats as private or confidential. + Filed herewith.</w:t>
      </w:r>
    </w:p>
    <w:p>
      <w:pPr>
        <w:ind w:left="208" w:right="100" w:hanging="216"/>
        <w:spacing w:after="0" w:line="237" w:lineRule="auto"/>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*The certification attached as Exhibit 32.1 and Exhibit 32.2 that accompanies this Quarterly Report on Form 10-Q pursuant to 18 U.S.C. Section 1350, as adopted pursuant to Section 906 of the Sarbanes-Oxley Act of 2002, is not deemed “filed” by the Registrant for purposes of Section 18 of the Securities Exchange Act of 1934, as amended.</w:t>
      </w:r>
    </w:p>
    <w:p>
      <w:pPr>
        <w:spacing w:after="0" w:line="3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129540</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3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2"/>
          <w:szCs w:val="12"/>
          <w:b w:val="1"/>
          <w:bCs w:val="1"/>
          <w:color w:val="auto"/>
        </w:rPr>
        <w:t>HEARTFLOW, INC.</w:t>
      </w:r>
    </w:p>
    <w:p>
      <w:pPr>
        <w:sectPr>
          <w:pgSz w:w="11900" w:h="16838" w:orient="portrait"/>
          <w:cols w:equalWidth="0" w:num="1">
            <w:col w:w="10159"/>
          </w:cols>
          <w:pgMar w:left="300" w:top="126" w:right="1440" w:bottom="1440" w:gutter="0" w:footer="0" w:header="0"/>
        </w:sectPr>
      </w:pP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Date: May 14, 2026</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By:</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John C.M. Farquhar</w:t>
      </w:r>
    </w:p>
    <w:p>
      <w:pPr>
        <w:spacing w:after="0" w:line="219" w:lineRule="auto"/>
        <w:rPr>
          <w:sz w:val="20"/>
          <w:szCs w:val="20"/>
          <w:color w:val="auto"/>
        </w:rPr>
      </w:pPr>
      <w:r>
        <w:rPr>
          <w:rFonts w:ascii="Times New Roman" w:cs="Times New Roman" w:eastAsia="Times New Roman" w:hAnsi="Times New Roman"/>
          <w:sz w:val="12"/>
          <w:szCs w:val="12"/>
          <w:color w:val="auto"/>
        </w:rPr>
        <w:t>John C.M. Farquhar</w:t>
      </w:r>
    </w:p>
    <w:p>
      <w:pPr>
        <w:spacing w:after="0" w:line="219" w:lineRule="auto"/>
        <w:rPr>
          <w:sz w:val="20"/>
          <w:szCs w:val="20"/>
          <w:color w:val="auto"/>
        </w:rPr>
      </w:pPr>
      <w:r>
        <w:rPr>
          <w:rFonts w:ascii="Times New Roman" w:cs="Times New Roman" w:eastAsia="Times New Roman" w:hAnsi="Times New Roman"/>
          <w:sz w:val="12"/>
          <w:szCs w:val="12"/>
          <w:color w:val="auto"/>
        </w:rPr>
        <w:t>President and Chief Executive Officer</w:t>
      </w:r>
    </w:p>
    <w:p>
      <w:pPr>
        <w:spacing w:after="0"/>
        <w:rPr>
          <w:sz w:val="20"/>
          <w:szCs w:val="20"/>
          <w:color w:val="auto"/>
        </w:rPr>
      </w:pPr>
      <w:r>
        <w:rPr>
          <w:rFonts w:ascii="Times New Roman" w:cs="Times New Roman" w:eastAsia="Times New Roman" w:hAnsi="Times New Roman"/>
          <w:sz w:val="12"/>
          <w:szCs w:val="12"/>
          <w:i w:val="1"/>
          <w:iCs w:val="1"/>
          <w:color w:val="auto"/>
        </w:rPr>
        <w:t>(Principal Executive Officer)</w:t>
      </w:r>
    </w:p>
    <w:p>
      <w:pPr>
        <w:spacing w:after="0" w:line="200" w:lineRule="exact"/>
        <w:rPr>
          <w:sz w:val="20"/>
          <w:szCs w:val="20"/>
          <w:color w:val="auto"/>
        </w:rPr>
      </w:pPr>
    </w:p>
    <w:p>
      <w:pPr>
        <w:sectPr>
          <w:pgSz w:w="11900" w:h="16838" w:orient="portrait"/>
          <w:cols w:equalWidth="0" w:num="3">
            <w:col w:w="5040" w:space="720"/>
            <w:col w:w="160" w:space="540"/>
            <w:col w:w="3699"/>
          </w:cols>
          <w:pgMar w:left="300" w:top="126" w:right="1440"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Date: May 14, 2026</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By:</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Vikram Verghese</w:t>
      </w:r>
    </w:p>
    <w:p>
      <w:pPr>
        <w:spacing w:after="0" w:line="219" w:lineRule="auto"/>
        <w:rPr>
          <w:sz w:val="20"/>
          <w:szCs w:val="20"/>
          <w:color w:val="auto"/>
        </w:rPr>
      </w:pPr>
      <w:r>
        <w:rPr>
          <w:rFonts w:ascii="Times New Roman" w:cs="Times New Roman" w:eastAsia="Times New Roman" w:hAnsi="Times New Roman"/>
          <w:sz w:val="12"/>
          <w:szCs w:val="12"/>
          <w:color w:val="auto"/>
        </w:rPr>
        <w:t>Vikram Verghese</w:t>
      </w:r>
    </w:p>
    <w:p>
      <w:pPr>
        <w:spacing w:after="0" w:line="219" w:lineRule="auto"/>
        <w:rPr>
          <w:sz w:val="20"/>
          <w:szCs w:val="20"/>
          <w:color w:val="auto"/>
        </w:rPr>
      </w:pPr>
      <w:r>
        <w:rPr>
          <w:rFonts w:ascii="Times New Roman" w:cs="Times New Roman" w:eastAsia="Times New Roman" w:hAnsi="Times New Roman"/>
          <w:sz w:val="12"/>
          <w:szCs w:val="12"/>
          <w:color w:val="auto"/>
        </w:rPr>
        <w:t>Chief Financial Officer</w:t>
      </w:r>
    </w:p>
    <w:p>
      <w:pPr>
        <w:spacing w:after="0"/>
        <w:rPr>
          <w:sz w:val="20"/>
          <w:szCs w:val="20"/>
          <w:color w:val="auto"/>
        </w:rPr>
      </w:pPr>
      <w:r>
        <w:rPr>
          <w:rFonts w:ascii="Times New Roman" w:cs="Times New Roman" w:eastAsia="Times New Roman" w:hAnsi="Times New Roman"/>
          <w:sz w:val="11"/>
          <w:szCs w:val="11"/>
          <w:i w:val="1"/>
          <w:iCs w:val="1"/>
          <w:color w:val="auto"/>
        </w:rPr>
        <w:t>(Principal Financial Officer)</w:t>
      </w:r>
    </w:p>
    <w:p>
      <w:pPr>
        <w:spacing w:after="0" w:line="200" w:lineRule="exact"/>
        <w:rPr>
          <w:sz w:val="20"/>
          <w:szCs w:val="20"/>
          <w:color w:val="auto"/>
        </w:rPr>
      </w:pPr>
    </w:p>
    <w:p>
      <w:pPr>
        <w:sectPr>
          <w:pgSz w:w="11900" w:h="16838" w:orient="portrait"/>
          <w:cols w:equalWidth="0" w:num="3">
            <w:col w:w="5040" w:space="720"/>
            <w:col w:w="160" w:space="540"/>
            <w:col w:w="3699"/>
          </w:cols>
          <w:pgMar w:left="300" w:top="126" w:right="1440"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Date: May 14, 2026</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By:</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Mhairi L. Jones</w:t>
      </w:r>
    </w:p>
    <w:p>
      <w:pPr>
        <w:spacing w:after="0" w:line="219" w:lineRule="auto"/>
        <w:rPr>
          <w:sz w:val="20"/>
          <w:szCs w:val="20"/>
          <w:color w:val="auto"/>
        </w:rPr>
      </w:pPr>
      <w:r>
        <w:rPr>
          <w:rFonts w:ascii="Times New Roman" w:cs="Times New Roman" w:eastAsia="Times New Roman" w:hAnsi="Times New Roman"/>
          <w:sz w:val="12"/>
          <w:szCs w:val="12"/>
          <w:color w:val="auto"/>
        </w:rPr>
        <w:t>Mhairi L. Jones</w:t>
      </w:r>
    </w:p>
    <w:p>
      <w:pPr>
        <w:spacing w:after="0" w:line="219" w:lineRule="auto"/>
        <w:rPr>
          <w:sz w:val="20"/>
          <w:szCs w:val="20"/>
          <w:color w:val="auto"/>
        </w:rPr>
      </w:pPr>
      <w:r>
        <w:rPr>
          <w:rFonts w:ascii="Times New Roman" w:cs="Times New Roman" w:eastAsia="Times New Roman" w:hAnsi="Times New Roman"/>
          <w:sz w:val="12"/>
          <w:szCs w:val="12"/>
          <w:color w:val="auto"/>
        </w:rPr>
        <w:t>Chief Accounting Officer</w:t>
      </w:r>
    </w:p>
    <w:p>
      <w:pPr>
        <w:spacing w:after="0"/>
        <w:rPr>
          <w:sz w:val="20"/>
          <w:szCs w:val="20"/>
          <w:color w:val="auto"/>
        </w:rPr>
      </w:pPr>
      <w:r>
        <w:rPr>
          <w:rFonts w:ascii="Times New Roman" w:cs="Times New Roman" w:eastAsia="Times New Roman" w:hAnsi="Times New Roman"/>
          <w:sz w:val="11"/>
          <w:szCs w:val="11"/>
          <w:i w:val="1"/>
          <w:iCs w:val="1"/>
          <w:color w:val="auto"/>
        </w:rPr>
        <w:t>(Principal Accounting Officer)</w:t>
      </w:r>
    </w:p>
    <w:p>
      <w:pPr>
        <w:spacing w:after="0" w:line="200" w:lineRule="exact"/>
        <w:rPr>
          <w:sz w:val="20"/>
          <w:szCs w:val="20"/>
          <w:color w:val="auto"/>
        </w:rPr>
      </w:pPr>
    </w:p>
    <w:p>
      <w:pPr>
        <w:sectPr>
          <w:pgSz w:w="11900" w:h="16838" w:orient="portrait"/>
          <w:cols w:equalWidth="0" w:num="3">
            <w:col w:w="5040" w:space="720"/>
            <w:col w:w="160" w:space="540"/>
            <w:col w:w="3699"/>
          </w:cols>
          <w:pgMar w:left="300" w:top="126" w:right="1440" w:bottom="1440" w:gutter="0" w:footer="0" w:header="0"/>
          <w:type w:val="continuous"/>
        </w:sectPr>
      </w:pPr>
    </w:p>
    <w:p>
      <w:pPr>
        <w:spacing w:after="0" w:line="4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47</w:t>
      </w:r>
    </w:p>
    <w:p>
      <w:pPr>
        <w:sectPr>
          <w:pgSz w:w="11900" w:h="16838" w:orient="portrait"/>
          <w:cols w:equalWidth="0" w:num="1">
            <w:col w:w="10159"/>
          </w:cols>
          <w:pgMar w:left="300" w:top="126" w:right="1440" w:bottom="1440" w:gutter="0" w:footer="0" w:header="0"/>
          <w:type w:val="continuous"/>
        </w:sectPr>
      </w:pPr>
    </w:p>
    <w:bookmarkStart w:id="47" w:name="page48"/>
    <w:bookmarkEnd w:id="47"/>
    <w:p>
      <w:pPr>
        <w:ind w:left="9500"/>
        <w:spacing w:after="0"/>
        <w:rPr>
          <w:sz w:val="20"/>
          <w:szCs w:val="20"/>
          <w:color w:val="auto"/>
        </w:rPr>
      </w:pPr>
      <w:r>
        <w:rPr>
          <w:rFonts w:ascii="Times New Roman" w:cs="Times New Roman" w:eastAsia="Times New Roman" w:hAnsi="Times New Roman"/>
          <w:sz w:val="14"/>
          <w:szCs w:val="14"/>
          <w:b w:val="1"/>
          <w:bCs w:val="1"/>
          <w:color w:val="auto"/>
        </w:rPr>
        <w:t>Exhibit 10.1</w:t>
      </w:r>
    </w:p>
    <w:p>
      <w:pPr>
        <w:spacing w:after="0" w:line="167" w:lineRule="exact"/>
        <w:rPr>
          <w:sz w:val="20"/>
          <w:szCs w:val="20"/>
          <w:color w:val="auto"/>
        </w:rPr>
      </w:pPr>
    </w:p>
    <w:p>
      <w:pPr>
        <w:jc w:val="center"/>
        <w:ind w:right="100"/>
        <w:spacing w:after="0" w:line="284" w:lineRule="auto"/>
        <w:rPr>
          <w:sz w:val="20"/>
          <w:szCs w:val="20"/>
          <w:color w:val="auto"/>
        </w:rPr>
      </w:pPr>
      <w:r>
        <w:rPr>
          <w:rFonts w:ascii="Times New Roman" w:cs="Times New Roman" w:eastAsia="Times New Roman" w:hAnsi="Times New Roman"/>
          <w:sz w:val="13"/>
          <w:szCs w:val="13"/>
          <w:b w:val="1"/>
          <w:bCs w:val="1"/>
          <w:color w:val="auto"/>
        </w:rPr>
        <w:t>[PORTIONS HEREIN IDENTIFIED BY [***] HAVE BEEN EXCLUDED FROM THIS EXHIBIT BECAUSE THE EXCLUDED INFORMATION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b w:val="1"/>
          <w:bCs w:val="1"/>
          <w:color w:val="231F20"/>
        </w:rPr>
        <w:t>SUBLEASE</w:t>
      </w:r>
    </w:p>
    <w:p>
      <w:pPr>
        <w:spacing w:after="0" w:line="7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231F20"/>
        </w:rPr>
        <w:t>by and between</w:t>
      </w:r>
    </w:p>
    <w:p>
      <w:pPr>
        <w:spacing w:after="0" w:line="7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b w:val="1"/>
          <w:bCs w:val="1"/>
          <w:color w:val="231F20"/>
        </w:rPr>
        <w:t>Heartflow, Inc.</w:t>
      </w:r>
      <w:r>
        <w:rPr>
          <w:rFonts w:ascii="Times New Roman" w:cs="Times New Roman" w:eastAsia="Times New Roman" w:hAnsi="Times New Roman"/>
          <w:sz w:val="14"/>
          <w:szCs w:val="14"/>
          <w:color w:val="231F20"/>
        </w:rPr>
        <w:t>,</w:t>
      </w:r>
    </w:p>
    <w:p>
      <w:pPr>
        <w:spacing w:after="0" w:line="1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231F20"/>
        </w:rPr>
        <w:t>a Delaware corporation</w:t>
      </w:r>
    </w:p>
    <w:p>
      <w:pPr>
        <w:spacing w:after="0" w:line="5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231F20"/>
        </w:rPr>
        <w:t>(Sublandlord)</w:t>
      </w:r>
    </w:p>
    <w:p>
      <w:pPr>
        <w:spacing w:after="0" w:line="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231F20"/>
        </w:rPr>
        <w:t>and</w:t>
      </w:r>
    </w:p>
    <w:p>
      <w:pPr>
        <w:spacing w:after="0" w:line="7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231F20"/>
        </w:rPr>
        <w:t>Glean Technologies, Inc.</w:t>
      </w:r>
      <w:r>
        <w:rPr>
          <w:rFonts w:ascii="Times New Roman" w:cs="Times New Roman" w:eastAsia="Times New Roman" w:hAnsi="Times New Roman"/>
          <w:sz w:val="14"/>
          <w:szCs w:val="14"/>
          <w:color w:val="231F20"/>
        </w:rPr>
        <w:t>,</w:t>
      </w:r>
    </w:p>
    <w:p>
      <w:pPr>
        <w:spacing w:after="0" w:line="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231F20"/>
        </w:rPr>
        <w:t>a Delaware corporation</w:t>
      </w:r>
    </w:p>
    <w:p>
      <w:pPr>
        <w:spacing w:after="0" w:line="7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231F20"/>
        </w:rPr>
        <w:t>(Subtenant)</w:t>
      </w:r>
    </w:p>
    <w:p>
      <w:pPr>
        <w:spacing w:after="0" w:line="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231F20"/>
        </w:rPr>
        <w:t>for</w:t>
      </w:r>
    </w:p>
    <w:p>
      <w:pPr>
        <w:spacing w:after="0" w:line="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231F20"/>
        </w:rPr>
        <w:t>Premises located at:</w:t>
      </w:r>
    </w:p>
    <w:p>
      <w:pPr>
        <w:spacing w:after="0" w:line="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231F20"/>
        </w:rPr>
        <w:t>Building 331</w:t>
      </w:r>
    </w:p>
    <w:p>
      <w:pPr>
        <w:spacing w:after="0" w:line="7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231F20"/>
        </w:rPr>
        <w:t>331 E. Evelyn Avenue Mountain View, CA 94041</w:t>
      </w: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231F20"/>
        </w:rPr>
        <w:t>March [</w:t>
      </w:r>
      <w:r>
        <w:rPr>
          <w:rFonts w:ascii="Times New Roman" w:cs="Times New Roman" w:eastAsia="Times New Roman" w:hAnsi="Times New Roman"/>
          <w:sz w:val="14"/>
          <w:szCs w:val="14"/>
          <w:b w:val="1"/>
          <w:bCs w:val="1"/>
          <w:color w:val="231F20"/>
        </w:rPr>
        <w:t>10</w:t>
      </w:r>
      <w:r>
        <w:rPr>
          <w:rFonts w:ascii="Times New Roman" w:cs="Times New Roman" w:eastAsia="Times New Roman" w:hAnsi="Times New Roman"/>
          <w:sz w:val="14"/>
          <w:szCs w:val="14"/>
          <w:color w:val="231F20"/>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194945</wp:posOffset>
            </wp:positionV>
            <wp:extent cx="694055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940550" cy="42545"/>
                    </a:xfrm>
                    <a:prstGeom prst="rect">
                      <a:avLst/>
                    </a:prstGeom>
                    <a:noFill/>
                  </pic:spPr>
                </pic:pic>
              </a:graphicData>
            </a:graphic>
          </wp:anchor>
        </w:drawing>
      </w:r>
    </w:p>
    <w:p>
      <w:pPr>
        <w:sectPr>
          <w:pgSz w:w="11900" w:h="16838" w:orient="portrait"/>
          <w:cols w:equalWidth="0" w:num="1">
            <w:col w:w="10240"/>
          </w:cols>
          <w:pgMar w:left="880" w:top="128" w:right="77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4"/>
          <w:szCs w:val="14"/>
          <w:b w:val="1"/>
          <w:bCs w:val="1"/>
          <w:color w:val="231F20"/>
        </w:rPr>
        <w:t>SUBLEASE</w:t>
      </w:r>
    </w:p>
    <w:p>
      <w:pPr>
        <w:spacing w:after="0" w:line="73" w:lineRule="exact"/>
        <w:rPr>
          <w:sz w:val="20"/>
          <w:szCs w:val="20"/>
          <w:color w:val="auto"/>
        </w:rPr>
      </w:pPr>
    </w:p>
    <w:p>
      <w:pPr>
        <w:ind w:firstLine="431"/>
        <w:spacing w:after="0" w:line="285" w:lineRule="auto"/>
        <w:rPr>
          <w:sz w:val="20"/>
          <w:szCs w:val="20"/>
          <w:color w:val="auto"/>
        </w:rPr>
      </w:pPr>
      <w:r>
        <w:rPr>
          <w:rFonts w:ascii="Times New Roman" w:cs="Times New Roman" w:eastAsia="Times New Roman" w:hAnsi="Times New Roman"/>
          <w:sz w:val="14"/>
          <w:szCs w:val="14"/>
          <w:color w:val="231F20"/>
        </w:rPr>
        <w:t>This Sublease (“</w:t>
      </w:r>
      <w:r>
        <w:rPr>
          <w:rFonts w:ascii="Times New Roman" w:cs="Times New Roman" w:eastAsia="Times New Roman" w:hAnsi="Times New Roman"/>
          <w:sz w:val="14"/>
          <w:szCs w:val="14"/>
          <w:b w:val="1"/>
          <w:bCs w:val="1"/>
          <w:color w:val="231F20"/>
        </w:rPr>
        <w:t>Sublease</w:t>
      </w:r>
      <w:r>
        <w:rPr>
          <w:rFonts w:ascii="Times New Roman" w:cs="Times New Roman" w:eastAsia="Times New Roman" w:hAnsi="Times New Roman"/>
          <w:sz w:val="14"/>
          <w:szCs w:val="14"/>
          <w:color w:val="231F20"/>
        </w:rPr>
        <w:t>”) is made this [</w:t>
      </w:r>
      <w:r>
        <w:rPr>
          <w:rFonts w:ascii="Times New Roman" w:cs="Times New Roman" w:eastAsia="Times New Roman" w:hAnsi="Times New Roman"/>
          <w:sz w:val="14"/>
          <w:szCs w:val="14"/>
          <w:b w:val="1"/>
          <w:bCs w:val="1"/>
          <w:color w:val="231F20"/>
        </w:rPr>
        <w:t>10</w:t>
      </w:r>
      <w:r>
        <w:rPr>
          <w:rFonts w:ascii="Times New Roman" w:cs="Times New Roman" w:eastAsia="Times New Roman" w:hAnsi="Times New Roman"/>
          <w:sz w:val="14"/>
          <w:szCs w:val="14"/>
          <w:color w:val="231F20"/>
        </w:rPr>
        <w:t>] day of March, 2026 (the “</w:t>
      </w:r>
      <w:r>
        <w:rPr>
          <w:rFonts w:ascii="Times New Roman" w:cs="Times New Roman" w:eastAsia="Times New Roman" w:hAnsi="Times New Roman"/>
          <w:sz w:val="14"/>
          <w:szCs w:val="14"/>
          <w:b w:val="1"/>
          <w:bCs w:val="1"/>
          <w:color w:val="231F20"/>
        </w:rPr>
        <w:t>Execution Date</w:t>
      </w:r>
      <w:r>
        <w:rPr>
          <w:rFonts w:ascii="Times New Roman" w:cs="Times New Roman" w:eastAsia="Times New Roman" w:hAnsi="Times New Roman"/>
          <w:sz w:val="14"/>
          <w:szCs w:val="14"/>
          <w:color w:val="231F20"/>
        </w:rPr>
        <w:t xml:space="preserve">”), by and between </w:t>
      </w:r>
      <w:r>
        <w:rPr>
          <w:rFonts w:ascii="Times New Roman" w:cs="Times New Roman" w:eastAsia="Times New Roman" w:hAnsi="Times New Roman"/>
          <w:sz w:val="14"/>
          <w:szCs w:val="14"/>
          <w:b w:val="1"/>
          <w:bCs w:val="1"/>
          <w:color w:val="231F20"/>
        </w:rPr>
        <w:t>Heartflow, Inc.</w:t>
      </w:r>
      <w:r>
        <w:rPr>
          <w:rFonts w:ascii="Times New Roman" w:cs="Times New Roman" w:eastAsia="Times New Roman" w:hAnsi="Times New Roman"/>
          <w:sz w:val="14"/>
          <w:szCs w:val="14"/>
          <w:color w:val="231F20"/>
        </w:rPr>
        <w:t>, a Delaware corporation (“</w:t>
      </w:r>
      <w:r>
        <w:rPr>
          <w:rFonts w:ascii="Times New Roman" w:cs="Times New Roman" w:eastAsia="Times New Roman" w:hAnsi="Times New Roman"/>
          <w:sz w:val="14"/>
          <w:szCs w:val="14"/>
          <w:b w:val="1"/>
          <w:bCs w:val="1"/>
          <w:color w:val="231F20"/>
        </w:rPr>
        <w:t>Sublandlord</w:t>
      </w:r>
      <w:r>
        <w:rPr>
          <w:rFonts w:ascii="Times New Roman" w:cs="Times New Roman" w:eastAsia="Times New Roman" w:hAnsi="Times New Roman"/>
          <w:sz w:val="14"/>
          <w:szCs w:val="14"/>
          <w:color w:val="231F20"/>
        </w:rPr>
        <w:t xml:space="preserve">”), and </w:t>
      </w:r>
      <w:r>
        <w:rPr>
          <w:rFonts w:ascii="Times New Roman" w:cs="Times New Roman" w:eastAsia="Times New Roman" w:hAnsi="Times New Roman"/>
          <w:sz w:val="14"/>
          <w:szCs w:val="14"/>
          <w:b w:val="1"/>
          <w:bCs w:val="1"/>
          <w:color w:val="231F20"/>
        </w:rPr>
        <w:t>Glean Technologies, Inc.</w:t>
      </w:r>
      <w:r>
        <w:rPr>
          <w:rFonts w:ascii="Times New Roman" w:cs="Times New Roman" w:eastAsia="Times New Roman" w:hAnsi="Times New Roman"/>
          <w:sz w:val="14"/>
          <w:szCs w:val="14"/>
          <w:color w:val="231F20"/>
        </w:rPr>
        <w:t>, a Delaware corporation (“</w:t>
      </w:r>
      <w:r>
        <w:rPr>
          <w:rFonts w:ascii="Times New Roman" w:cs="Times New Roman" w:eastAsia="Times New Roman" w:hAnsi="Times New Roman"/>
          <w:sz w:val="14"/>
          <w:szCs w:val="14"/>
          <w:b w:val="1"/>
          <w:bCs w:val="1"/>
          <w:color w:val="231F20"/>
        </w:rPr>
        <w:t>Subtenant</w:t>
      </w:r>
      <w:r>
        <w:rPr>
          <w:rFonts w:ascii="Times New Roman" w:cs="Times New Roman" w:eastAsia="Times New Roman" w:hAnsi="Times New Roman"/>
          <w:sz w:val="14"/>
          <w:szCs w:val="14"/>
          <w:color w:val="231F20"/>
        </w:rPr>
        <w: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RECITALS</w:t>
      </w:r>
    </w:p>
    <w:p>
      <w:pPr>
        <w:spacing w:after="0" w:line="73" w:lineRule="exact"/>
        <w:rPr>
          <w:sz w:val="20"/>
          <w:szCs w:val="20"/>
          <w:color w:val="auto"/>
        </w:rPr>
      </w:pPr>
    </w:p>
    <w:p>
      <w:pPr>
        <w:jc w:val="both"/>
        <w:ind w:firstLine="428"/>
        <w:spacing w:after="0" w:line="252" w:lineRule="auto"/>
        <w:tabs>
          <w:tab w:leader="none" w:pos="1362" w:val="left"/>
        </w:tabs>
        <w:numPr>
          <w:ilvl w:val="0"/>
          <w:numId w:val="9"/>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b w:val="1"/>
          <w:bCs w:val="1"/>
          <w:color w:val="231F20"/>
        </w:rPr>
        <w:t>WHEREAS</w:t>
      </w:r>
      <w:r>
        <w:rPr>
          <w:rFonts w:ascii="Times New Roman" w:cs="Times New Roman" w:eastAsia="Times New Roman" w:hAnsi="Times New Roman"/>
          <w:sz w:val="14"/>
          <w:szCs w:val="14"/>
          <w:color w:val="231F20"/>
        </w:rPr>
        <w:t>, MV Campus Owner, LLC, a Delaware limited liability company, as landlord (“</w:t>
      </w:r>
      <w:r>
        <w:rPr>
          <w:rFonts w:ascii="Times New Roman" w:cs="Times New Roman" w:eastAsia="Times New Roman" w:hAnsi="Times New Roman"/>
          <w:sz w:val="14"/>
          <w:szCs w:val="14"/>
          <w:b w:val="1"/>
          <w:bCs w:val="1"/>
          <w:color w:val="231F20"/>
        </w:rPr>
        <w:t>Landlord</w:t>
      </w:r>
      <w:r>
        <w:rPr>
          <w:rFonts w:ascii="Times New Roman" w:cs="Times New Roman" w:eastAsia="Times New Roman" w:hAnsi="Times New Roman"/>
          <w:sz w:val="14"/>
          <w:szCs w:val="14"/>
          <w:color w:val="231F20"/>
        </w:rPr>
        <w:t>”), and Sublandlord, as tenant</w:t>
      </w:r>
      <w:r>
        <w:rPr>
          <w:rFonts w:ascii="Times New Roman" w:cs="Times New Roman" w:eastAsia="Times New Roman" w:hAnsi="Times New Roman"/>
          <w:sz w:val="14"/>
          <w:szCs w:val="14"/>
          <w:b w:val="1"/>
          <w:bCs w:val="1"/>
          <w:color w:val="231F20"/>
        </w:rPr>
        <w:t xml:space="preserve"> </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b w:val="1"/>
          <w:bCs w:val="1"/>
          <w:color w:val="231F20"/>
        </w:rPr>
        <w:t>Tenant</w:t>
      </w:r>
      <w:r>
        <w:rPr>
          <w:rFonts w:ascii="Times New Roman" w:cs="Times New Roman" w:eastAsia="Times New Roman" w:hAnsi="Times New Roman"/>
          <w:sz w:val="14"/>
          <w:szCs w:val="14"/>
          <w:color w:val="231F20"/>
        </w:rPr>
        <w:t>”), entered into that certain Lease, dated August 9, 2021 (the “</w:t>
      </w:r>
      <w:r>
        <w:rPr>
          <w:rFonts w:ascii="Times New Roman" w:cs="Times New Roman" w:eastAsia="Times New Roman" w:hAnsi="Times New Roman"/>
          <w:sz w:val="14"/>
          <w:szCs w:val="14"/>
          <w:b w:val="1"/>
          <w:bCs w:val="1"/>
          <w:color w:val="231F20"/>
        </w:rPr>
        <w:t>Master Lease</w:t>
      </w:r>
      <w:r>
        <w:rPr>
          <w:rFonts w:ascii="Times New Roman" w:cs="Times New Roman" w:eastAsia="Times New Roman" w:hAnsi="Times New Roman"/>
          <w:sz w:val="14"/>
          <w:szCs w:val="14"/>
          <w:color w:val="231F20"/>
        </w:rPr>
        <w:t>”), whereby Landlord leased to Tenant certain premises consisting of approximately 61,496 rentable square feet (the “</w:t>
      </w:r>
      <w:r>
        <w:rPr>
          <w:rFonts w:ascii="Times New Roman" w:cs="Times New Roman" w:eastAsia="Times New Roman" w:hAnsi="Times New Roman"/>
          <w:sz w:val="14"/>
          <w:szCs w:val="14"/>
          <w:b w:val="1"/>
          <w:bCs w:val="1"/>
          <w:color w:val="231F20"/>
        </w:rPr>
        <w:t>Premises</w:t>
      </w:r>
      <w:r>
        <w:rPr>
          <w:rFonts w:ascii="Times New Roman" w:cs="Times New Roman" w:eastAsia="Times New Roman" w:hAnsi="Times New Roman"/>
          <w:sz w:val="14"/>
          <w:szCs w:val="14"/>
          <w:color w:val="231F20"/>
        </w:rPr>
        <w:t xml:space="preserve">”) located at 331 E. Evelyn Avenue, Mountain View, California 94041, as more particularly described in the Master Lease, upon the terms and conditions contained therein. A copy of the Master Lease is attached hereto as </w:t>
      </w:r>
      <w:r>
        <w:rPr>
          <w:rFonts w:ascii="Times New Roman" w:cs="Times New Roman" w:eastAsia="Times New Roman" w:hAnsi="Times New Roman"/>
          <w:sz w:val="14"/>
          <w:szCs w:val="14"/>
          <w:u w:val="single" w:color="auto"/>
          <w:color w:val="231F20"/>
        </w:rPr>
        <w:t>Exhibit A</w:t>
      </w:r>
      <w:r>
        <w:rPr>
          <w:rFonts w:ascii="Times New Roman" w:cs="Times New Roman" w:eastAsia="Times New Roman" w:hAnsi="Times New Roman"/>
          <w:sz w:val="14"/>
          <w:szCs w:val="14"/>
          <w:color w:val="231F20"/>
        </w:rPr>
        <w:t xml:space="preserve"> and made a part hereof. All capitalized terms used but not otherwise defined herein shall have the meanings set forth for them in the Master Lease.</w:t>
      </w:r>
    </w:p>
    <w:p>
      <w:pPr>
        <w:spacing w:after="0" w:line="36" w:lineRule="exact"/>
        <w:rPr>
          <w:rFonts w:ascii="Times New Roman" w:cs="Times New Roman" w:eastAsia="Times New Roman" w:hAnsi="Times New Roman"/>
          <w:sz w:val="14"/>
          <w:szCs w:val="14"/>
          <w:color w:val="231F20"/>
        </w:rPr>
      </w:pPr>
    </w:p>
    <w:p>
      <w:pPr>
        <w:jc w:val="both"/>
        <w:ind w:firstLine="428"/>
        <w:spacing w:after="0" w:line="248" w:lineRule="auto"/>
        <w:tabs>
          <w:tab w:leader="none" w:pos="1334" w:val="left"/>
        </w:tabs>
        <w:numPr>
          <w:ilvl w:val="0"/>
          <w:numId w:val="9"/>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b w:val="1"/>
          <w:bCs w:val="1"/>
          <w:color w:val="231F20"/>
        </w:rPr>
        <w:t>WHEREAS</w:t>
      </w:r>
      <w:r>
        <w:rPr>
          <w:rFonts w:ascii="Times New Roman" w:cs="Times New Roman" w:eastAsia="Times New Roman" w:hAnsi="Times New Roman"/>
          <w:sz w:val="14"/>
          <w:szCs w:val="14"/>
          <w:color w:val="231F20"/>
        </w:rPr>
        <w:t>, Subtenant desires to sublet from Sublandlord, and Sublandlord desires to sublet to Subtenant, all of the Premises consisting of</w:t>
      </w:r>
      <w:r>
        <w:rPr>
          <w:rFonts w:ascii="Times New Roman" w:cs="Times New Roman" w:eastAsia="Times New Roman" w:hAnsi="Times New Roman"/>
          <w:sz w:val="14"/>
          <w:szCs w:val="14"/>
          <w:b w:val="1"/>
          <w:bCs w:val="1"/>
          <w:color w:val="231F20"/>
        </w:rPr>
        <w:t xml:space="preserve"> </w:t>
      </w:r>
      <w:r>
        <w:rPr>
          <w:rFonts w:ascii="Times New Roman" w:cs="Times New Roman" w:eastAsia="Times New Roman" w:hAnsi="Times New Roman"/>
          <w:sz w:val="14"/>
          <w:szCs w:val="14"/>
          <w:color w:val="231F20"/>
        </w:rPr>
        <w:t>approximately 61,496 rentable square feet located at 331 E. Evelyn Avenue, Mountain View CA, 94041 (the “</w:t>
      </w:r>
      <w:r>
        <w:rPr>
          <w:rFonts w:ascii="Times New Roman" w:cs="Times New Roman" w:eastAsia="Times New Roman" w:hAnsi="Times New Roman"/>
          <w:sz w:val="14"/>
          <w:szCs w:val="14"/>
          <w:b w:val="1"/>
          <w:bCs w:val="1"/>
          <w:color w:val="231F20"/>
        </w:rPr>
        <w:t>Subleased Premises</w:t>
      </w:r>
      <w:r>
        <w:rPr>
          <w:rFonts w:ascii="Times New Roman" w:cs="Times New Roman" w:eastAsia="Times New Roman" w:hAnsi="Times New Roman"/>
          <w:sz w:val="14"/>
          <w:szCs w:val="14"/>
          <w:color w:val="231F20"/>
        </w:rPr>
        <w:t xml:space="preserve">”), as shown on Exhibit “B-1” to the Master Lease, in accordance with the terms and conditions of this Sublease and subject to the phased occupancy schedule set forth herein. In particular, (a) Subtenant will sublet from Sublandlord the portion of the Subleased Premises reflected on </w:t>
      </w:r>
      <w:r>
        <w:rPr>
          <w:rFonts w:ascii="Times New Roman" w:cs="Times New Roman" w:eastAsia="Times New Roman" w:hAnsi="Times New Roman"/>
          <w:sz w:val="14"/>
          <w:szCs w:val="14"/>
          <w:u w:val="single" w:color="auto"/>
          <w:color w:val="231F20"/>
        </w:rPr>
        <w:t>Exhibit D</w:t>
      </w:r>
      <w:r>
        <w:rPr>
          <w:rFonts w:ascii="Times New Roman" w:cs="Times New Roman" w:eastAsia="Times New Roman" w:hAnsi="Times New Roman"/>
          <w:sz w:val="14"/>
          <w:szCs w:val="14"/>
          <w:color w:val="231F20"/>
        </w:rPr>
        <w:t xml:space="preserve"> attached hereto (the “</w:t>
      </w:r>
      <w:r>
        <w:rPr>
          <w:rFonts w:ascii="Times New Roman" w:cs="Times New Roman" w:eastAsia="Times New Roman" w:hAnsi="Times New Roman"/>
          <w:sz w:val="14"/>
          <w:szCs w:val="14"/>
          <w:b w:val="1"/>
          <w:bCs w:val="1"/>
          <w:color w:val="231F20"/>
        </w:rPr>
        <w:t>Phase I Subleased Premises</w:t>
      </w:r>
      <w:r>
        <w:rPr>
          <w:rFonts w:ascii="Times New Roman" w:cs="Times New Roman" w:eastAsia="Times New Roman" w:hAnsi="Times New Roman"/>
          <w:sz w:val="14"/>
          <w:szCs w:val="14"/>
          <w:color w:val="231F20"/>
        </w:rPr>
        <w:t>”) beginning</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231F20"/>
        </w:rPr>
        <w:t>on the Commencement Date (as defined below) and ending on the Sublease Full Commencement Date and (b) Subtenant will sublet from Sublandlord the full Subleased Premises for the balance of the Term (as defined below) beginning on the Sublease Full Commencement Date (as hereinafter defined).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AGREEMENT</w:t>
      </w:r>
    </w:p>
    <w:p>
      <w:pPr>
        <w:spacing w:after="0" w:line="7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231F20"/>
        </w:rPr>
        <w:t>NOW, THEREFORE, in consideration of the foregoing and the mutual covenants and agreements of the parties hereinafter set forth, and for other good and valuable consideration, the receipt and sufficiency of which are hereby acknowledged, Sublandlord and Subtenant hereby agree as follows:</w:t>
      </w:r>
    </w:p>
    <w:p>
      <w:pPr>
        <w:spacing w:after="0" w:line="16" w:lineRule="exact"/>
        <w:rPr>
          <w:sz w:val="20"/>
          <w:szCs w:val="20"/>
          <w:color w:val="auto"/>
        </w:rPr>
      </w:pPr>
    </w:p>
    <w:p>
      <w:pPr>
        <w:ind w:left="860" w:hanging="432"/>
        <w:spacing w:after="0"/>
        <w:tabs>
          <w:tab w:leader="none" w:pos="860" w:val="left"/>
        </w:tabs>
        <w:numPr>
          <w:ilvl w:val="0"/>
          <w:numId w:val="10"/>
        </w:numPr>
        <w:rPr>
          <w:rFonts w:ascii="Times New Roman" w:cs="Times New Roman" w:eastAsia="Times New Roman" w:hAnsi="Times New Roman"/>
          <w:sz w:val="14"/>
          <w:szCs w:val="14"/>
          <w:b w:val="1"/>
          <w:bCs w:val="1"/>
          <w:color w:val="231F20"/>
        </w:rPr>
      </w:pPr>
      <w:r>
        <w:rPr>
          <w:rFonts w:ascii="Times New Roman" w:cs="Times New Roman" w:eastAsia="Times New Roman" w:hAnsi="Times New Roman"/>
          <w:sz w:val="14"/>
          <w:szCs w:val="14"/>
          <w:b w:val="1"/>
          <w:bCs w:val="1"/>
          <w:color w:val="231F20"/>
        </w:rPr>
        <w:t>SUBLEASE</w:t>
      </w:r>
    </w:p>
    <w:p>
      <w:pPr>
        <w:spacing w:after="0" w:line="7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4"/>
          <w:szCs w:val="14"/>
          <w:color w:val="231F20"/>
        </w:rPr>
        <w:t xml:space="preserve">Upon and subject to the terms, covenants and conditions hereinafter set forth, Sublandlord hereby subleases to Subtenant and Subtenant hereby subleases from Sublandlord the Subleased Premises according to the phased occupancy schedule as set forth in </w:t>
      </w:r>
      <w:r>
        <w:rPr>
          <w:rFonts w:ascii="Times New Roman" w:cs="Times New Roman" w:eastAsia="Times New Roman" w:hAnsi="Times New Roman"/>
          <w:sz w:val="14"/>
          <w:szCs w:val="14"/>
          <w:u w:val="single" w:color="auto"/>
          <w:color w:val="231F20"/>
        </w:rPr>
        <w:t>Section 3</w:t>
      </w:r>
      <w:r>
        <w:rPr>
          <w:rFonts w:ascii="Times New Roman" w:cs="Times New Roman" w:eastAsia="Times New Roman" w:hAnsi="Times New Roman"/>
          <w:sz w:val="14"/>
          <w:szCs w:val="14"/>
          <w:color w:val="231F20"/>
        </w:rPr>
        <w:t xml:space="preserve"> herein and all other terms and conditions set forth in this Sublease.</w:t>
      </w:r>
    </w:p>
    <w:p>
      <w:pPr>
        <w:spacing w:after="0" w:line="33"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4"/>
          <w:szCs w:val="14"/>
          <w:color w:val="231F20"/>
        </w:rPr>
        <w:t>From and after the Commencement Date through and including the Sublease Full Commencement Date, Sublandlord and Subtenant shall each have non-exclusive, reasonable access to and use of all Common Areas of the Building, subject to the terms of the Master Lease and any reasonable rules and regulations promulgated by the Landlord. Such access and use shall not unreasonably interfere with the other party’s use and occupancy of the Subleased Premises or the rights of other occupants of the Building. Sublandlord may establish reasonable rules and regulations with respect to use of any common areas within the Subleased Premises, which rules and regulations Subtenant shall comply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172720</wp:posOffset>
            </wp:positionV>
            <wp:extent cx="694055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940550" cy="42545"/>
                    </a:xfrm>
                    <a:prstGeom prst="rect">
                      <a:avLst/>
                    </a:prstGeom>
                    <a:noFill/>
                  </pic:spPr>
                </pic:pic>
              </a:graphicData>
            </a:graphic>
          </wp:anchor>
        </w:drawing>
      </w:r>
    </w:p>
    <w:p>
      <w:pPr>
        <w:sectPr>
          <w:pgSz w:w="11900" w:h="16838" w:orient="portrait"/>
          <w:cols w:equalWidth="0" w:num="1">
            <w:col w:w="9580"/>
          </w:cols>
          <w:pgMar w:left="1160" w:top="821" w:right="1159" w:bottom="1440" w:gutter="0" w:footer="0" w:header="0"/>
        </w:sectPr>
      </w:pPr>
    </w:p>
    <w:bookmarkStart w:id="49" w:name="page50"/>
    <w:bookmarkEnd w:id="49"/>
    <w:p>
      <w:pPr>
        <w:ind w:left="1720" w:hanging="432"/>
        <w:spacing w:after="0"/>
        <w:tabs>
          <w:tab w:leader="none" w:pos="1720" w:val="left"/>
        </w:tabs>
        <w:numPr>
          <w:ilvl w:val="0"/>
          <w:numId w:val="11"/>
        </w:numPr>
        <w:rPr>
          <w:rFonts w:ascii="Times New Roman" w:cs="Times New Roman" w:eastAsia="Times New Roman" w:hAnsi="Times New Roman"/>
          <w:sz w:val="14"/>
          <w:szCs w:val="14"/>
          <w:b w:val="1"/>
          <w:bCs w:val="1"/>
          <w:color w:val="231F20"/>
        </w:rPr>
      </w:pPr>
      <w:r>
        <w:rPr>
          <w:rFonts w:ascii="Times New Roman" w:cs="Times New Roman" w:eastAsia="Times New Roman" w:hAnsi="Times New Roman"/>
          <w:sz w:val="14"/>
          <w:szCs w:val="14"/>
          <w:b w:val="1"/>
          <w:bCs w:val="1"/>
          <w:color w:val="231F20"/>
        </w:rPr>
        <w:t>AS-IS CONDITION; FF&amp;E</w:t>
      </w:r>
    </w:p>
    <w:p>
      <w:pPr>
        <w:spacing w:after="0" w:line="75" w:lineRule="exact"/>
        <w:rPr>
          <w:sz w:val="20"/>
          <w:szCs w:val="20"/>
          <w:color w:val="auto"/>
        </w:rPr>
      </w:pPr>
    </w:p>
    <w:p>
      <w:pPr>
        <w:jc w:val="both"/>
        <w:ind w:left="860" w:right="440" w:firstLine="864"/>
        <w:spacing w:after="0" w:line="246" w:lineRule="auto"/>
        <w:rPr>
          <w:sz w:val="20"/>
          <w:szCs w:val="20"/>
          <w:color w:val="auto"/>
        </w:rPr>
      </w:pPr>
      <w:r>
        <w:rPr>
          <w:rFonts w:ascii="Times New Roman" w:cs="Times New Roman" w:eastAsia="Times New Roman" w:hAnsi="Times New Roman"/>
          <w:sz w:val="14"/>
          <w:szCs w:val="14"/>
          <w:color w:val="231F20"/>
        </w:rPr>
        <w:t>2.1 Subtenant hereby acknowledges and agrees that Subtenant has inspected the Subleased Premises and that Subtenant accepts the Subleased Premises in their current, “AS-IS, WHERE-IS, WITH ALL FAULTS” condition, subject to the provisions of this Section 2.1. Sublandlord represents and warrants that, to the best of Sublandlord’s knowledge as of the Commencement Date, the HVAC, plumbing, electrical, and life safety systems serving the Subleased Premises are in good working order and capable of normal operation. If any such system fails to operate in good working order during the first sixty (60) days following the Commencement Date (with respect to the Phase I Subleased Premises) and the Sublease Full Commencement Date (with respect to the remainder of the Subleased Premises not constituting the Phase I Subleased Premises (the “</w:t>
      </w:r>
      <w:r>
        <w:rPr>
          <w:rFonts w:ascii="Times New Roman" w:cs="Times New Roman" w:eastAsia="Times New Roman" w:hAnsi="Times New Roman"/>
          <w:sz w:val="14"/>
          <w:szCs w:val="14"/>
          <w:b w:val="1"/>
          <w:bCs w:val="1"/>
          <w:color w:val="231F20"/>
        </w:rPr>
        <w:t>Phase II Subleased Premises</w:t>
      </w:r>
      <w:r>
        <w:rPr>
          <w:rFonts w:ascii="Times New Roman" w:cs="Times New Roman" w:eastAsia="Times New Roman" w:hAnsi="Times New Roman"/>
          <w:sz w:val="14"/>
          <w:szCs w:val="14"/>
          <w:color w:val="231F20"/>
        </w:rPr>
        <w:t>”)), and Subtenant provides written notice thereof to Sublandlord within such period, Sublandlord shall, at Sublandlord's sole cost and expense, promptly repair or cause to be repaired such system. Following the expiration of said sixty (60) day period, Subtenant shall accept the Subleased Premises in their "AS-IS" condition and Sublandlord shall have no further obligation with respect to the condition thereof. Except as otherwise expressly set forth herein, Sublandlord shall have no obligation to furnish or supply any work, services, furniture, fixtures, equipment, or decorations, except Sublandlord shall deliver the Subleased Premises in “broom clean” condition.</w:t>
      </w:r>
    </w:p>
    <w:p>
      <w:pPr>
        <w:spacing w:after="0" w:line="42" w:lineRule="exact"/>
        <w:rPr>
          <w:sz w:val="20"/>
          <w:szCs w:val="20"/>
          <w:color w:val="auto"/>
        </w:rPr>
      </w:pPr>
    </w:p>
    <w:p>
      <w:pPr>
        <w:ind w:left="1720"/>
        <w:spacing w:after="0"/>
        <w:tabs>
          <w:tab w:leader="none" w:pos="2940" w:val="left"/>
          <w:tab w:leader="none" w:pos="4280" w:val="left"/>
          <w:tab w:leader="none" w:pos="5160" w:val="left"/>
          <w:tab w:leader="none" w:pos="5660" w:val="left"/>
          <w:tab w:leader="none" w:pos="6220" w:val="left"/>
          <w:tab w:leader="none" w:pos="7060" w:val="left"/>
          <w:tab w:leader="none" w:pos="8000" w:val="left"/>
          <w:tab w:leader="none" w:pos="8500" w:val="left"/>
          <w:tab w:leader="none" w:pos="9100" w:val="left"/>
          <w:tab w:leader="none" w:pos="10040" w:val="left"/>
        </w:tabs>
        <w:rPr>
          <w:sz w:val="20"/>
          <w:szCs w:val="20"/>
          <w:color w:val="auto"/>
        </w:rPr>
      </w:pPr>
      <w:r>
        <w:rPr>
          <w:rFonts w:ascii="Times New Roman" w:cs="Times New Roman" w:eastAsia="Times New Roman" w:hAnsi="Times New Roman"/>
          <w:sz w:val="14"/>
          <w:szCs w:val="14"/>
          <w:color w:val="231F20"/>
        </w:rPr>
        <w:t>2.2</w:t>
      </w:r>
      <w:r>
        <w:rPr>
          <w:sz w:val="20"/>
          <w:szCs w:val="20"/>
          <w:color w:val="auto"/>
        </w:rPr>
        <w:tab/>
      </w:r>
      <w:r>
        <w:rPr>
          <w:rFonts w:ascii="Times New Roman" w:cs="Times New Roman" w:eastAsia="Times New Roman" w:hAnsi="Times New Roman"/>
          <w:sz w:val="14"/>
          <w:szCs w:val="14"/>
          <w:color w:val="231F20"/>
        </w:rPr>
        <w:t>Notwithstanding</w:t>
      </w:r>
      <w:r>
        <w:rPr>
          <w:sz w:val="20"/>
          <w:szCs w:val="20"/>
          <w:color w:val="auto"/>
        </w:rPr>
        <w:tab/>
      </w:r>
      <w:r>
        <w:rPr>
          <w:rFonts w:ascii="Times New Roman" w:cs="Times New Roman" w:eastAsia="Times New Roman" w:hAnsi="Times New Roman"/>
          <w:sz w:val="14"/>
          <w:szCs w:val="14"/>
          <w:color w:val="231F20"/>
        </w:rPr>
        <w:t>anything</w:t>
      </w:r>
      <w:r>
        <w:rPr>
          <w:sz w:val="20"/>
          <w:szCs w:val="20"/>
          <w:color w:val="auto"/>
        </w:rPr>
        <w:tab/>
      </w:r>
      <w:r>
        <w:rPr>
          <w:rFonts w:ascii="Times New Roman" w:cs="Times New Roman" w:eastAsia="Times New Roman" w:hAnsi="Times New Roman"/>
          <w:sz w:val="14"/>
          <w:szCs w:val="14"/>
          <w:color w:val="231F20"/>
        </w:rPr>
        <w:t>to</w:t>
      </w:r>
      <w:r>
        <w:rPr>
          <w:sz w:val="20"/>
          <w:szCs w:val="20"/>
          <w:color w:val="auto"/>
        </w:rPr>
        <w:tab/>
      </w:r>
      <w:r>
        <w:rPr>
          <w:rFonts w:ascii="Times New Roman" w:cs="Times New Roman" w:eastAsia="Times New Roman" w:hAnsi="Times New Roman"/>
          <w:sz w:val="14"/>
          <w:szCs w:val="14"/>
          <w:color w:val="231F20"/>
        </w:rPr>
        <w:t>the</w:t>
      </w:r>
      <w:r>
        <w:rPr>
          <w:sz w:val="20"/>
          <w:szCs w:val="20"/>
          <w:color w:val="auto"/>
        </w:rPr>
        <w:tab/>
      </w:r>
      <w:r>
        <w:rPr>
          <w:rFonts w:ascii="Times New Roman" w:cs="Times New Roman" w:eastAsia="Times New Roman" w:hAnsi="Times New Roman"/>
          <w:sz w:val="14"/>
          <w:szCs w:val="14"/>
          <w:color w:val="231F20"/>
        </w:rPr>
        <w:t>contrary</w:t>
      </w:r>
      <w:r>
        <w:rPr>
          <w:sz w:val="20"/>
          <w:szCs w:val="20"/>
          <w:color w:val="auto"/>
        </w:rPr>
        <w:tab/>
      </w:r>
      <w:r>
        <w:rPr>
          <w:rFonts w:ascii="Times New Roman" w:cs="Times New Roman" w:eastAsia="Times New Roman" w:hAnsi="Times New Roman"/>
          <w:sz w:val="14"/>
          <w:szCs w:val="14"/>
          <w:color w:val="231F20"/>
        </w:rPr>
        <w:t>contained</w:t>
      </w:r>
      <w:r>
        <w:rPr>
          <w:sz w:val="20"/>
          <w:szCs w:val="20"/>
          <w:color w:val="auto"/>
        </w:rPr>
        <w:tab/>
      </w:r>
      <w:r>
        <w:rPr>
          <w:rFonts w:ascii="Times New Roman" w:cs="Times New Roman" w:eastAsia="Times New Roman" w:hAnsi="Times New Roman"/>
          <w:sz w:val="14"/>
          <w:szCs w:val="14"/>
          <w:color w:val="231F20"/>
        </w:rPr>
        <w:t>in</w:t>
      </w:r>
      <w:r>
        <w:rPr>
          <w:sz w:val="20"/>
          <w:szCs w:val="20"/>
          <w:color w:val="auto"/>
        </w:rPr>
        <w:tab/>
      </w:r>
      <w:r>
        <w:rPr>
          <w:rFonts w:ascii="Times New Roman" w:cs="Times New Roman" w:eastAsia="Times New Roman" w:hAnsi="Times New Roman"/>
          <w:sz w:val="14"/>
          <w:szCs w:val="14"/>
          <w:color w:val="231F20"/>
        </w:rPr>
        <w:t>this</w:t>
      </w:r>
      <w:r>
        <w:rPr>
          <w:sz w:val="20"/>
          <w:szCs w:val="20"/>
          <w:color w:val="auto"/>
        </w:rPr>
        <w:tab/>
      </w:r>
      <w:r>
        <w:rPr>
          <w:rFonts w:ascii="Times New Roman" w:cs="Times New Roman" w:eastAsia="Times New Roman" w:hAnsi="Times New Roman"/>
          <w:sz w:val="14"/>
          <w:szCs w:val="14"/>
          <w:color w:val="231F20"/>
        </w:rPr>
        <w:t>Sublease,</w:t>
      </w:r>
      <w:r>
        <w:rPr>
          <w:sz w:val="20"/>
          <w:szCs w:val="20"/>
          <w:color w:val="auto"/>
        </w:rPr>
        <w:tab/>
      </w:r>
      <w:r>
        <w:rPr>
          <w:rFonts w:ascii="Times New Roman" w:cs="Times New Roman" w:eastAsia="Times New Roman" w:hAnsi="Times New Roman"/>
          <w:sz w:val="14"/>
          <w:szCs w:val="14"/>
          <w:color w:val="231F20"/>
        </w:rPr>
        <w:t>during</w:t>
      </w:r>
    </w:p>
    <w:p>
      <w:pPr>
        <w:spacing w:after="0" w:line="17" w:lineRule="exact"/>
        <w:rPr>
          <w:sz w:val="20"/>
          <w:szCs w:val="20"/>
          <w:color w:val="auto"/>
        </w:rPr>
      </w:pPr>
    </w:p>
    <w:p>
      <w:pPr>
        <w:jc w:val="both"/>
        <w:ind w:left="860" w:right="440"/>
        <w:spacing w:after="0" w:line="241" w:lineRule="auto"/>
        <w:rPr>
          <w:sz w:val="20"/>
          <w:szCs w:val="20"/>
          <w:color w:val="auto"/>
        </w:rPr>
      </w:pPr>
      <w:r>
        <w:rPr>
          <w:rFonts w:ascii="Times New Roman" w:cs="Times New Roman" w:eastAsia="Times New Roman" w:hAnsi="Times New Roman"/>
          <w:sz w:val="14"/>
          <w:szCs w:val="14"/>
          <w:color w:val="231F20"/>
        </w:rPr>
        <w:t xml:space="preserve">the Term (as hereinafter defined), Sublandlord shall permit Subtenant to use the furniture, fixtures and equipment listed on </w:t>
      </w:r>
      <w:r>
        <w:rPr>
          <w:rFonts w:ascii="Times New Roman" w:cs="Times New Roman" w:eastAsia="Times New Roman" w:hAnsi="Times New Roman"/>
          <w:sz w:val="14"/>
          <w:szCs w:val="14"/>
          <w:u w:val="single" w:color="auto"/>
          <w:color w:val="231F20"/>
        </w:rPr>
        <w:t>Exhibit B</w:t>
      </w:r>
      <w:r>
        <w:rPr>
          <w:rFonts w:ascii="Times New Roman" w:cs="Times New Roman" w:eastAsia="Times New Roman" w:hAnsi="Times New Roman"/>
          <w:sz w:val="14"/>
          <w:szCs w:val="14"/>
          <w:color w:val="231F20"/>
        </w:rPr>
        <w:t xml:space="preserve"> attached hereto and incorporated by reference herein (the “</w:t>
      </w:r>
      <w:r>
        <w:rPr>
          <w:rFonts w:ascii="Times New Roman" w:cs="Times New Roman" w:eastAsia="Times New Roman" w:hAnsi="Times New Roman"/>
          <w:sz w:val="14"/>
          <w:szCs w:val="14"/>
          <w:b w:val="1"/>
          <w:bCs w:val="1"/>
          <w:color w:val="231F20"/>
        </w:rPr>
        <w:t>FF&amp;E</w:t>
      </w:r>
      <w:r>
        <w:rPr>
          <w:rFonts w:ascii="Times New Roman" w:cs="Times New Roman" w:eastAsia="Times New Roman" w:hAnsi="Times New Roman"/>
          <w:sz w:val="14"/>
          <w:szCs w:val="14"/>
          <w:color w:val="231F20"/>
        </w:rPr>
        <w:t xml:space="preserve">”). Subtenant shall accept the FF&amp;E in its presently existing, “AS-IS, WHERE-IS, WITH ALL FAULTS” condition, and, during the Term, Subtenant shall be responsible, at its sole cost and expense, for all maintenance and repair of the FF&amp;E, normal wear and tear and casualty excepted, provided that Sublandlord represents and warrants as of the Commencement Date that, to Sublandlord’s knowledge, Sublandlord owns all of the FF&amp;E free and clear of all liens and encumbrances and has the authority to so transfer the FF&amp;E. Prior to the Commencement Date (as hereinafter defined) in respect of the Phase I Subleased Premises and prior to the Sublease Full Commencement Date (as hereinafter defined) in respect of the Phase II Subleased Premises, Sublandlord shall remove from the Subleased Premises any IT network equipment, server equipment, printers, computers, iPads, desktop monitors, mobile AV units, select couches and chairs, and any other furniture, fixtures or equipment not listed on </w:t>
      </w:r>
      <w:r>
        <w:rPr>
          <w:rFonts w:ascii="Times New Roman" w:cs="Times New Roman" w:eastAsia="Times New Roman" w:hAnsi="Times New Roman"/>
          <w:sz w:val="14"/>
          <w:szCs w:val="14"/>
          <w:u w:val="single" w:color="auto"/>
          <w:color w:val="231F20"/>
        </w:rPr>
        <w:t>Exhibit B</w:t>
      </w:r>
      <w:r>
        <w:rPr>
          <w:rFonts w:ascii="Times New Roman" w:cs="Times New Roman" w:eastAsia="Times New Roman" w:hAnsi="Times New Roman"/>
          <w:sz w:val="14"/>
          <w:szCs w:val="14"/>
          <w:color w:val="231F20"/>
        </w:rPr>
        <w:t xml:space="preserve">; and, such items removed by Sublandlord shall not be part of the FF&amp;E. Upon the expiration of the Term, Subtenant shall have an option purchase the FF&amp;E from Sublandlord for the sum of One Dollar ($1.00) pursuant to a bill of sale in substantially the form set forth on </w:t>
      </w:r>
      <w:r>
        <w:rPr>
          <w:rFonts w:ascii="Times New Roman" w:cs="Times New Roman" w:eastAsia="Times New Roman" w:hAnsi="Times New Roman"/>
          <w:sz w:val="14"/>
          <w:szCs w:val="14"/>
          <w:u w:val="single" w:color="auto"/>
          <w:color w:val="231F20"/>
        </w:rPr>
        <w:t>Exhibit C</w:t>
      </w:r>
      <w:r>
        <w:rPr>
          <w:rFonts w:ascii="Times New Roman" w:cs="Times New Roman" w:eastAsia="Times New Roman" w:hAnsi="Times New Roman"/>
          <w:sz w:val="14"/>
          <w:szCs w:val="14"/>
          <w:color w:val="231F20"/>
        </w:rPr>
        <w:t xml:space="preserve"> attached hereto. If Subtenant does not exercise the option to purchase the FF&amp;E upon the expiration of the Term, the FF&amp;E shall remain in the Subleased Premises and Sublandlord shall retain ownership of the FF&amp;E; provided, however, Subtenant shall have the right at any time, without the consent of Sublandlord, to remove from the Subleased Premises any furniture, equipment, fixtures or other personal property owned by Subtenant (which owned property does not constitute a part of the FF&amp;E). Additionally, from time to time throughout the Term, Subtenant shall have the right upon prior notice to Sublandlord to remove furniture, equipment, fixtures or other personal property from the Subleased Premises, which personal property does constitute FF&amp;E hereunder. Any modifications</w:t>
      </w:r>
    </w:p>
    <w:tbl>
      <w:tblPr>
        <w:tblLayout w:type="fixed"/>
        <w:tblInd w:w="0" w:type="dxa"/>
        <w:tblCellMar>
          <w:top w:w="0" w:type="dxa"/>
          <w:left w:w="0" w:type="dxa"/>
          <w:bottom w:w="0" w:type="dxa"/>
          <w:right w:w="0" w:type="dxa"/>
        </w:tblCellMar>
      </w:tblPr>
      <w:tr>
        <w:trPr>
          <w:trHeight w:val="151"/>
        </w:trPr>
        <w:tc>
          <w:tcPr>
            <w:tcW w:w="1220" w:type="dxa"/>
            <w:vAlign w:val="bottom"/>
          </w:tcPr>
          <w:p>
            <w:pPr>
              <w:ind w:left="860"/>
              <w:spacing w:after="0" w:line="151" w:lineRule="exact"/>
              <w:rPr>
                <w:sz w:val="20"/>
                <w:szCs w:val="20"/>
                <w:color w:val="auto"/>
              </w:rPr>
            </w:pPr>
            <w:r>
              <w:rPr>
                <w:rFonts w:ascii="Times New Roman" w:cs="Times New Roman" w:eastAsia="Times New Roman" w:hAnsi="Times New Roman"/>
                <w:sz w:val="14"/>
                <w:szCs w:val="14"/>
                <w:color w:val="231F20"/>
              </w:rPr>
              <w:t>by</w:t>
            </w:r>
          </w:p>
        </w:tc>
        <w:tc>
          <w:tcPr>
            <w:tcW w:w="1040" w:type="dxa"/>
            <w:vAlign w:val="bottom"/>
            <w:gridSpan w:val="2"/>
          </w:tcPr>
          <w:p>
            <w:pPr>
              <w:ind w:left="240"/>
              <w:spacing w:after="0" w:line="151" w:lineRule="exact"/>
              <w:rPr>
                <w:sz w:val="20"/>
                <w:szCs w:val="20"/>
                <w:color w:val="auto"/>
              </w:rPr>
            </w:pPr>
            <w:r>
              <w:rPr>
                <w:rFonts w:ascii="Times New Roman" w:cs="Times New Roman" w:eastAsia="Times New Roman" w:hAnsi="Times New Roman"/>
                <w:sz w:val="14"/>
                <w:szCs w:val="14"/>
                <w:color w:val="231F20"/>
              </w:rPr>
              <w:t>Subtenant</w:t>
            </w:r>
          </w:p>
        </w:tc>
        <w:tc>
          <w:tcPr>
            <w:tcW w:w="540" w:type="dxa"/>
            <w:vAlign w:val="bottom"/>
          </w:tcPr>
          <w:p>
            <w:pPr>
              <w:ind w:left="220"/>
              <w:spacing w:after="0" w:line="151" w:lineRule="exact"/>
              <w:rPr>
                <w:sz w:val="20"/>
                <w:szCs w:val="20"/>
                <w:color w:val="auto"/>
              </w:rPr>
            </w:pPr>
            <w:r>
              <w:rPr>
                <w:rFonts w:ascii="Times New Roman" w:cs="Times New Roman" w:eastAsia="Times New Roman" w:hAnsi="Times New Roman"/>
                <w:sz w:val="14"/>
                <w:szCs w:val="14"/>
                <w:color w:val="231F20"/>
              </w:rPr>
              <w:t>to</w:t>
            </w:r>
          </w:p>
        </w:tc>
        <w:tc>
          <w:tcPr>
            <w:tcW w:w="600" w:type="dxa"/>
            <w:vAlign w:val="bottom"/>
          </w:tcPr>
          <w:p>
            <w:pPr>
              <w:ind w:left="240"/>
              <w:spacing w:after="0" w:line="151" w:lineRule="exact"/>
              <w:rPr>
                <w:sz w:val="20"/>
                <w:szCs w:val="20"/>
                <w:color w:val="auto"/>
              </w:rPr>
            </w:pPr>
            <w:r>
              <w:rPr>
                <w:rFonts w:ascii="Times New Roman" w:cs="Times New Roman" w:eastAsia="Times New Roman" w:hAnsi="Times New Roman"/>
                <w:sz w:val="14"/>
                <w:szCs w:val="14"/>
                <w:color w:val="231F20"/>
              </w:rPr>
              <w:t>the</w:t>
            </w:r>
          </w:p>
        </w:tc>
        <w:tc>
          <w:tcPr>
            <w:tcW w:w="700" w:type="dxa"/>
            <w:vAlign w:val="bottom"/>
          </w:tcPr>
          <w:p>
            <w:pPr>
              <w:ind w:left="260"/>
              <w:spacing w:after="0" w:line="151" w:lineRule="exact"/>
              <w:rPr>
                <w:sz w:val="20"/>
                <w:szCs w:val="20"/>
                <w:color w:val="auto"/>
              </w:rPr>
            </w:pPr>
            <w:r>
              <w:rPr>
                <w:rFonts w:ascii="Times New Roman" w:cs="Times New Roman" w:eastAsia="Times New Roman" w:hAnsi="Times New Roman"/>
                <w:sz w:val="14"/>
                <w:szCs w:val="14"/>
                <w:color w:val="231F20"/>
              </w:rPr>
              <w:t>FF&amp;E</w:t>
            </w:r>
          </w:p>
        </w:tc>
        <w:tc>
          <w:tcPr>
            <w:tcW w:w="300" w:type="dxa"/>
            <w:vAlign w:val="bottom"/>
          </w:tcPr>
          <w:p>
            <w:pPr>
              <w:spacing w:after="0"/>
              <w:rPr>
                <w:sz w:val="13"/>
                <w:szCs w:val="13"/>
                <w:color w:val="auto"/>
              </w:rPr>
            </w:pPr>
          </w:p>
        </w:tc>
        <w:tc>
          <w:tcPr>
            <w:tcW w:w="760" w:type="dxa"/>
            <w:vAlign w:val="bottom"/>
          </w:tcPr>
          <w:p>
            <w:pPr>
              <w:ind w:left="80"/>
              <w:spacing w:after="0" w:line="151" w:lineRule="exact"/>
              <w:rPr>
                <w:sz w:val="20"/>
                <w:szCs w:val="20"/>
                <w:color w:val="auto"/>
              </w:rPr>
            </w:pPr>
            <w:r>
              <w:rPr>
                <w:rFonts w:ascii="Times New Roman" w:cs="Times New Roman" w:eastAsia="Times New Roman" w:hAnsi="Times New Roman"/>
                <w:sz w:val="14"/>
                <w:szCs w:val="14"/>
                <w:color w:val="231F20"/>
              </w:rPr>
              <w:t>shall</w:t>
            </w:r>
          </w:p>
        </w:tc>
        <w:tc>
          <w:tcPr>
            <w:tcW w:w="500" w:type="dxa"/>
            <w:vAlign w:val="bottom"/>
          </w:tcPr>
          <w:p>
            <w:pPr>
              <w:jc w:val="right"/>
              <w:ind w:right="250"/>
              <w:spacing w:after="0" w:line="151" w:lineRule="exact"/>
              <w:rPr>
                <w:sz w:val="20"/>
                <w:szCs w:val="20"/>
                <w:color w:val="auto"/>
              </w:rPr>
            </w:pPr>
            <w:r>
              <w:rPr>
                <w:rFonts w:ascii="Times New Roman" w:cs="Times New Roman" w:eastAsia="Times New Roman" w:hAnsi="Times New Roman"/>
                <w:sz w:val="14"/>
                <w:szCs w:val="14"/>
                <w:color w:val="231F20"/>
              </w:rPr>
              <w:t>be</w:t>
            </w:r>
          </w:p>
        </w:tc>
        <w:tc>
          <w:tcPr>
            <w:tcW w:w="900" w:type="dxa"/>
            <w:vAlign w:val="bottom"/>
          </w:tcPr>
          <w:p>
            <w:pPr>
              <w:ind w:left="120"/>
              <w:spacing w:after="0" w:line="151" w:lineRule="exact"/>
              <w:rPr>
                <w:sz w:val="20"/>
                <w:szCs w:val="20"/>
                <w:color w:val="auto"/>
              </w:rPr>
            </w:pPr>
            <w:r>
              <w:rPr>
                <w:rFonts w:ascii="Times New Roman" w:cs="Times New Roman" w:eastAsia="Times New Roman" w:hAnsi="Times New Roman"/>
                <w:sz w:val="14"/>
                <w:szCs w:val="14"/>
                <w:color w:val="231F20"/>
              </w:rPr>
              <w:t>subject</w:t>
            </w:r>
          </w:p>
        </w:tc>
        <w:tc>
          <w:tcPr>
            <w:tcW w:w="500" w:type="dxa"/>
            <w:vAlign w:val="bottom"/>
          </w:tcPr>
          <w:p>
            <w:pPr>
              <w:ind w:left="80"/>
              <w:spacing w:after="0" w:line="151" w:lineRule="exact"/>
              <w:rPr>
                <w:sz w:val="20"/>
                <w:szCs w:val="20"/>
                <w:color w:val="auto"/>
              </w:rPr>
            </w:pPr>
            <w:r>
              <w:rPr>
                <w:rFonts w:ascii="Times New Roman" w:cs="Times New Roman" w:eastAsia="Times New Roman" w:hAnsi="Times New Roman"/>
                <w:sz w:val="14"/>
                <w:szCs w:val="14"/>
                <w:color w:val="231F20"/>
              </w:rPr>
              <w:t>to</w:t>
            </w:r>
          </w:p>
        </w:tc>
        <w:tc>
          <w:tcPr>
            <w:tcW w:w="560" w:type="dxa"/>
            <w:vAlign w:val="bottom"/>
          </w:tcPr>
          <w:p>
            <w:pPr>
              <w:ind w:left="140"/>
              <w:spacing w:after="0" w:line="151" w:lineRule="exact"/>
              <w:rPr>
                <w:sz w:val="20"/>
                <w:szCs w:val="20"/>
                <w:color w:val="auto"/>
              </w:rPr>
            </w:pPr>
            <w:r>
              <w:rPr>
                <w:rFonts w:ascii="Times New Roman" w:cs="Times New Roman" w:eastAsia="Times New Roman" w:hAnsi="Times New Roman"/>
                <w:sz w:val="14"/>
                <w:szCs w:val="14"/>
                <w:color w:val="231F20"/>
              </w:rPr>
              <w:t>the</w:t>
            </w:r>
          </w:p>
        </w:tc>
        <w:tc>
          <w:tcPr>
            <w:tcW w:w="640" w:type="dxa"/>
            <w:vAlign w:val="bottom"/>
          </w:tcPr>
          <w:p>
            <w:pPr>
              <w:ind w:left="220"/>
              <w:spacing w:after="0" w:line="151" w:lineRule="exact"/>
              <w:rPr>
                <w:sz w:val="20"/>
                <w:szCs w:val="20"/>
                <w:color w:val="auto"/>
              </w:rPr>
            </w:pPr>
            <w:r>
              <w:rPr>
                <w:rFonts w:ascii="Times New Roman" w:cs="Times New Roman" w:eastAsia="Times New Roman" w:hAnsi="Times New Roman"/>
                <w:sz w:val="14"/>
                <w:szCs w:val="14"/>
                <w:color w:val="231F20"/>
              </w:rPr>
              <w:t>prior</w:t>
            </w:r>
          </w:p>
        </w:tc>
        <w:tc>
          <w:tcPr>
            <w:tcW w:w="760" w:type="dxa"/>
            <w:vAlign w:val="bottom"/>
          </w:tcPr>
          <w:p>
            <w:pPr>
              <w:ind w:left="300"/>
              <w:spacing w:after="0" w:line="151" w:lineRule="exact"/>
              <w:rPr>
                <w:sz w:val="20"/>
                <w:szCs w:val="20"/>
                <w:color w:val="auto"/>
              </w:rPr>
            </w:pPr>
            <w:r>
              <w:rPr>
                <w:rFonts w:ascii="Times New Roman" w:cs="Times New Roman" w:eastAsia="Times New Roman" w:hAnsi="Times New Roman"/>
                <w:sz w:val="14"/>
                <w:szCs w:val="14"/>
                <w:color w:val="231F20"/>
              </w:rPr>
              <w:t>written</w:t>
            </w:r>
          </w:p>
        </w:tc>
        <w:tc>
          <w:tcPr>
            <w:tcW w:w="320" w:type="dxa"/>
            <w:vAlign w:val="bottom"/>
          </w:tcPr>
          <w:p>
            <w:pPr>
              <w:spacing w:after="0"/>
              <w:rPr>
                <w:sz w:val="13"/>
                <w:szCs w:val="13"/>
                <w:color w:val="auto"/>
              </w:rPr>
            </w:pPr>
          </w:p>
        </w:tc>
        <w:tc>
          <w:tcPr>
            <w:tcW w:w="740" w:type="dxa"/>
            <w:vAlign w:val="bottom"/>
          </w:tcPr>
          <w:p>
            <w:pPr>
              <w:ind w:left="80"/>
              <w:spacing w:after="0" w:line="151" w:lineRule="exact"/>
              <w:rPr>
                <w:sz w:val="20"/>
                <w:szCs w:val="20"/>
                <w:color w:val="auto"/>
              </w:rPr>
            </w:pPr>
            <w:r>
              <w:rPr>
                <w:rFonts w:ascii="Times New Roman" w:cs="Times New Roman" w:eastAsia="Times New Roman" w:hAnsi="Times New Roman"/>
                <w:sz w:val="14"/>
                <w:szCs w:val="14"/>
                <w:color w:val="231F20"/>
              </w:rPr>
              <w:t>consent</w:t>
            </w:r>
          </w:p>
        </w:tc>
        <w:tc>
          <w:tcPr>
            <w:tcW w:w="800" w:type="dxa"/>
            <w:vAlign w:val="bottom"/>
          </w:tcPr>
          <w:p>
            <w:pPr>
              <w:jc w:val="right"/>
              <w:ind w:right="368"/>
              <w:spacing w:after="0" w:line="151" w:lineRule="exact"/>
              <w:rPr>
                <w:sz w:val="20"/>
                <w:szCs w:val="20"/>
                <w:color w:val="auto"/>
              </w:rPr>
            </w:pPr>
            <w:r>
              <w:rPr>
                <w:rFonts w:ascii="Times New Roman" w:cs="Times New Roman" w:eastAsia="Times New Roman" w:hAnsi="Times New Roman"/>
                <w:sz w:val="14"/>
                <w:szCs w:val="14"/>
                <w:color w:val="231F20"/>
              </w:rPr>
              <w:t>of</w:t>
            </w:r>
          </w:p>
        </w:tc>
      </w:tr>
      <w:tr>
        <w:trPr>
          <w:trHeight w:val="162"/>
        </w:trPr>
        <w:tc>
          <w:tcPr>
            <w:tcW w:w="17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231F20"/>
              </w:rPr>
              <w:t>Sublandlord.</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231F20"/>
              </w:rPr>
              <w:t>Sublandlord</w:t>
            </w:r>
          </w:p>
        </w:tc>
        <w:tc>
          <w:tcPr>
            <w:tcW w:w="60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shall</w:t>
            </w:r>
          </w:p>
        </w:tc>
        <w:tc>
          <w:tcPr>
            <w:tcW w:w="700" w:type="dxa"/>
            <w:vAlign w:val="bottom"/>
          </w:tcPr>
          <w:p>
            <w:pPr>
              <w:ind w:left="180"/>
              <w:spacing w:after="0"/>
              <w:rPr>
                <w:sz w:val="20"/>
                <w:szCs w:val="20"/>
                <w:color w:val="auto"/>
              </w:rPr>
            </w:pPr>
            <w:r>
              <w:rPr>
                <w:rFonts w:ascii="Times New Roman" w:cs="Times New Roman" w:eastAsia="Times New Roman" w:hAnsi="Times New Roman"/>
                <w:sz w:val="14"/>
                <w:szCs w:val="14"/>
                <w:color w:val="231F20"/>
              </w:rPr>
              <w:t>have</w:t>
            </w:r>
          </w:p>
        </w:tc>
        <w:tc>
          <w:tcPr>
            <w:tcW w:w="300" w:type="dxa"/>
            <w:vAlign w:val="bottom"/>
          </w:tcPr>
          <w:p>
            <w:pPr>
              <w:ind w:left="80"/>
              <w:spacing w:after="0"/>
              <w:rPr>
                <w:sz w:val="20"/>
                <w:szCs w:val="20"/>
                <w:color w:val="auto"/>
              </w:rPr>
            </w:pPr>
            <w:r>
              <w:rPr>
                <w:rFonts w:ascii="Times New Roman" w:cs="Times New Roman" w:eastAsia="Times New Roman" w:hAnsi="Times New Roman"/>
                <w:sz w:val="14"/>
                <w:szCs w:val="14"/>
                <w:color w:val="231F20"/>
              </w:rPr>
              <w:t>no</w:t>
            </w:r>
          </w:p>
        </w:tc>
        <w:tc>
          <w:tcPr>
            <w:tcW w:w="760" w:type="dxa"/>
            <w:vAlign w:val="bottom"/>
          </w:tcPr>
          <w:p>
            <w:pPr>
              <w:ind w:left="260"/>
              <w:spacing w:after="0"/>
              <w:rPr>
                <w:sz w:val="20"/>
                <w:szCs w:val="20"/>
                <w:color w:val="auto"/>
              </w:rPr>
            </w:pPr>
            <w:r>
              <w:rPr>
                <w:rFonts w:ascii="Times New Roman" w:cs="Times New Roman" w:eastAsia="Times New Roman" w:hAnsi="Times New Roman"/>
                <w:sz w:val="14"/>
                <w:szCs w:val="14"/>
                <w:color w:val="231F20"/>
              </w:rPr>
              <w:t>liability</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231F20"/>
              </w:rPr>
              <w:t>to</w:t>
            </w:r>
          </w:p>
        </w:tc>
        <w:tc>
          <w:tcPr>
            <w:tcW w:w="900" w:type="dxa"/>
            <w:vAlign w:val="bottom"/>
          </w:tcPr>
          <w:p>
            <w:pPr>
              <w:ind w:left="220"/>
              <w:spacing w:after="0"/>
              <w:rPr>
                <w:sz w:val="20"/>
                <w:szCs w:val="20"/>
                <w:color w:val="auto"/>
              </w:rPr>
            </w:pPr>
            <w:r>
              <w:rPr>
                <w:rFonts w:ascii="Times New Roman" w:cs="Times New Roman" w:eastAsia="Times New Roman" w:hAnsi="Times New Roman"/>
                <w:sz w:val="14"/>
                <w:szCs w:val="14"/>
                <w:color w:val="231F20"/>
              </w:rPr>
              <w:t>Subtenant</w:t>
            </w:r>
          </w:p>
        </w:tc>
        <w:tc>
          <w:tcPr>
            <w:tcW w:w="500" w:type="dxa"/>
            <w:vAlign w:val="bottom"/>
          </w:tcPr>
          <w:p>
            <w:pPr>
              <w:ind w:left="220"/>
              <w:spacing w:after="0"/>
              <w:rPr>
                <w:sz w:val="20"/>
                <w:szCs w:val="20"/>
                <w:color w:val="auto"/>
              </w:rPr>
            </w:pPr>
            <w:r>
              <w:rPr>
                <w:rFonts w:ascii="Times New Roman" w:cs="Times New Roman" w:eastAsia="Times New Roman" w:hAnsi="Times New Roman"/>
                <w:sz w:val="14"/>
                <w:szCs w:val="14"/>
                <w:color w:val="231F20"/>
              </w:rPr>
              <w:t>of</w:t>
            </w:r>
          </w:p>
        </w:tc>
        <w:tc>
          <w:tcPr>
            <w:tcW w:w="560" w:type="dxa"/>
            <w:vAlign w:val="bottom"/>
          </w:tcPr>
          <w:p>
            <w:pPr>
              <w:ind w:left="180"/>
              <w:spacing w:after="0"/>
              <w:rPr>
                <w:sz w:val="20"/>
                <w:szCs w:val="20"/>
                <w:color w:val="auto"/>
              </w:rPr>
            </w:pPr>
            <w:r>
              <w:rPr>
                <w:rFonts w:ascii="Times New Roman" w:cs="Times New Roman" w:eastAsia="Times New Roman" w:hAnsi="Times New Roman"/>
                <w:sz w:val="14"/>
                <w:szCs w:val="14"/>
                <w:color w:val="231F20"/>
              </w:rPr>
              <w:t>any</w:t>
            </w:r>
          </w:p>
        </w:tc>
        <w:tc>
          <w:tcPr>
            <w:tcW w:w="640" w:type="dxa"/>
            <w:vAlign w:val="bottom"/>
          </w:tcPr>
          <w:p>
            <w:pPr>
              <w:ind w:left="180"/>
              <w:spacing w:after="0"/>
              <w:rPr>
                <w:sz w:val="20"/>
                <w:szCs w:val="20"/>
                <w:color w:val="auto"/>
              </w:rPr>
            </w:pPr>
            <w:r>
              <w:rPr>
                <w:rFonts w:ascii="Times New Roman" w:cs="Times New Roman" w:eastAsia="Times New Roman" w:hAnsi="Times New Roman"/>
                <w:sz w:val="14"/>
                <w:szCs w:val="14"/>
                <w:color w:val="231F20"/>
              </w:rPr>
              <w:t>kind</w:t>
            </w:r>
          </w:p>
        </w:tc>
        <w:tc>
          <w:tcPr>
            <w:tcW w:w="76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under</w:t>
            </w: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231F20"/>
              </w:rPr>
              <w:t>any</w:t>
            </w:r>
          </w:p>
        </w:tc>
        <w:tc>
          <w:tcPr>
            <w:tcW w:w="154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color w:val="231F20"/>
              </w:rPr>
              <w:t>circumstances</w:t>
            </w:r>
          </w:p>
        </w:tc>
      </w:tr>
      <w:tr>
        <w:trPr>
          <w:trHeight w:val="188"/>
        </w:trPr>
        <w:tc>
          <w:tcPr>
            <w:tcW w:w="6560" w:type="dxa"/>
            <w:vAlign w:val="bottom"/>
            <w:gridSpan w:val="10"/>
          </w:tcPr>
          <w:p>
            <w:pPr>
              <w:ind w:left="860"/>
              <w:spacing w:after="0"/>
              <w:rPr>
                <w:sz w:val="20"/>
                <w:szCs w:val="20"/>
                <w:color w:val="auto"/>
              </w:rPr>
            </w:pPr>
            <w:r>
              <w:rPr>
                <w:rFonts w:ascii="Times New Roman" w:cs="Times New Roman" w:eastAsia="Times New Roman" w:hAnsi="Times New Roman"/>
                <w:sz w:val="14"/>
                <w:szCs w:val="14"/>
                <w:color w:val="231F20"/>
              </w:rPr>
              <w:t>arising out of or in connection with the FF&amp;E or Subtenant’s use thereof. Subtenant hereby</w:t>
            </w: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518"/>
        </w:trPr>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3"/>
                <w:szCs w:val="13"/>
                <w:color w:val="auto"/>
              </w:rPr>
              <w:t>2</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8"/>
        </w:trPr>
        <w:tc>
          <w:tcPr>
            <w:tcW w:w="122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50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600" w:type="dxa"/>
            <w:vAlign w:val="bottom"/>
            <w:tcBorders>
              <w:bottom w:val="single" w:sz="8" w:color="9A9A9A"/>
            </w:tcBorders>
          </w:tcPr>
          <w:p>
            <w:pPr>
              <w:spacing w:after="0"/>
              <w:rPr>
                <w:sz w:val="19"/>
                <w:szCs w:val="19"/>
                <w:color w:val="auto"/>
              </w:rPr>
            </w:pPr>
          </w:p>
        </w:tc>
        <w:tc>
          <w:tcPr>
            <w:tcW w:w="7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760" w:type="dxa"/>
            <w:vAlign w:val="bottom"/>
            <w:tcBorders>
              <w:bottom w:val="single" w:sz="8" w:color="9A9A9A"/>
            </w:tcBorders>
          </w:tcPr>
          <w:p>
            <w:pPr>
              <w:spacing w:after="0"/>
              <w:rPr>
                <w:sz w:val="19"/>
                <w:szCs w:val="19"/>
                <w:color w:val="auto"/>
              </w:rPr>
            </w:pPr>
          </w:p>
        </w:tc>
        <w:tc>
          <w:tcPr>
            <w:tcW w:w="500" w:type="dxa"/>
            <w:vAlign w:val="bottom"/>
            <w:tcBorders>
              <w:bottom w:val="single" w:sz="8" w:color="9A9A9A"/>
            </w:tcBorders>
          </w:tcPr>
          <w:p>
            <w:pPr>
              <w:spacing w:after="0"/>
              <w:rPr>
                <w:sz w:val="19"/>
                <w:szCs w:val="19"/>
                <w:color w:val="auto"/>
              </w:rPr>
            </w:pPr>
          </w:p>
        </w:tc>
        <w:tc>
          <w:tcPr>
            <w:tcW w:w="900" w:type="dxa"/>
            <w:vAlign w:val="bottom"/>
            <w:tcBorders>
              <w:bottom w:val="single" w:sz="8" w:color="9A9A9A"/>
            </w:tcBorders>
          </w:tcPr>
          <w:p>
            <w:pPr>
              <w:spacing w:after="0"/>
              <w:rPr>
                <w:sz w:val="19"/>
                <w:szCs w:val="19"/>
                <w:color w:val="auto"/>
              </w:rPr>
            </w:pPr>
          </w:p>
        </w:tc>
        <w:tc>
          <w:tcPr>
            <w:tcW w:w="50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76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74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-29210</wp:posOffset>
            </wp:positionV>
            <wp:extent cx="3111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-29210</wp:posOffset>
            </wp:positionV>
            <wp:extent cx="3111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1115" cy="42545"/>
                    </a:xfrm>
                    <a:prstGeom prst="rect">
                      <a:avLst/>
                    </a:prstGeom>
                    <a:noFill/>
                  </pic:spPr>
                </pic:pic>
              </a:graphicData>
            </a:graphic>
          </wp:anchor>
        </w:drawing>
      </w:r>
    </w:p>
    <w:p>
      <w:pPr>
        <w:sectPr>
          <w:pgSz w:w="11900" w:h="16838" w:orient="portrait"/>
          <w:cols w:equalWidth="0" w:num="1">
            <w:col w:w="10880"/>
          </w:cols>
          <w:pgMar w:left="300" w:top="749" w:right="719" w:bottom="1440" w:gutter="0" w:footer="0" w:header="0"/>
        </w:sectPr>
      </w:pPr>
    </w:p>
    <w:bookmarkStart w:id="50" w:name="page51"/>
    <w:bookmarkEnd w:id="50"/>
    <w:p>
      <w:pPr>
        <w:jc w:val="both"/>
        <w:spacing w:after="0" w:line="253" w:lineRule="auto"/>
        <w:rPr>
          <w:sz w:val="20"/>
          <w:szCs w:val="20"/>
          <w:color w:val="auto"/>
        </w:rPr>
      </w:pPr>
      <w:r>
        <w:rPr>
          <w:rFonts w:ascii="Times New Roman" w:cs="Times New Roman" w:eastAsia="Times New Roman" w:hAnsi="Times New Roman"/>
          <w:sz w:val="14"/>
          <w:szCs w:val="14"/>
          <w:color w:val="231F20"/>
        </w:rPr>
        <w:t>releases Sublandlord from and against any and all claims, damages, costs, expenses and liabilities arising out of or in connection with the FF&amp;E, and/or Subtenant’s use thereof, including, without limitation, any taxes accruing on or after the Commencement Date with respect to the FF&amp;E and/or Subtenant’s</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231F20"/>
        </w:rPr>
        <w:t>use thereof, and any related interest and penalties resulting from late payment by Subtenant thereof (collectively, “</w:t>
      </w:r>
      <w:r>
        <w:rPr>
          <w:rFonts w:ascii="Times New Roman" w:cs="Times New Roman" w:eastAsia="Times New Roman" w:hAnsi="Times New Roman"/>
          <w:sz w:val="14"/>
          <w:szCs w:val="14"/>
          <w:b w:val="1"/>
          <w:bCs w:val="1"/>
          <w:color w:val="231F20"/>
        </w:rPr>
        <w:t>FF&amp;E Claims</w:t>
      </w:r>
      <w:r>
        <w:rPr>
          <w:rFonts w:ascii="Times New Roman" w:cs="Times New Roman" w:eastAsia="Times New Roman" w:hAnsi="Times New Roman"/>
          <w:sz w:val="14"/>
          <w:szCs w:val="14"/>
          <w:color w:val="231F20"/>
        </w:rPr>
        <w:t>”), and Subtenant shall indemnify, defend and hold Sublandlord harmless from and against any and all FF&amp;E Claims accruing on and after the Commencement Date. To the extent Sublandlord may have a lien on, security interest in or right to distrain with regard to the fixtures, equipment, inventory or other property of Subtenant (including, without limitation, the FF&amp;E once the FF&amp;E has become property of Subtenant as provided in this Section, but not before) by law or otherwise, Sublandlord hereby waives and agrees not to assert the same.</w:t>
      </w:r>
    </w:p>
    <w:p>
      <w:pPr>
        <w:spacing w:after="0" w:line="276" w:lineRule="exact"/>
        <w:rPr>
          <w:sz w:val="20"/>
          <w:szCs w:val="20"/>
          <w:color w:val="auto"/>
        </w:rPr>
      </w:pPr>
    </w:p>
    <w:p>
      <w:pPr>
        <w:ind w:left="860" w:hanging="432"/>
        <w:spacing w:after="0"/>
        <w:tabs>
          <w:tab w:leader="none" w:pos="860" w:val="left"/>
        </w:tabs>
        <w:numPr>
          <w:ilvl w:val="0"/>
          <w:numId w:val="12"/>
        </w:numPr>
        <w:rPr>
          <w:rFonts w:ascii="Times New Roman" w:cs="Times New Roman" w:eastAsia="Times New Roman" w:hAnsi="Times New Roman"/>
          <w:sz w:val="14"/>
          <w:szCs w:val="14"/>
          <w:b w:val="1"/>
          <w:bCs w:val="1"/>
          <w:color w:val="231F20"/>
        </w:rPr>
      </w:pPr>
      <w:r>
        <w:rPr>
          <w:rFonts w:ascii="Times New Roman" w:cs="Times New Roman" w:eastAsia="Times New Roman" w:hAnsi="Times New Roman"/>
          <w:sz w:val="14"/>
          <w:szCs w:val="14"/>
          <w:b w:val="1"/>
          <w:bCs w:val="1"/>
          <w:color w:val="231F20"/>
        </w:rPr>
        <w:t>TERM</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14"/>
                <w:szCs w:val="14"/>
                <w:color w:val="231F20"/>
              </w:rPr>
              <w:t>3.1</w:t>
            </w:r>
          </w:p>
        </w:tc>
        <w:tc>
          <w:tcPr>
            <w:tcW w:w="440" w:type="dxa"/>
            <w:vAlign w:val="bottom"/>
          </w:tcPr>
          <w:p>
            <w:pPr>
              <w:spacing w:after="0"/>
              <w:rPr>
                <w:sz w:val="14"/>
                <w:szCs w:val="14"/>
                <w:color w:val="auto"/>
              </w:rPr>
            </w:pPr>
          </w:p>
        </w:tc>
        <w:tc>
          <w:tcPr>
            <w:tcW w:w="7860" w:type="dxa"/>
            <w:vAlign w:val="bottom"/>
            <w:gridSpan w:val="17"/>
          </w:tcPr>
          <w:p>
            <w:pPr>
              <w:jc w:val="right"/>
              <w:spacing w:after="0"/>
              <w:rPr>
                <w:sz w:val="20"/>
                <w:szCs w:val="20"/>
                <w:color w:val="auto"/>
              </w:rPr>
            </w:pPr>
            <w:r>
              <w:rPr>
                <w:rFonts w:ascii="Times New Roman" w:cs="Times New Roman" w:eastAsia="Times New Roman" w:hAnsi="Times New Roman"/>
                <w:sz w:val="14"/>
                <w:szCs w:val="14"/>
                <w:color w:val="231F20"/>
              </w:rPr>
              <w:t>The term of this Sublease (the “</w:t>
            </w:r>
            <w:r>
              <w:rPr>
                <w:rFonts w:ascii="Times New Roman" w:cs="Times New Roman" w:eastAsia="Times New Roman" w:hAnsi="Times New Roman"/>
                <w:sz w:val="14"/>
                <w:szCs w:val="14"/>
                <w:b w:val="1"/>
                <w:bCs w:val="1"/>
                <w:color w:val="231F20"/>
              </w:rPr>
              <w:t>Term</w:t>
            </w:r>
            <w:r>
              <w:rPr>
                <w:rFonts w:ascii="Times New Roman" w:cs="Times New Roman" w:eastAsia="Times New Roman" w:hAnsi="Times New Roman"/>
                <w:sz w:val="14"/>
                <w:szCs w:val="14"/>
                <w:color w:val="231F20"/>
              </w:rPr>
              <w:t>”) shall commence on the Commencement Date (as defined below), and shall expire at midnight</w:t>
            </w:r>
          </w:p>
        </w:tc>
        <w:tc>
          <w:tcPr>
            <w:tcW w:w="0" w:type="dxa"/>
            <w:vAlign w:val="bottom"/>
          </w:tcPr>
          <w:p>
            <w:pPr>
              <w:spacing w:after="0"/>
              <w:rPr>
                <w:sz w:val="1"/>
                <w:szCs w:val="1"/>
                <w:color w:val="auto"/>
              </w:rPr>
            </w:pPr>
          </w:p>
        </w:tc>
      </w:tr>
      <w:tr>
        <w:trPr>
          <w:trHeight w:val="190"/>
        </w:trPr>
        <w:tc>
          <w:tcPr>
            <w:tcW w:w="8600" w:type="dxa"/>
            <w:vAlign w:val="bottom"/>
            <w:gridSpan w:val="19"/>
          </w:tcPr>
          <w:p>
            <w:pPr>
              <w:spacing w:after="0"/>
              <w:rPr>
                <w:sz w:val="20"/>
                <w:szCs w:val="20"/>
                <w:color w:val="auto"/>
              </w:rPr>
            </w:pPr>
            <w:r>
              <w:rPr>
                <w:rFonts w:ascii="Times New Roman" w:cs="Times New Roman" w:eastAsia="Times New Roman" w:hAnsi="Times New Roman"/>
                <w:sz w:val="14"/>
                <w:szCs w:val="14"/>
                <w:color w:val="231F20"/>
              </w:rPr>
              <w:t>on August 31, 2030 (the “</w:t>
            </w:r>
            <w:r>
              <w:rPr>
                <w:rFonts w:ascii="Times New Roman" w:cs="Times New Roman" w:eastAsia="Times New Roman" w:hAnsi="Times New Roman"/>
                <w:sz w:val="14"/>
                <w:szCs w:val="14"/>
                <w:b w:val="1"/>
                <w:bCs w:val="1"/>
                <w:color w:val="231F20"/>
              </w:rPr>
              <w:t>Expiration Date</w:t>
            </w:r>
            <w:r>
              <w:rPr>
                <w:rFonts w:ascii="Times New Roman" w:cs="Times New Roman" w:eastAsia="Times New Roman" w:hAnsi="Times New Roman"/>
                <w:sz w:val="14"/>
                <w:szCs w:val="14"/>
                <w:color w:val="231F20"/>
              </w:rPr>
              <w:t>”), unless sooner terminated or cancelled in accordance with the terms and conditions of this Sublease.</w:t>
            </w: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231F20"/>
              </w:rPr>
              <w:t>For</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231F20"/>
              </w:rPr>
              <w:t>purposes</w:t>
            </w:r>
          </w:p>
        </w:tc>
        <w:tc>
          <w:tcPr>
            <w:tcW w:w="44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231F20"/>
              </w:rPr>
              <w:t>of</w:t>
            </w:r>
          </w:p>
        </w:tc>
        <w:tc>
          <w:tcPr>
            <w:tcW w:w="520" w:type="dxa"/>
            <w:vAlign w:val="bottom"/>
          </w:tcPr>
          <w:p>
            <w:pPr>
              <w:ind w:left="260"/>
              <w:spacing w:after="0"/>
              <w:rPr>
                <w:sz w:val="20"/>
                <w:szCs w:val="20"/>
                <w:color w:val="auto"/>
              </w:rPr>
            </w:pPr>
            <w:r>
              <w:rPr>
                <w:rFonts w:ascii="Times New Roman" w:cs="Times New Roman" w:eastAsia="Times New Roman" w:hAnsi="Times New Roman"/>
                <w:sz w:val="14"/>
                <w:szCs w:val="14"/>
                <w:color w:val="231F20"/>
              </w:rPr>
              <w:t>this</w:t>
            </w:r>
          </w:p>
        </w:tc>
        <w:tc>
          <w:tcPr>
            <w:tcW w:w="9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231F20"/>
              </w:rPr>
              <w:t>Sublease,</w:t>
            </w:r>
          </w:p>
        </w:tc>
        <w:tc>
          <w:tcPr>
            <w:tcW w:w="600" w:type="dxa"/>
            <w:vAlign w:val="bottom"/>
          </w:tcPr>
          <w:p>
            <w:pPr>
              <w:ind w:left="300"/>
              <w:spacing w:after="0"/>
              <w:rPr>
                <w:sz w:val="20"/>
                <w:szCs w:val="20"/>
                <w:color w:val="auto"/>
              </w:rPr>
            </w:pPr>
            <w:r>
              <w:rPr>
                <w:rFonts w:ascii="Times New Roman" w:cs="Times New Roman" w:eastAsia="Times New Roman" w:hAnsi="Times New Roman"/>
                <w:sz w:val="14"/>
                <w:szCs w:val="14"/>
                <w:color w:val="231F20"/>
              </w:rPr>
              <w:t>the</w:t>
            </w:r>
          </w:p>
        </w:tc>
        <w:tc>
          <w:tcPr>
            <w:tcW w:w="138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b w:val="1"/>
                <w:bCs w:val="1"/>
                <w:color w:val="231F20"/>
              </w:rPr>
              <w:t>Commencement</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231F20"/>
              </w:rPr>
              <w:t>its</w:t>
            </w: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231F20"/>
              </w:rPr>
              <w:t>Date</w:t>
            </w:r>
            <w:r>
              <w:rPr>
                <w:rFonts w:ascii="Times New Roman" w:cs="Times New Roman" w:eastAsia="Times New Roman" w:hAnsi="Times New Roman"/>
                <w:sz w:val="14"/>
                <w:szCs w:val="14"/>
                <w:color w:val="231F20"/>
              </w:rPr>
              <w:t>”</w:t>
            </w:r>
          </w:p>
        </w:tc>
        <w:tc>
          <w:tcPr>
            <w:tcW w:w="540" w:type="dxa"/>
            <w:vAlign w:val="bottom"/>
          </w:tcPr>
          <w:p>
            <w:pPr>
              <w:ind w:left="100"/>
              <w:spacing w:after="0"/>
              <w:rPr>
                <w:sz w:val="20"/>
                <w:szCs w:val="20"/>
                <w:color w:val="auto"/>
              </w:rPr>
            </w:pPr>
            <w:r>
              <w:rPr>
                <w:rFonts w:ascii="Times New Roman" w:cs="Times New Roman" w:eastAsia="Times New Roman" w:hAnsi="Times New Roman"/>
                <w:sz w:val="14"/>
                <w:szCs w:val="14"/>
                <w:color w:val="231F20"/>
              </w:rPr>
              <w:t>means</w:t>
            </w:r>
          </w:p>
        </w:tc>
        <w:tc>
          <w:tcPr>
            <w:tcW w:w="280" w:type="dxa"/>
            <w:vAlign w:val="bottom"/>
          </w:tcPr>
          <w:p>
            <w:pPr>
              <w:spacing w:after="0"/>
              <w:rPr>
                <w:sz w:val="15"/>
                <w:szCs w:val="15"/>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the</w:t>
            </w:r>
          </w:p>
        </w:tc>
        <w:tc>
          <w:tcPr>
            <w:tcW w:w="440" w:type="dxa"/>
            <w:vAlign w:val="bottom"/>
          </w:tcPr>
          <w:p>
            <w:pPr>
              <w:ind w:left="180"/>
              <w:spacing w:after="0"/>
              <w:rPr>
                <w:sz w:val="20"/>
                <w:szCs w:val="20"/>
                <w:color w:val="auto"/>
              </w:rPr>
            </w:pPr>
            <w:r>
              <w:rPr>
                <w:rFonts w:ascii="Times New Roman" w:cs="Times New Roman" w:eastAsia="Times New Roman" w:hAnsi="Times New Roman"/>
                <w:sz w:val="14"/>
                <w:szCs w:val="14"/>
                <w:color w:val="231F20"/>
                <w:w w:val="96"/>
              </w:rPr>
              <w:t>later</w:t>
            </w:r>
          </w:p>
        </w:tc>
        <w:tc>
          <w:tcPr>
            <w:tcW w:w="160" w:type="dxa"/>
            <w:vAlign w:val="bottom"/>
          </w:tcPr>
          <w:p>
            <w:pPr>
              <w:spacing w:after="0"/>
              <w:rPr>
                <w:sz w:val="15"/>
                <w:szCs w:val="15"/>
                <w:color w:val="auto"/>
              </w:rPr>
            </w:pPr>
          </w:p>
        </w:tc>
        <w:tc>
          <w:tcPr>
            <w:tcW w:w="6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231F20"/>
              </w:rPr>
              <w:t>of:</w:t>
            </w:r>
          </w:p>
        </w:tc>
        <w:tc>
          <w:tcPr>
            <w:tcW w:w="4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231F20"/>
              </w:rPr>
              <w:t>(a)</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26"/>
        </w:trPr>
        <w:tc>
          <w:tcPr>
            <w:tcW w:w="3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231F20"/>
              </w:rPr>
              <w:t>and</w:t>
            </w:r>
          </w:p>
        </w:tc>
        <w:tc>
          <w:tcPr>
            <w:tcW w:w="42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231F20"/>
              </w:rPr>
              <w:t>(b)</w:t>
            </w:r>
          </w:p>
        </w:tc>
        <w:tc>
          <w:tcPr>
            <w:tcW w:w="50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231F20"/>
              </w:rPr>
              <w:t>the</w:t>
            </w:r>
          </w:p>
        </w:tc>
        <w:tc>
          <w:tcPr>
            <w:tcW w:w="440" w:type="dxa"/>
            <w:vAlign w:val="bottom"/>
          </w:tcPr>
          <w:p>
            <w:pPr>
              <w:jc w:val="center"/>
              <w:ind w:left="48"/>
              <w:spacing w:after="0" w:line="126" w:lineRule="exact"/>
              <w:rPr>
                <w:sz w:val="20"/>
                <w:szCs w:val="20"/>
                <w:color w:val="auto"/>
              </w:rPr>
            </w:pPr>
            <w:r>
              <w:rPr>
                <w:rFonts w:ascii="Times New Roman" w:cs="Times New Roman" w:eastAsia="Times New Roman" w:hAnsi="Times New Roman"/>
                <w:sz w:val="14"/>
                <w:szCs w:val="14"/>
                <w:color w:val="231F20"/>
              </w:rPr>
              <w:t>date</w:t>
            </w:r>
          </w:p>
        </w:tc>
        <w:tc>
          <w:tcPr>
            <w:tcW w:w="520" w:type="dxa"/>
            <w:vAlign w:val="bottom"/>
          </w:tcPr>
          <w:p>
            <w:pPr>
              <w:ind w:left="240"/>
              <w:spacing w:after="0" w:line="126" w:lineRule="exact"/>
              <w:rPr>
                <w:sz w:val="20"/>
                <w:szCs w:val="20"/>
                <w:color w:val="auto"/>
              </w:rPr>
            </w:pPr>
            <w:r>
              <w:rPr>
                <w:rFonts w:ascii="Times New Roman" w:cs="Times New Roman" w:eastAsia="Times New Roman" w:hAnsi="Times New Roman"/>
                <w:sz w:val="14"/>
                <w:szCs w:val="14"/>
                <w:color w:val="231F20"/>
              </w:rPr>
              <w:t>on</w:t>
            </w:r>
          </w:p>
        </w:tc>
        <w:tc>
          <w:tcPr>
            <w:tcW w:w="60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231F20"/>
              </w:rPr>
              <w:t>which</w:t>
            </w:r>
          </w:p>
        </w:tc>
        <w:tc>
          <w:tcPr>
            <w:tcW w:w="960" w:type="dxa"/>
            <w:vAlign w:val="bottom"/>
            <w:gridSpan w:val="2"/>
          </w:tcPr>
          <w:p>
            <w:pPr>
              <w:ind w:left="200"/>
              <w:spacing w:after="0" w:line="126" w:lineRule="exact"/>
              <w:rPr>
                <w:sz w:val="20"/>
                <w:szCs w:val="20"/>
                <w:color w:val="auto"/>
              </w:rPr>
            </w:pPr>
            <w:r>
              <w:rPr>
                <w:rFonts w:ascii="Times New Roman" w:cs="Times New Roman" w:eastAsia="Times New Roman" w:hAnsi="Times New Roman"/>
                <w:sz w:val="14"/>
                <w:szCs w:val="14"/>
                <w:color w:val="231F20"/>
              </w:rPr>
              <w:t>Landlord</w:t>
            </w:r>
          </w:p>
        </w:tc>
        <w:tc>
          <w:tcPr>
            <w:tcW w:w="440" w:type="dxa"/>
            <w:vAlign w:val="bottom"/>
          </w:tcPr>
          <w:p>
            <w:pPr>
              <w:jc w:val="right"/>
              <w:ind w:right="108"/>
              <w:spacing w:after="0" w:line="126" w:lineRule="exact"/>
              <w:rPr>
                <w:sz w:val="20"/>
                <w:szCs w:val="20"/>
                <w:color w:val="auto"/>
              </w:rPr>
            </w:pPr>
            <w:r>
              <w:rPr>
                <w:rFonts w:ascii="Times New Roman" w:cs="Times New Roman" w:eastAsia="Times New Roman" w:hAnsi="Times New Roman"/>
                <w:sz w:val="14"/>
                <w:szCs w:val="14"/>
                <w:color w:val="231F20"/>
              </w:rPr>
              <w:t>has</w:t>
            </w:r>
          </w:p>
        </w:tc>
        <w:tc>
          <w:tcPr>
            <w:tcW w:w="70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231F20"/>
              </w:rPr>
              <w:t>delivered</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231F20"/>
                <w:w w:val="98"/>
              </w:rPr>
              <w:t>and</w:t>
            </w:r>
          </w:p>
        </w:tc>
        <w:tc>
          <w:tcPr>
            <w:tcW w:w="180" w:type="dxa"/>
            <w:vAlign w:val="bottom"/>
            <w:vMerge w:val="continue"/>
          </w:tcPr>
          <w:p>
            <w:pPr>
              <w:spacing w:after="0"/>
              <w:rPr>
                <w:sz w:val="10"/>
                <w:szCs w:val="10"/>
                <w:color w:val="auto"/>
              </w:rPr>
            </w:pPr>
          </w:p>
        </w:tc>
        <w:tc>
          <w:tcPr>
            <w:tcW w:w="760" w:type="dxa"/>
            <w:vAlign w:val="bottom"/>
          </w:tcPr>
          <w:p>
            <w:pPr>
              <w:ind w:left="260"/>
              <w:spacing w:after="0" w:line="126" w:lineRule="exact"/>
              <w:rPr>
                <w:sz w:val="20"/>
                <w:szCs w:val="20"/>
                <w:color w:val="auto"/>
              </w:rPr>
            </w:pPr>
            <w:r>
              <w:rPr>
                <w:rFonts w:ascii="Times New Roman" w:cs="Times New Roman" w:eastAsia="Times New Roman" w:hAnsi="Times New Roman"/>
                <w:sz w:val="14"/>
                <w:szCs w:val="14"/>
                <w:color w:val="231F20"/>
              </w:rPr>
              <w:t>written</w:t>
            </w:r>
          </w:p>
        </w:tc>
        <w:tc>
          <w:tcPr>
            <w:tcW w:w="820" w:type="dxa"/>
            <w:vAlign w:val="bottom"/>
            <w:gridSpan w:val="2"/>
          </w:tcPr>
          <w:p>
            <w:pPr>
              <w:ind w:left="220"/>
              <w:spacing w:after="0" w:line="126" w:lineRule="exact"/>
              <w:rPr>
                <w:sz w:val="20"/>
                <w:szCs w:val="20"/>
                <w:color w:val="auto"/>
              </w:rPr>
            </w:pPr>
            <w:r>
              <w:rPr>
                <w:rFonts w:ascii="Times New Roman" w:cs="Times New Roman" w:eastAsia="Times New Roman" w:hAnsi="Times New Roman"/>
                <w:sz w:val="14"/>
                <w:szCs w:val="14"/>
                <w:color w:val="231F20"/>
              </w:rPr>
              <w:t>consent</w:t>
            </w:r>
          </w:p>
        </w:tc>
        <w:tc>
          <w:tcPr>
            <w:tcW w:w="40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231F20"/>
              </w:rPr>
              <w:t>to</w:t>
            </w:r>
          </w:p>
        </w:tc>
        <w:tc>
          <w:tcPr>
            <w:tcW w:w="44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231F20"/>
              </w:rPr>
              <w:t>this</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231F20"/>
              </w:rPr>
              <w:t>in</w:t>
            </w:r>
          </w:p>
        </w:tc>
        <w:tc>
          <w:tcPr>
            <w:tcW w:w="680" w:type="dxa"/>
            <w:vAlign w:val="bottom"/>
          </w:tcPr>
          <w:p>
            <w:pPr>
              <w:jc w:val="center"/>
              <w:ind w:right="8"/>
              <w:spacing w:after="0" w:line="126" w:lineRule="exact"/>
              <w:rPr>
                <w:sz w:val="20"/>
                <w:szCs w:val="20"/>
                <w:color w:val="auto"/>
              </w:rPr>
            </w:pPr>
            <w:r>
              <w:rPr>
                <w:rFonts w:ascii="Times New Roman" w:cs="Times New Roman" w:eastAsia="Times New Roman" w:hAnsi="Times New Roman"/>
                <w:sz w:val="14"/>
                <w:szCs w:val="14"/>
                <w:color w:val="231F20"/>
              </w:rPr>
              <w:t>Sublease</w:t>
            </w:r>
          </w:p>
        </w:tc>
        <w:tc>
          <w:tcPr>
            <w:tcW w:w="9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b w:val="1"/>
                <w:bCs w:val="1"/>
                <w:color w:val="231F20"/>
              </w:rPr>
              <w:t>Landlord’s</w:t>
            </w:r>
          </w:p>
        </w:tc>
        <w:tc>
          <w:tcPr>
            <w:tcW w:w="0" w:type="dxa"/>
            <w:vAlign w:val="bottom"/>
          </w:tcPr>
          <w:p>
            <w:pPr>
              <w:spacing w:after="0"/>
              <w:rPr>
                <w:sz w:val="1"/>
                <w:szCs w:val="1"/>
                <w:color w:val="auto"/>
              </w:rPr>
            </w:pPr>
          </w:p>
        </w:tc>
      </w:tr>
      <w:tr>
        <w:trPr>
          <w:trHeight w:val="142"/>
        </w:trPr>
        <w:tc>
          <w:tcPr>
            <w:tcW w:w="7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231F20"/>
              </w:rPr>
              <w:t>Consent</w:t>
            </w:r>
            <w:r>
              <w:rPr>
                <w:rFonts w:ascii="Times New Roman" w:cs="Times New Roman" w:eastAsia="Times New Roman" w:hAnsi="Times New Roman"/>
                <w:sz w:val="14"/>
                <w:szCs w:val="14"/>
                <w:color w:val="231F20"/>
              </w:rPr>
              <w:t>”).</w:t>
            </w:r>
          </w:p>
        </w:tc>
        <w:tc>
          <w:tcPr>
            <w:tcW w:w="50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231F20"/>
              </w:rPr>
              <w:t>Base</w:t>
            </w:r>
          </w:p>
        </w:tc>
        <w:tc>
          <w:tcPr>
            <w:tcW w:w="4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231F20"/>
                <w:w w:val="98"/>
              </w:rPr>
              <w:t>Rent</w:t>
            </w:r>
          </w:p>
        </w:tc>
        <w:tc>
          <w:tcPr>
            <w:tcW w:w="52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color w:val="231F20"/>
              </w:rPr>
              <w:t>(as</w:t>
            </w:r>
          </w:p>
        </w:tc>
        <w:tc>
          <w:tcPr>
            <w:tcW w:w="60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231F20"/>
              </w:rPr>
              <w:t>defined</w:t>
            </w:r>
          </w:p>
        </w:tc>
        <w:tc>
          <w:tcPr>
            <w:tcW w:w="36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231F20"/>
              </w:rPr>
              <w:t>in</w:t>
            </w:r>
          </w:p>
        </w:tc>
        <w:tc>
          <w:tcPr>
            <w:tcW w:w="6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231F20"/>
              </w:rPr>
              <w:t>Section</w:t>
            </w:r>
          </w:p>
        </w:tc>
        <w:tc>
          <w:tcPr>
            <w:tcW w:w="4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231F20"/>
              </w:rPr>
              <w:t>6.1</w:t>
            </w:r>
          </w:p>
        </w:tc>
        <w:tc>
          <w:tcPr>
            <w:tcW w:w="70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231F20"/>
              </w:rPr>
              <w:t>below)</w:t>
            </w:r>
          </w:p>
        </w:tc>
        <w:tc>
          <w:tcPr>
            <w:tcW w:w="2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231F20"/>
              </w:rPr>
              <w:t>Additional</w:t>
            </w:r>
          </w:p>
        </w:tc>
        <w:tc>
          <w:tcPr>
            <w:tcW w:w="54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231F20"/>
              </w:rPr>
              <w:t>Rent</w:t>
            </w:r>
          </w:p>
        </w:tc>
        <w:tc>
          <w:tcPr>
            <w:tcW w:w="2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231F20"/>
              </w:rPr>
              <w:t>(as</w:t>
            </w:r>
          </w:p>
        </w:tc>
        <w:tc>
          <w:tcPr>
            <w:tcW w:w="84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4"/>
                <w:szCs w:val="14"/>
                <w:color w:val="231F20"/>
              </w:rPr>
              <w:t>defined</w:t>
            </w:r>
          </w:p>
        </w:tc>
        <w:tc>
          <w:tcPr>
            <w:tcW w:w="160" w:type="dxa"/>
            <w:vAlign w:val="bottom"/>
            <w:vMerge w:val="continue"/>
          </w:tcPr>
          <w:p>
            <w:pPr>
              <w:spacing w:after="0"/>
              <w:rPr>
                <w:sz w:val="12"/>
                <w:szCs w:val="12"/>
                <w:color w:val="auto"/>
              </w:rPr>
            </w:pPr>
          </w:p>
        </w:tc>
        <w:tc>
          <w:tcPr>
            <w:tcW w:w="68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color w:val="231F20"/>
              </w:rPr>
              <w:t>Section</w:t>
            </w:r>
          </w:p>
        </w:tc>
        <w:tc>
          <w:tcPr>
            <w:tcW w:w="4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231F20"/>
              </w:rPr>
              <w:t>6.2</w:t>
            </w: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231F20"/>
              </w:rPr>
              <w:t>below)</w:t>
            </w:r>
          </w:p>
        </w:tc>
        <w:tc>
          <w:tcPr>
            <w:tcW w:w="0" w:type="dxa"/>
            <w:vAlign w:val="bottom"/>
          </w:tcPr>
          <w:p>
            <w:pPr>
              <w:spacing w:after="0"/>
              <w:rPr>
                <w:sz w:val="1"/>
                <w:szCs w:val="1"/>
                <w:color w:val="auto"/>
              </w:rPr>
            </w:pPr>
          </w:p>
        </w:tc>
      </w:tr>
    </w:tbl>
    <w:p>
      <w:pPr>
        <w:jc w:val="both"/>
        <w:spacing w:after="0" w:line="229" w:lineRule="auto"/>
        <w:rPr>
          <w:sz w:val="20"/>
          <w:szCs w:val="20"/>
          <w:color w:val="auto"/>
        </w:rPr>
      </w:pPr>
      <w:r>
        <w:rPr>
          <w:rFonts w:ascii="Times New Roman" w:cs="Times New Roman" w:eastAsia="Times New Roman" w:hAnsi="Times New Roman"/>
          <w:sz w:val="14"/>
          <w:szCs w:val="14"/>
          <w:color w:val="231F20"/>
        </w:rPr>
        <w:t>shall commence to accrue on the Commencement Date, and Subtenant shall have no obligation to pay Base Rent or Additional Rent for any period prior to the Commencement Date, including the Early Access Period (as defined in Section 4.1 below).</w:t>
      </w:r>
    </w:p>
    <w:p>
      <w:pPr>
        <w:spacing w:after="0" w:line="2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231F20"/>
        </w:rPr>
        <w:t>Notwithstanding anything to the contrary in this Sublease, Sublandlord may remain in and use the Phase II Subleased Premises through and including the day before the Sublease Full Commencement Date (as defined below), and Subtenant shall have no use or access rights with respect to the Phase II Subleased Premises during such period. For the period beginning on the Execution Date through and including the day before the Sublease Full Commencement Date, “</w:t>
      </w:r>
      <w:r>
        <w:rPr>
          <w:rFonts w:ascii="Times New Roman" w:cs="Times New Roman" w:eastAsia="Times New Roman" w:hAnsi="Times New Roman"/>
          <w:sz w:val="14"/>
          <w:szCs w:val="14"/>
          <w:b w:val="1"/>
          <w:bCs w:val="1"/>
          <w:color w:val="231F20"/>
        </w:rPr>
        <w:t>Subleased Premises</w:t>
      </w:r>
      <w:r>
        <w:rPr>
          <w:rFonts w:ascii="Times New Roman" w:cs="Times New Roman" w:eastAsia="Times New Roman" w:hAnsi="Times New Roman"/>
          <w:sz w:val="14"/>
          <w:szCs w:val="14"/>
          <w:color w:val="231F20"/>
        </w:rPr>
        <w:t>” shall mean for all purposes in this Sublease the Phase I Subleased Premises. Commencing on the Sublease Full Commencement Date, Sublandlord shall vacate the Phase II Subleased Premises and deliver the same to Subtenant in broom clean condition, and the “</w:t>
      </w:r>
      <w:r>
        <w:rPr>
          <w:rFonts w:ascii="Times New Roman" w:cs="Times New Roman" w:eastAsia="Times New Roman" w:hAnsi="Times New Roman"/>
          <w:sz w:val="14"/>
          <w:szCs w:val="14"/>
          <w:b w:val="1"/>
          <w:bCs w:val="1"/>
          <w:color w:val="231F20"/>
        </w:rPr>
        <w:t>Subleased Premises</w:t>
      </w:r>
      <w:r>
        <w:rPr>
          <w:rFonts w:ascii="Times New Roman" w:cs="Times New Roman" w:eastAsia="Times New Roman" w:hAnsi="Times New Roman"/>
          <w:sz w:val="14"/>
          <w:szCs w:val="14"/>
          <w:color w:val="231F20"/>
        </w:rPr>
        <w:t>” shall thereafter mean all of the Subleased Premises, including, without limitation, the Phase I Subleased Premises and the Phase II Subleased Premises. The Subleased Premises shall at all times include access to the fitness center and first floor bathroom. The “</w:t>
      </w:r>
      <w:r>
        <w:rPr>
          <w:rFonts w:ascii="Times New Roman" w:cs="Times New Roman" w:eastAsia="Times New Roman" w:hAnsi="Times New Roman"/>
          <w:sz w:val="14"/>
          <w:szCs w:val="14"/>
          <w:b w:val="1"/>
          <w:bCs w:val="1"/>
          <w:color w:val="231F20"/>
        </w:rPr>
        <w:t>Sublease Full Commencement Date</w:t>
      </w:r>
      <w:r>
        <w:rPr>
          <w:rFonts w:ascii="Times New Roman" w:cs="Times New Roman" w:eastAsia="Times New Roman" w:hAnsi="Times New Roman"/>
          <w:sz w:val="14"/>
          <w:szCs w:val="14"/>
          <w:color w:val="231F20"/>
        </w:rPr>
        <w:t xml:space="preserve">” shall mean the date on which Sublandlord has fully vacated the Phase II Subleased Premises and delivered exclusive possession thereof to Subtenant, which shall be no later than </w:t>
      </w:r>
      <w:r>
        <w:rPr>
          <w:rFonts w:ascii="Times New Roman" w:cs="Times New Roman" w:eastAsia="Times New Roman" w:hAnsi="Times New Roman"/>
          <w:sz w:val="14"/>
          <w:szCs w:val="14"/>
          <w:b w:val="1"/>
          <w:bCs w:val="1"/>
          <w:color w:val="000000"/>
        </w:rPr>
        <w:t>[***]</w:t>
      </w:r>
      <w:r>
        <w:rPr>
          <w:rFonts w:ascii="Times New Roman" w:cs="Times New Roman" w:eastAsia="Times New Roman" w:hAnsi="Times New Roman"/>
          <w:sz w:val="14"/>
          <w:szCs w:val="14"/>
          <w:color w:val="231F20"/>
        </w:rPr>
        <w:t xml:space="preserve">; provided, that, after </w:t>
      </w:r>
      <w:r>
        <w:rPr>
          <w:rFonts w:ascii="Times New Roman" w:cs="Times New Roman" w:eastAsia="Times New Roman" w:hAnsi="Times New Roman"/>
          <w:sz w:val="14"/>
          <w:szCs w:val="14"/>
          <w:b w:val="1"/>
          <w:bCs w:val="1"/>
          <w:color w:val="000000"/>
        </w:rPr>
        <w:t>[***]</w:t>
      </w:r>
      <w:r>
        <w:rPr>
          <w:rFonts w:ascii="Times New Roman" w:cs="Times New Roman" w:eastAsia="Times New Roman" w:hAnsi="Times New Roman"/>
          <w:sz w:val="14"/>
          <w:szCs w:val="14"/>
          <w:color w:val="231F20"/>
        </w:rPr>
        <w:t>, Sublandlord may, in its sole discretion, permit Subtenant to occupy any additional space vacated by Sublandlord (e.g. if Sublandlord vacates an entire floor) which will then be incorporated as part of the Subleased Premises. For the avoidance of doubt, the intent of the foregoing is to allow Subtenant to ‘phase in’ to any vacated space that is sufficiently separated from Sublandlord’s use (as determined at Sublandlord’s sole discretion).</w:t>
      </w:r>
    </w:p>
    <w:p>
      <w:pPr>
        <w:spacing w:after="0" w:line="200" w:lineRule="exact"/>
        <w:rPr>
          <w:sz w:val="20"/>
          <w:szCs w:val="20"/>
          <w:color w:val="auto"/>
        </w:rPr>
      </w:pPr>
    </w:p>
    <w:p>
      <w:pPr>
        <w:spacing w:after="0" w:line="24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141605</wp:posOffset>
            </wp:positionV>
            <wp:extent cx="694055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940550" cy="42545"/>
                    </a:xfrm>
                    <a:prstGeom prst="rect">
                      <a:avLst/>
                    </a:prstGeom>
                    <a:noFill/>
                  </pic:spPr>
                </pic:pic>
              </a:graphicData>
            </a:graphic>
          </wp:anchor>
        </w:drawing>
      </w:r>
    </w:p>
    <w:p>
      <w:pPr>
        <w:sectPr>
          <w:pgSz w:w="11900" w:h="16838" w:orient="portrait"/>
          <w:cols w:equalWidth="0" w:num="1">
            <w:col w:w="9580"/>
          </w:cols>
          <w:pgMar w:left="1160" w:top="751" w:right="1159" w:bottom="1440" w:gutter="0" w:footer="0" w:header="0"/>
        </w:sectPr>
      </w:pPr>
    </w:p>
    <w:bookmarkStart w:id="51" w:name="page52"/>
    <w:bookmarkEnd w:id="51"/>
    <w:p>
      <w:pPr>
        <w:jc w:val="both"/>
        <w:ind w:firstLine="864"/>
        <w:spacing w:after="0" w:line="245" w:lineRule="auto"/>
        <w:rPr>
          <w:sz w:val="20"/>
          <w:szCs w:val="20"/>
          <w:color w:val="auto"/>
        </w:rPr>
      </w:pPr>
      <w:r>
        <w:rPr>
          <w:rFonts w:ascii="Times New Roman" w:cs="Times New Roman" w:eastAsia="Times New Roman" w:hAnsi="Times New Roman"/>
          <w:sz w:val="14"/>
          <w:szCs w:val="14"/>
          <w:color w:val="231F20"/>
        </w:rPr>
        <w:t>3.2 Throughout the Term, Subtenant shall have all of the rights and obligations of the Tenant under the Master Lease with regard to the Subleased Premises, except as expressly modified or excluded herein or in Landlord’s Consent (as such term is hereinafter defined). Notwithstanding the foregoing, Subtenant shall have no right to exercise any rights of extension, termination, or expansion under the Master Lease, or the right to grant any waiver or consent thereunder. Nothing contained in this Sublease shall be deemed or construed to give Subtenant the right to amend, modify or terminate the Master Lease, or to agree to amend, modify or terminate the Master Lease during the Term. If, for any reason other than a voluntary termination by Sublandlord, the term of the Master Lease is terminated prior to the Expiration Date, this Sublease shall automatically terminate on the date of such termination and Sublandlord shall use commercially reasonable efforts to assist Subtenant in negotiating a replacement lease with the Landlord for the Subleased Premises. Sublandlord shall have no liability to Subtenant for any costs, damages, or relocation expenses arising from such early termination. Sublandlord warrants that it shall not voluntarily terminate (including but not limited to gross negligence or willful action or inaction causing defaults of) the Master Lease during the Term and in the event of a breach of this warranty shall be responsible for (i) assisting Subtenant in negotiating a replacement lease with the Landlord for the Subleased Premises at Sublandlord’s cost , or (ii) reimbursing Subtenant for reasonable, documented costs directly resulting from such early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4243705</wp:posOffset>
            </wp:positionH>
            <wp:positionV relativeFrom="paragraph">
              <wp:posOffset>-649605</wp:posOffset>
            </wp:positionV>
            <wp:extent cx="4000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40005" cy="5715"/>
                    </a:xfrm>
                    <a:prstGeom prst="rect">
                      <a:avLst/>
                    </a:prstGeom>
                    <a:noFill/>
                  </pic:spPr>
                </pic:pic>
              </a:graphicData>
            </a:graphic>
          </wp:anchor>
        </w:drawing>
      </w:r>
    </w:p>
    <w:p>
      <w:pPr>
        <w:spacing w:after="0" w:line="188" w:lineRule="exact"/>
        <w:rPr>
          <w:sz w:val="20"/>
          <w:szCs w:val="20"/>
          <w:color w:val="auto"/>
        </w:rPr>
      </w:pPr>
    </w:p>
    <w:p>
      <w:pPr>
        <w:jc w:val="both"/>
        <w:ind w:right="20" w:firstLine="864"/>
        <w:spacing w:after="0" w:line="261" w:lineRule="auto"/>
        <w:rPr>
          <w:sz w:val="20"/>
          <w:szCs w:val="20"/>
          <w:color w:val="auto"/>
        </w:rPr>
      </w:pPr>
      <w:r>
        <w:rPr>
          <w:rFonts w:ascii="Times New Roman" w:cs="Times New Roman" w:eastAsia="Times New Roman" w:hAnsi="Times New Roman"/>
          <w:sz w:val="14"/>
          <w:szCs w:val="14"/>
          <w:color w:val="231F20"/>
        </w:rPr>
        <w:t>3.3 On or prior to the Commencement Date, Subtenant shall deliver to Sublandlord its certificate of insurance indicating that Subtenant has obtained all required insurance in conformity with the Master Lease, which certificate shall include both Landlord and Sublandlord as additional insureds. Subtenant shall not enter the Subleased Premises prior to delivery to Sublandlord and Landlord of such evidence of insurance.</w:t>
      </w:r>
    </w:p>
    <w:p>
      <w:pPr>
        <w:spacing w:after="0" w:line="33" w:lineRule="exact"/>
        <w:rPr>
          <w:sz w:val="20"/>
          <w:szCs w:val="20"/>
          <w:color w:val="auto"/>
        </w:rPr>
      </w:pPr>
    </w:p>
    <w:p>
      <w:pPr>
        <w:jc w:val="both"/>
        <w:ind w:firstLine="852"/>
        <w:spacing w:after="0" w:line="251" w:lineRule="auto"/>
        <w:rPr>
          <w:sz w:val="20"/>
          <w:szCs w:val="20"/>
          <w:color w:val="auto"/>
        </w:rPr>
      </w:pPr>
      <w:r>
        <w:rPr>
          <w:rFonts w:ascii="Times New Roman" w:cs="Times New Roman" w:eastAsia="Times New Roman" w:hAnsi="Times New Roman"/>
          <w:sz w:val="14"/>
          <w:szCs w:val="14"/>
          <w:color w:val="231F20"/>
        </w:rPr>
        <w:t>3.4 Any demising, securing, or separation work (including the establishment and removal of partitions, walls, or other physical barriers) required in order for Sublandlord and Subtenant to concurrently occupy portions of the Subleased Premises (the “</w:t>
      </w:r>
      <w:r>
        <w:rPr>
          <w:rFonts w:ascii="Times New Roman" w:cs="Times New Roman" w:eastAsia="Times New Roman" w:hAnsi="Times New Roman"/>
          <w:sz w:val="14"/>
          <w:szCs w:val="14"/>
          <w:b w:val="1"/>
          <w:bCs w:val="1"/>
          <w:color w:val="231F20"/>
        </w:rPr>
        <w:t>Occupancy Barrier</w:t>
      </w:r>
      <w:r>
        <w:rPr>
          <w:rFonts w:ascii="Times New Roman" w:cs="Times New Roman" w:eastAsia="Times New Roman" w:hAnsi="Times New Roman"/>
          <w:sz w:val="14"/>
          <w:szCs w:val="14"/>
          <w:color w:val="231F20"/>
        </w:rPr>
        <w:t>”) shall be full performed and completed by Sublandlord at its sole cost and expense no later than two (2) weeks prior to the Commencement Date. Further, any such Occupancy Barrier shall be removed by Sublandlord following the Sublease Full Commencement Date at its sole cost and expense and Sublandlord shall use reasonable efforts to minimize nuisance (e.g. noise and dust) and impact on Subtenant arising from the Occupancy Barrier.</w:t>
      </w:r>
    </w:p>
    <w:p>
      <w:pPr>
        <w:spacing w:after="0" w:line="38" w:lineRule="exact"/>
        <w:rPr>
          <w:sz w:val="20"/>
          <w:szCs w:val="20"/>
          <w:color w:val="auto"/>
        </w:rPr>
      </w:pPr>
    </w:p>
    <w:p>
      <w:pPr>
        <w:ind w:left="860" w:hanging="432"/>
        <w:spacing w:after="0"/>
        <w:tabs>
          <w:tab w:leader="none" w:pos="860" w:val="left"/>
        </w:tabs>
        <w:numPr>
          <w:ilvl w:val="0"/>
          <w:numId w:val="13"/>
        </w:numPr>
        <w:rPr>
          <w:rFonts w:ascii="Times New Roman" w:cs="Times New Roman" w:eastAsia="Times New Roman" w:hAnsi="Times New Roman"/>
          <w:sz w:val="14"/>
          <w:szCs w:val="14"/>
          <w:b w:val="1"/>
          <w:bCs w:val="1"/>
          <w:color w:val="231F20"/>
        </w:rPr>
      </w:pPr>
      <w:r>
        <w:rPr>
          <w:rFonts w:ascii="Times New Roman" w:cs="Times New Roman" w:eastAsia="Times New Roman" w:hAnsi="Times New Roman"/>
          <w:sz w:val="14"/>
          <w:szCs w:val="14"/>
          <w:b w:val="1"/>
          <w:bCs w:val="1"/>
          <w:color w:val="231F20"/>
        </w:rPr>
        <w:t>EARLY ACCESS</w:t>
      </w:r>
    </w:p>
    <w:p>
      <w:pPr>
        <w:spacing w:after="0" w:line="19" w:lineRule="exact"/>
        <w:rPr>
          <w:rFonts w:ascii="Times New Roman" w:cs="Times New Roman" w:eastAsia="Times New Roman" w:hAnsi="Times New Roman"/>
          <w:sz w:val="14"/>
          <w:szCs w:val="14"/>
          <w:b w:val="1"/>
          <w:bCs w:val="1"/>
          <w:color w:val="231F20"/>
        </w:rPr>
      </w:pPr>
    </w:p>
    <w:p>
      <w:pPr>
        <w:ind w:left="860"/>
        <w:spacing w:after="0"/>
        <w:rPr>
          <w:rFonts w:ascii="Times New Roman" w:cs="Times New Roman" w:eastAsia="Times New Roman" w:hAnsi="Times New Roman"/>
          <w:sz w:val="14"/>
          <w:szCs w:val="14"/>
          <w:b w:val="1"/>
          <w:bCs w:val="1"/>
          <w:color w:val="231F20"/>
        </w:rPr>
      </w:pPr>
      <w:r>
        <w:rPr>
          <w:rFonts w:ascii="Times New Roman" w:cs="Times New Roman" w:eastAsia="Times New Roman" w:hAnsi="Times New Roman"/>
          <w:sz w:val="14"/>
          <w:szCs w:val="14"/>
          <w:color w:val="231F20"/>
        </w:rPr>
        <w:t>Beginning upon the Commencement Date provided Subtenant has made available to Sublandlord certificates of insurance indicating that Subtenant</w:t>
      </w:r>
    </w:p>
    <w:p>
      <w:pPr>
        <w:spacing w:after="0" w:line="1" w:lineRule="exact"/>
        <w:rPr>
          <w:sz w:val="20"/>
          <w:szCs w:val="20"/>
          <w:color w:val="auto"/>
        </w:rPr>
      </w:pPr>
    </w:p>
    <w:p>
      <w:pPr>
        <w:jc w:val="both"/>
        <w:spacing w:after="0" w:line="165" w:lineRule="exact"/>
        <w:rPr>
          <w:sz w:val="20"/>
          <w:szCs w:val="20"/>
          <w:color w:val="auto"/>
        </w:rPr>
      </w:pPr>
      <w:r>
        <w:rPr>
          <w:rFonts w:ascii="Times New Roman" w:cs="Times New Roman" w:eastAsia="Times New Roman" w:hAnsi="Times New Roman"/>
          <w:sz w:val="14"/>
          <w:szCs w:val="14"/>
          <w:color w:val="231F20"/>
        </w:rPr>
        <w:t>has obtained all required insurance in conformity with the insurance requirements set forth in the Master Lease, which insurance shall include both Landlord and Sublandlord as additional insureds (the “</w:t>
      </w:r>
      <w:r>
        <w:rPr>
          <w:rFonts w:ascii="Times New Roman" w:cs="Times New Roman" w:eastAsia="Times New Roman" w:hAnsi="Times New Roman"/>
          <w:sz w:val="14"/>
          <w:szCs w:val="14"/>
          <w:b w:val="1"/>
          <w:bCs w:val="1"/>
          <w:color w:val="231F20"/>
        </w:rPr>
        <w:t>Early Access Date</w:t>
      </w:r>
      <w:r>
        <w:rPr>
          <w:rFonts w:ascii="Times New Roman" w:cs="Times New Roman" w:eastAsia="Times New Roman" w:hAnsi="Times New Roman"/>
          <w:sz w:val="14"/>
          <w:szCs w:val="14"/>
          <w:color w:val="231F20"/>
        </w:rPr>
        <w:t>”) and ending on the thirtieth (30</w:t>
      </w:r>
      <w:r>
        <w:rPr>
          <w:rFonts w:ascii="Times New Roman" w:cs="Times New Roman" w:eastAsia="Times New Roman" w:hAnsi="Times New Roman"/>
          <w:sz w:val="7"/>
          <w:szCs w:val="7"/>
          <w:color w:val="231F20"/>
        </w:rPr>
        <w:t>th</w:t>
      </w:r>
      <w:r>
        <w:rPr>
          <w:rFonts w:ascii="Times New Roman" w:cs="Times New Roman" w:eastAsia="Times New Roman" w:hAnsi="Times New Roman"/>
          <w:sz w:val="14"/>
          <w:szCs w:val="14"/>
          <w:color w:val="231F20"/>
        </w:rPr>
        <w:t>) day following the Commencement Date (such period, the “</w:t>
      </w:r>
      <w:r>
        <w:rPr>
          <w:rFonts w:ascii="Times New Roman" w:cs="Times New Roman" w:eastAsia="Times New Roman" w:hAnsi="Times New Roman"/>
          <w:sz w:val="14"/>
          <w:szCs w:val="14"/>
          <w:b w:val="1"/>
          <w:bCs w:val="1"/>
          <w:color w:val="231F20"/>
        </w:rPr>
        <w:t>First Early Access Period</w:t>
      </w:r>
      <w:r>
        <w:rPr>
          <w:rFonts w:ascii="Times New Roman" w:cs="Times New Roman" w:eastAsia="Times New Roman" w:hAnsi="Times New Roman"/>
          <w:sz w:val="14"/>
          <w:szCs w:val="14"/>
          <w:color w:val="231F20"/>
        </w:rPr>
        <w:t>”), Subtenant shall have non</w:t>
      </w:r>
      <w:r>
        <w:rPr>
          <w:rFonts w:ascii="MS PGothic" w:cs="MS PGothic" w:eastAsia="MS PGothic" w:hAnsi="MS PGothic"/>
          <w:sz w:val="14"/>
          <w:szCs w:val="14"/>
          <w:color w:val="231F20"/>
        </w:rPr>
        <w:t>‑</w:t>
      </w:r>
      <w:r>
        <w:rPr>
          <w:rFonts w:ascii="Times New Roman" w:cs="Times New Roman" w:eastAsia="Times New Roman" w:hAnsi="Times New Roman"/>
          <w:sz w:val="14"/>
          <w:szCs w:val="14"/>
          <w:color w:val="231F20"/>
        </w:rPr>
        <w:t>exclusive access to the Phase I Subleased Premises during normal business hours for the purposes of</w:t>
      </w:r>
    </w:p>
    <w:p>
      <w:pPr>
        <w:spacing w:after="0" w:line="2" w:lineRule="exact"/>
        <w:rPr>
          <w:sz w:val="20"/>
          <w:szCs w:val="20"/>
          <w:color w:val="auto"/>
        </w:rPr>
      </w:pPr>
    </w:p>
    <w:p>
      <w:pPr>
        <w:jc w:val="both"/>
        <w:ind w:firstLine="162"/>
        <w:spacing w:after="0" w:line="247" w:lineRule="auto"/>
        <w:rPr>
          <w:sz w:val="20"/>
          <w:szCs w:val="20"/>
          <w:color w:val="auto"/>
        </w:rPr>
      </w:pPr>
      <w:r>
        <w:rPr>
          <w:rFonts w:ascii="Times New Roman" w:cs="Times New Roman" w:eastAsia="Times New Roman" w:hAnsi="Times New Roman"/>
          <w:sz w:val="14"/>
          <w:szCs w:val="14"/>
          <w:color w:val="231F20"/>
        </w:rPr>
        <w:t>(a) undertaking its improvements in accordance with Section 17.3 (“</w:t>
      </w:r>
      <w:r>
        <w:rPr>
          <w:rFonts w:ascii="Times New Roman" w:cs="Times New Roman" w:eastAsia="Times New Roman" w:hAnsi="Times New Roman"/>
          <w:sz w:val="14"/>
          <w:szCs w:val="14"/>
          <w:u w:val="single" w:color="auto"/>
          <w:color w:val="231F20"/>
        </w:rPr>
        <w:t>Subtenant Alterations</w:t>
      </w:r>
      <w:r>
        <w:rPr>
          <w:rFonts w:ascii="Times New Roman" w:cs="Times New Roman" w:eastAsia="Times New Roman" w:hAnsi="Times New Roman"/>
          <w:sz w:val="14"/>
          <w:szCs w:val="14"/>
          <w:color w:val="231F20"/>
        </w:rPr>
        <w:t>”), (b) installing IT and data cabling, furniture, fixtures and equipment (“FF&amp;E”), and (c) the conduct of business, in each case, subject to and in accordance with the terms and conditions of this Sublease and the Master Lease. The game room depicted on Exhibit D (the “Scheduled Use Space”) may be made available to Subtenant for occasional use; such use is subject to (i) Subtenant’s prior written request; (ii) Sublandlord’s sole discretion, and (iii) Subtenant’s compliance with all reasonable rules and</w:t>
      </w:r>
    </w:p>
    <w:p>
      <w:pPr>
        <w:spacing w:after="0" w:line="11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141605</wp:posOffset>
            </wp:positionV>
            <wp:extent cx="694055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940550" cy="42545"/>
                    </a:xfrm>
                    <a:prstGeom prst="rect">
                      <a:avLst/>
                    </a:prstGeom>
                    <a:noFill/>
                  </pic:spPr>
                </pic:pic>
              </a:graphicData>
            </a:graphic>
          </wp:anchor>
        </w:drawing>
      </w:r>
    </w:p>
    <w:p>
      <w:pPr>
        <w:sectPr>
          <w:pgSz w:w="11900" w:h="16838" w:orient="portrait"/>
          <w:cols w:equalWidth="0" w:num="1">
            <w:col w:w="9580"/>
          </w:cols>
          <w:pgMar w:left="1160" w:top="751" w:right="1159" w:bottom="1440" w:gutter="0" w:footer="0" w:header="0"/>
        </w:sectPr>
      </w:pPr>
    </w:p>
    <w:bookmarkStart w:id="52" w:name="page53"/>
    <w:bookmarkEnd w:id="52"/>
    <w:p>
      <w:pPr>
        <w:jc w:val="both"/>
        <w:spacing w:after="0" w:line="251" w:lineRule="auto"/>
        <w:rPr>
          <w:sz w:val="20"/>
          <w:szCs w:val="20"/>
          <w:color w:val="auto"/>
        </w:rPr>
      </w:pPr>
      <w:r>
        <w:rPr>
          <w:rFonts w:ascii="Times New Roman" w:cs="Times New Roman" w:eastAsia="Times New Roman" w:hAnsi="Times New Roman"/>
          <w:sz w:val="14"/>
          <w:szCs w:val="14"/>
          <w:color w:val="231F20"/>
        </w:rPr>
        <w:t>regulations established by Sublandlord. No Base Rent or Additional Rent shall be due or payable with respect to the First Early Access Period. Subtenant’s access and activities during the First Early Access Period shall be carried out in a manner that does not unreasonably interfere with Sublandlord’s or any other occupant’s use or occupancy of any portion of the Building and shall comply with all applicable laws and the requirements of the Master Lease. All other terms of this Sublease shall apply to Subtenant and its use and occupancy of the Subleased Premises during the First Early Access Period as though the Commencement Date had already occurred, except as expressly provided otherwise in this Section.</w:t>
      </w:r>
    </w:p>
    <w:p>
      <w:pPr>
        <w:spacing w:after="0" w:line="112"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14"/>
          <w:szCs w:val="14"/>
          <w:color w:val="231F20"/>
        </w:rPr>
        <w:t>Subject to Sublandlord’s receipt of the certificates of insurance which shall include both Sublandlord and Landlord as additional insured, if not already received, beginning on the date that is thirty (30) days prior to the Sublease Full Commencement Date and ending on the Sublease</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231F20"/>
        </w:rPr>
        <w:t>Full Commencement Date (such period, the “</w:t>
      </w:r>
      <w:r>
        <w:rPr>
          <w:rFonts w:ascii="Times New Roman" w:cs="Times New Roman" w:eastAsia="Times New Roman" w:hAnsi="Times New Roman"/>
          <w:sz w:val="14"/>
          <w:szCs w:val="14"/>
          <w:b w:val="1"/>
          <w:bCs w:val="1"/>
          <w:color w:val="231F20"/>
        </w:rPr>
        <w:t>Second Early Access Period</w:t>
      </w:r>
      <w:r>
        <w:rPr>
          <w:rFonts w:ascii="Times New Roman" w:cs="Times New Roman" w:eastAsia="Times New Roman" w:hAnsi="Times New Roman"/>
          <w:sz w:val="14"/>
          <w:szCs w:val="14"/>
          <w:color w:val="231F20"/>
        </w:rPr>
        <w:t>”), Subtenant shall have early access to the Phase II Subleased Premises during normal business hours for planning purposes, for undertaking its improvements in accordance with Section 17.3 (“Subtenant Alterations”), and for installing IT, data cabling and FF&amp;E, and for the conduct of business, in each case in accordance with the first paragraph of this Section and the Master Lease. No additional Base Rent shall be payable solely by reason of Subtenant’s access during the Second Early Access Period.</w:t>
      </w:r>
    </w:p>
    <w:p>
      <w:pPr>
        <w:spacing w:after="0" w:line="113"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14"/>
          <w:szCs w:val="14"/>
          <w:color w:val="231F20"/>
        </w:rPr>
        <w:t>Subtenant hereby agrees to indemnify, defend and hold Sublandlord and the Sublandlord Indemnified Parties (as defined below) harmless from and against all losses, costs, expenses, damages, liabilities, actions, liens, claims and suits, including, without limitation, reasonable attorneys’ fees, to the extent arising out of bodily injury (including death resulting therefrom) or direct physical damage to tangible property or any and all liability, loss, cost, expense or damage incurred or suffered by Sublandlord or the Sublandlord Indemnified Parties to the extent directly caused by the acts or omissions of Subtenant in connection with early access to the Subleased Premises (and the performance of any activity therein, including, but not limited to, any installation of furniture, fixtures, and equipment and any construction of alterations or improvements) pursuant to this Section 4 by Subtenant and its employees, representatives, consultants,</w:t>
      </w:r>
    </w:p>
    <w:p>
      <w:pPr>
        <w:spacing w:after="0" w:line="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231F20"/>
        </w:rPr>
        <w:t>contractors, and suppliers, except to the extent caused by the gross negligence or willful misconduct of Sublandlord. For the avoidance of doubt, Subtenant shall not be responsible for any indirect, consequential, special, punitive or exemplary</w:t>
      </w:r>
    </w:p>
    <w:p>
      <w:pPr>
        <w:spacing w:after="0" w:line="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4"/>
          <w:szCs w:val="14"/>
          <w:color w:val="231F20"/>
        </w:rPr>
        <w:t>damages, including, without limitation, lost profits, loss of use or business interruption, even if Sublandlord has been advised of the possibility of such damages. This last paragraph in this Section shall survive the expiration or earlier termination of this Sublease.</w:t>
      </w:r>
    </w:p>
    <w:p>
      <w:pPr>
        <w:spacing w:after="0" w:line="104" w:lineRule="exact"/>
        <w:rPr>
          <w:sz w:val="20"/>
          <w:szCs w:val="20"/>
          <w:color w:val="auto"/>
        </w:rPr>
      </w:pPr>
    </w:p>
    <w:p>
      <w:pPr>
        <w:ind w:left="860" w:hanging="432"/>
        <w:spacing w:after="0"/>
        <w:tabs>
          <w:tab w:leader="none" w:pos="860" w:val="left"/>
        </w:tabs>
        <w:numPr>
          <w:ilvl w:val="0"/>
          <w:numId w:val="14"/>
        </w:numPr>
        <w:rPr>
          <w:rFonts w:ascii="Times New Roman" w:cs="Times New Roman" w:eastAsia="Times New Roman" w:hAnsi="Times New Roman"/>
          <w:sz w:val="14"/>
          <w:szCs w:val="14"/>
          <w:b w:val="1"/>
          <w:bCs w:val="1"/>
          <w:color w:val="231F20"/>
        </w:rPr>
      </w:pPr>
      <w:r>
        <w:rPr>
          <w:rFonts w:ascii="Times New Roman" w:cs="Times New Roman" w:eastAsia="Times New Roman" w:hAnsi="Times New Roman"/>
          <w:sz w:val="14"/>
          <w:szCs w:val="14"/>
          <w:b w:val="1"/>
          <w:bCs w:val="1"/>
          <w:color w:val="231F20"/>
        </w:rPr>
        <w:t>LANDLORD’S CONSENT</w:t>
      </w:r>
    </w:p>
    <w:p>
      <w:pPr>
        <w:spacing w:after="0" w:line="73" w:lineRule="exact"/>
        <w:rPr>
          <w:sz w:val="20"/>
          <w:szCs w:val="20"/>
          <w:color w:val="auto"/>
        </w:rPr>
      </w:pPr>
    </w:p>
    <w:p>
      <w:pPr>
        <w:jc w:val="both"/>
        <w:ind w:firstLine="864"/>
        <w:spacing w:after="0" w:line="263" w:lineRule="auto"/>
        <w:rPr>
          <w:sz w:val="20"/>
          <w:szCs w:val="20"/>
          <w:color w:val="auto"/>
        </w:rPr>
      </w:pPr>
      <w:r>
        <w:rPr>
          <w:rFonts w:ascii="Times New Roman" w:cs="Times New Roman" w:eastAsia="Times New Roman" w:hAnsi="Times New Roman"/>
          <w:sz w:val="14"/>
          <w:szCs w:val="14"/>
          <w:color w:val="231F20"/>
        </w:rPr>
        <w:t>5.1 This Sublease is expressly conditioned on obtaining the written consent of Landlord (“</w:t>
      </w:r>
      <w:r>
        <w:rPr>
          <w:rFonts w:ascii="Times New Roman" w:cs="Times New Roman" w:eastAsia="Times New Roman" w:hAnsi="Times New Roman"/>
          <w:sz w:val="14"/>
          <w:szCs w:val="14"/>
          <w:b w:val="1"/>
          <w:bCs w:val="1"/>
          <w:color w:val="231F20"/>
        </w:rPr>
        <w:t>Landlord’s Consent</w:t>
      </w:r>
      <w:r>
        <w:rPr>
          <w:rFonts w:ascii="Times New Roman" w:cs="Times New Roman" w:eastAsia="Times New Roman" w:hAnsi="Times New Roman"/>
          <w:sz w:val="14"/>
          <w:szCs w:val="14"/>
          <w:color w:val="231F20"/>
        </w:rPr>
        <w:t>”) in accordance with the provisions of Section 19 of the Master Lease. Receipt by each of Subtenant and Sublandlord of the fully executed Landlord’s Consent is hereby made an express condition precedent to each party’s obligations hereunder.</w:t>
      </w:r>
    </w:p>
    <w:p>
      <w:pPr>
        <w:spacing w:after="0" w:line="31" w:lineRule="exact"/>
        <w:rPr>
          <w:sz w:val="20"/>
          <w:szCs w:val="20"/>
          <w:color w:val="auto"/>
        </w:rPr>
      </w:pPr>
    </w:p>
    <w:p>
      <w:pPr>
        <w:jc w:val="both"/>
        <w:ind w:firstLine="864"/>
        <w:spacing w:after="0" w:line="261" w:lineRule="auto"/>
        <w:rPr>
          <w:sz w:val="20"/>
          <w:szCs w:val="20"/>
          <w:color w:val="auto"/>
        </w:rPr>
      </w:pPr>
      <w:r>
        <w:rPr>
          <w:rFonts w:ascii="Times New Roman" w:cs="Times New Roman" w:eastAsia="Times New Roman" w:hAnsi="Times New Roman"/>
          <w:sz w:val="14"/>
          <w:szCs w:val="14"/>
          <w:color w:val="auto"/>
        </w:rPr>
        <w:t xml:space="preserve">5.2 </w:t>
      </w:r>
      <w:r>
        <w:rPr>
          <w:rFonts w:ascii="Times New Roman" w:cs="Times New Roman" w:eastAsia="Times New Roman" w:hAnsi="Times New Roman"/>
          <w:sz w:val="14"/>
          <w:szCs w:val="14"/>
          <w:color w:val="231F20"/>
        </w:rPr>
        <w:t>Sublandlord shall solicit Landlord’s consent to this Sublease promptly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following the execution and delivery of this Sublease by Sublandlord and Subtenant. In the event Landlord’s written consent of this Sublease has not been obtained within, the lesser of (a) ninety (90) days after the execution hereof due to no fault of the Subtenant including, failure to provide</w:t>
      </w:r>
    </w:p>
    <w:p>
      <w:pPr>
        <w:spacing w:after="0" w:line="10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141605</wp:posOffset>
            </wp:positionV>
            <wp:extent cx="694055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6940550" cy="42545"/>
                    </a:xfrm>
                    <a:prstGeom prst="rect">
                      <a:avLst/>
                    </a:prstGeom>
                    <a:noFill/>
                  </pic:spPr>
                </pic:pic>
              </a:graphicData>
            </a:graphic>
          </wp:anchor>
        </w:drawing>
      </w:r>
    </w:p>
    <w:p>
      <w:pPr>
        <w:sectPr>
          <w:pgSz w:w="11900" w:h="16838" w:orient="portrait"/>
          <w:cols w:equalWidth="0" w:num="1">
            <w:col w:w="9580"/>
          </w:cols>
          <w:pgMar w:left="1160" w:top="751" w:right="1159" w:bottom="1440" w:gutter="0" w:footer="0" w:header="0"/>
        </w:sectPr>
      </w:pPr>
    </w:p>
    <w:bookmarkStart w:id="53" w:name="page54"/>
    <w:bookmarkEnd w:id="53"/>
    <w:p>
      <w:pPr>
        <w:jc w:val="both"/>
        <w:ind w:left="20"/>
        <w:spacing w:after="0" w:line="261" w:lineRule="auto"/>
        <w:rPr>
          <w:sz w:val="20"/>
          <w:szCs w:val="20"/>
          <w:color w:val="auto"/>
        </w:rPr>
      </w:pPr>
      <w:r>
        <w:rPr>
          <w:rFonts w:ascii="Times New Roman" w:cs="Times New Roman" w:eastAsia="Times New Roman" w:hAnsi="Times New Roman"/>
          <w:sz w:val="14"/>
          <w:szCs w:val="14"/>
          <w:color w:val="3D3642"/>
        </w:rPr>
        <w:t>Tra</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504956"/>
        </w:rPr>
        <w:t>sfer</w:t>
      </w:r>
      <w:r>
        <w:rPr>
          <w:rFonts w:ascii="Times New Roman" w:cs="Times New Roman" w:eastAsia="Times New Roman" w:hAnsi="Times New Roman"/>
          <w:sz w:val="14"/>
          <w:szCs w:val="14"/>
          <w:color w:val="3D3642"/>
        </w:rPr>
        <w:t xml:space="preserve"> Not</w:t>
      </w:r>
      <w:r>
        <w:rPr>
          <w:rFonts w:ascii="Times New Roman" w:cs="Times New Roman" w:eastAsia="Times New Roman" w:hAnsi="Times New Roman"/>
          <w:sz w:val="14"/>
          <w:szCs w:val="14"/>
          <w:color w:val="262326"/>
        </w:rPr>
        <w:t>i</w:t>
      </w:r>
      <w:r>
        <w:rPr>
          <w:rFonts w:ascii="Times New Roman" w:cs="Times New Roman" w:eastAsia="Times New Roman" w:hAnsi="Times New Roman"/>
          <w:sz w:val="14"/>
          <w:szCs w:val="14"/>
          <w:color w:val="3D3642"/>
        </w:rPr>
        <w:t>ce docume</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3D3642"/>
        </w:rPr>
        <w:t>tation (as defi</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3D3642"/>
        </w:rPr>
        <w:t xml:space="preserve">ed </w:t>
      </w:r>
      <w:r>
        <w:rPr>
          <w:rFonts w:ascii="Times New Roman" w:cs="Times New Roman" w:eastAsia="Times New Roman" w:hAnsi="Times New Roman"/>
          <w:sz w:val="14"/>
          <w:szCs w:val="14"/>
          <w:color w:val="262326"/>
        </w:rPr>
        <w:t>in</w:t>
      </w:r>
      <w:r>
        <w:rPr>
          <w:rFonts w:ascii="Times New Roman" w:cs="Times New Roman" w:eastAsia="Times New Roman" w:hAnsi="Times New Roman"/>
          <w:sz w:val="14"/>
          <w:szCs w:val="14"/>
          <w:color w:val="3D3642"/>
        </w:rPr>
        <w:t xml:space="preserve"> </w:t>
      </w:r>
      <w:r>
        <w:rPr>
          <w:rFonts w:ascii="Times New Roman" w:cs="Times New Roman" w:eastAsia="Times New Roman" w:hAnsi="Times New Roman"/>
          <w:sz w:val="14"/>
          <w:szCs w:val="14"/>
          <w:color w:val="504956"/>
        </w:rPr>
        <w:t>Sect</w:t>
      </w:r>
      <w:r>
        <w:rPr>
          <w:rFonts w:ascii="Times New Roman" w:cs="Times New Roman" w:eastAsia="Times New Roman" w:hAnsi="Times New Roman"/>
          <w:sz w:val="14"/>
          <w:szCs w:val="14"/>
          <w:color w:val="262326"/>
        </w:rPr>
        <w:t>i</w:t>
      </w:r>
      <w:r>
        <w:rPr>
          <w:rFonts w:ascii="Times New Roman" w:cs="Times New Roman" w:eastAsia="Times New Roman" w:hAnsi="Times New Roman"/>
          <w:sz w:val="14"/>
          <w:szCs w:val="14"/>
          <w:color w:val="504956"/>
        </w:rPr>
        <w:t>o</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3D3642"/>
        </w:rPr>
        <w:t xml:space="preserve"> 19(b) </w:t>
      </w:r>
      <w:r>
        <w:rPr>
          <w:rFonts w:ascii="Times New Roman" w:cs="Times New Roman" w:eastAsia="Times New Roman" w:hAnsi="Times New Roman"/>
          <w:sz w:val="14"/>
          <w:szCs w:val="14"/>
          <w:color w:val="504956"/>
        </w:rPr>
        <w:t>of</w:t>
      </w:r>
      <w:r>
        <w:rPr>
          <w:rFonts w:ascii="Times New Roman" w:cs="Times New Roman" w:eastAsia="Times New Roman" w:hAnsi="Times New Roman"/>
          <w:sz w:val="14"/>
          <w:szCs w:val="14"/>
          <w:color w:val="3D3642"/>
        </w:rPr>
        <w:t xml:space="preserve"> the Master </w:t>
      </w:r>
      <w:r>
        <w:rPr>
          <w:rFonts w:ascii="Times New Roman" w:cs="Times New Roman" w:eastAsia="Times New Roman" w:hAnsi="Times New Roman"/>
          <w:sz w:val="14"/>
          <w:szCs w:val="14"/>
          <w:color w:val="262326"/>
        </w:rPr>
        <w:t>L</w:t>
      </w:r>
      <w:r>
        <w:rPr>
          <w:rFonts w:ascii="Times New Roman" w:cs="Times New Roman" w:eastAsia="Times New Roman" w:hAnsi="Times New Roman"/>
          <w:sz w:val="14"/>
          <w:szCs w:val="14"/>
          <w:color w:val="3D3642"/>
        </w:rPr>
        <w:t xml:space="preserve">ease) </w:t>
      </w:r>
      <w:r>
        <w:rPr>
          <w:rFonts w:ascii="Times New Roman" w:cs="Times New Roman" w:eastAsia="Times New Roman" w:hAnsi="Times New Roman"/>
          <w:sz w:val="14"/>
          <w:szCs w:val="14"/>
          <w:color w:val="504956"/>
        </w:rPr>
        <w:t>o</w:t>
      </w:r>
      <w:r>
        <w:rPr>
          <w:rFonts w:ascii="Times New Roman" w:cs="Times New Roman" w:eastAsia="Times New Roman" w:hAnsi="Times New Roman"/>
          <w:sz w:val="14"/>
          <w:szCs w:val="14"/>
          <w:color w:val="262326"/>
        </w:rPr>
        <w:t>r</w:t>
      </w:r>
      <w:r>
        <w:rPr>
          <w:rFonts w:ascii="Times New Roman" w:cs="Times New Roman" w:eastAsia="Times New Roman" w:hAnsi="Times New Roman"/>
          <w:sz w:val="14"/>
          <w:szCs w:val="14"/>
          <w:color w:val="3D3642"/>
        </w:rPr>
        <w:t xml:space="preserve"> (b) twe</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3D3642"/>
        </w:rPr>
        <w:t xml:space="preserve">ty </w:t>
      </w:r>
      <w:r>
        <w:rPr>
          <w:rFonts w:ascii="Times New Roman" w:cs="Times New Roman" w:eastAsia="Times New Roman" w:hAnsi="Times New Roman"/>
          <w:sz w:val="14"/>
          <w:szCs w:val="14"/>
          <w:color w:val="504956"/>
        </w:rPr>
        <w:t>(20)</w:t>
      </w:r>
      <w:r>
        <w:rPr>
          <w:rFonts w:ascii="Times New Roman" w:cs="Times New Roman" w:eastAsia="Times New Roman" w:hAnsi="Times New Roman"/>
          <w:sz w:val="14"/>
          <w:szCs w:val="14"/>
          <w:color w:val="3D3642"/>
        </w:rPr>
        <w:t xml:space="preserve"> days after t</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e Landlo</w:t>
      </w:r>
      <w:r>
        <w:rPr>
          <w:rFonts w:ascii="Times New Roman" w:cs="Times New Roman" w:eastAsia="Times New Roman" w:hAnsi="Times New Roman"/>
          <w:sz w:val="14"/>
          <w:szCs w:val="14"/>
          <w:color w:val="262326"/>
        </w:rPr>
        <w:t>r</w:t>
      </w:r>
      <w:r>
        <w:rPr>
          <w:rFonts w:ascii="Times New Roman" w:cs="Times New Roman" w:eastAsia="Times New Roman" w:hAnsi="Times New Roman"/>
          <w:sz w:val="14"/>
          <w:szCs w:val="14"/>
          <w:color w:val="3D3642"/>
        </w:rPr>
        <w:t>d</w:t>
      </w:r>
      <w:r>
        <w:rPr>
          <w:rFonts w:ascii="Times New Roman" w:cs="Times New Roman" w:eastAsia="Times New Roman" w:hAnsi="Times New Roman"/>
          <w:sz w:val="14"/>
          <w:szCs w:val="14"/>
          <w:color w:val="646269"/>
        </w:rPr>
        <w:t>'</w:t>
      </w:r>
      <w:r>
        <w:rPr>
          <w:rFonts w:ascii="Times New Roman" w:cs="Times New Roman" w:eastAsia="Times New Roman" w:hAnsi="Times New Roman"/>
          <w:sz w:val="14"/>
          <w:szCs w:val="14"/>
          <w:color w:val="504956"/>
        </w:rPr>
        <w:t>s</w:t>
      </w:r>
      <w:r>
        <w:rPr>
          <w:rFonts w:ascii="Times New Roman" w:cs="Times New Roman" w:eastAsia="Times New Roman" w:hAnsi="Times New Roman"/>
          <w:sz w:val="14"/>
          <w:szCs w:val="14"/>
          <w:color w:val="3D3642"/>
        </w:rPr>
        <w:t xml:space="preserve"> </w:t>
      </w:r>
      <w:r>
        <w:rPr>
          <w:rFonts w:ascii="Times New Roman" w:cs="Times New Roman" w:eastAsia="Times New Roman" w:hAnsi="Times New Roman"/>
          <w:sz w:val="14"/>
          <w:szCs w:val="14"/>
          <w:color w:val="262326"/>
        </w:rPr>
        <w:t>r</w:t>
      </w:r>
      <w:r>
        <w:rPr>
          <w:rFonts w:ascii="Times New Roman" w:cs="Times New Roman" w:eastAsia="Times New Roman" w:hAnsi="Times New Roman"/>
          <w:sz w:val="14"/>
          <w:szCs w:val="14"/>
          <w:color w:val="3D3642"/>
        </w:rPr>
        <w:t>eceipt of t</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e Transfe</w:t>
      </w:r>
      <w:r>
        <w:rPr>
          <w:rFonts w:ascii="Times New Roman" w:cs="Times New Roman" w:eastAsia="Times New Roman" w:hAnsi="Times New Roman"/>
          <w:sz w:val="14"/>
          <w:szCs w:val="14"/>
          <w:color w:val="262326"/>
        </w:rPr>
        <w:t>r</w:t>
      </w:r>
      <w:r>
        <w:rPr>
          <w:rFonts w:ascii="Times New Roman" w:cs="Times New Roman" w:eastAsia="Times New Roman" w:hAnsi="Times New Roman"/>
          <w:sz w:val="14"/>
          <w:szCs w:val="14"/>
          <w:color w:val="3D3642"/>
        </w:rPr>
        <w:t xml:space="preserve"> Notice, then t</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is S</w:t>
      </w:r>
      <w:r>
        <w:rPr>
          <w:rFonts w:ascii="Times New Roman" w:cs="Times New Roman" w:eastAsia="Times New Roman" w:hAnsi="Times New Roman"/>
          <w:sz w:val="14"/>
          <w:szCs w:val="14"/>
          <w:color w:val="262326"/>
        </w:rPr>
        <w:t>u</w:t>
      </w:r>
      <w:r>
        <w:rPr>
          <w:rFonts w:ascii="Times New Roman" w:cs="Times New Roman" w:eastAsia="Times New Roman" w:hAnsi="Times New Roman"/>
          <w:sz w:val="14"/>
          <w:szCs w:val="14"/>
          <w:color w:val="3D3642"/>
        </w:rPr>
        <w:t>blease may be termi</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504956"/>
        </w:rPr>
        <w:t>ated</w:t>
      </w:r>
      <w:r>
        <w:rPr>
          <w:rFonts w:ascii="Times New Roman" w:cs="Times New Roman" w:eastAsia="Times New Roman" w:hAnsi="Times New Roman"/>
          <w:sz w:val="14"/>
          <w:szCs w:val="14"/>
          <w:color w:val="3D3642"/>
        </w:rPr>
        <w:t xml:space="preserve"> by either </w:t>
      </w:r>
      <w:r>
        <w:rPr>
          <w:rFonts w:ascii="Times New Roman" w:cs="Times New Roman" w:eastAsia="Times New Roman" w:hAnsi="Times New Roman"/>
          <w:sz w:val="14"/>
          <w:szCs w:val="14"/>
          <w:color w:val="262326"/>
        </w:rPr>
        <w:t>p</w:t>
      </w:r>
      <w:r>
        <w:rPr>
          <w:rFonts w:ascii="Times New Roman" w:cs="Times New Roman" w:eastAsia="Times New Roman" w:hAnsi="Times New Roman"/>
          <w:sz w:val="14"/>
          <w:szCs w:val="14"/>
          <w:color w:val="3D3642"/>
        </w:rPr>
        <w:t xml:space="preserve">arty </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 xml:space="preserve">ereto </w:t>
      </w:r>
      <w:r>
        <w:rPr>
          <w:rFonts w:ascii="Times New Roman" w:cs="Times New Roman" w:eastAsia="Times New Roman" w:hAnsi="Times New Roman"/>
          <w:sz w:val="14"/>
          <w:szCs w:val="14"/>
          <w:color w:val="262326"/>
        </w:rPr>
        <w:t>up</w:t>
      </w:r>
      <w:r>
        <w:rPr>
          <w:rFonts w:ascii="Times New Roman" w:cs="Times New Roman" w:eastAsia="Times New Roman" w:hAnsi="Times New Roman"/>
          <w:sz w:val="14"/>
          <w:szCs w:val="14"/>
          <w:color w:val="3D3642"/>
        </w:rPr>
        <w:t xml:space="preserve">on </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504956"/>
        </w:rPr>
        <w:t>ot</w:t>
      </w:r>
      <w:r>
        <w:rPr>
          <w:rFonts w:ascii="Times New Roman" w:cs="Times New Roman" w:eastAsia="Times New Roman" w:hAnsi="Times New Roman"/>
          <w:sz w:val="14"/>
          <w:szCs w:val="14"/>
          <w:color w:val="262326"/>
        </w:rPr>
        <w:t>i</w:t>
      </w:r>
      <w:r>
        <w:rPr>
          <w:rFonts w:ascii="Times New Roman" w:cs="Times New Roman" w:eastAsia="Times New Roman" w:hAnsi="Times New Roman"/>
          <w:sz w:val="14"/>
          <w:szCs w:val="14"/>
          <w:color w:val="504956"/>
        </w:rPr>
        <w:t>ce</w:t>
      </w:r>
      <w:r>
        <w:rPr>
          <w:rFonts w:ascii="Times New Roman" w:cs="Times New Roman" w:eastAsia="Times New Roman" w:hAnsi="Times New Roman"/>
          <w:sz w:val="14"/>
          <w:szCs w:val="14"/>
          <w:color w:val="3D3642"/>
        </w:rPr>
        <w:t xml:space="preserve"> to t</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 xml:space="preserve">e </w:t>
      </w:r>
      <w:r>
        <w:rPr>
          <w:rFonts w:ascii="Times New Roman" w:cs="Times New Roman" w:eastAsia="Times New Roman" w:hAnsi="Times New Roman"/>
          <w:sz w:val="14"/>
          <w:szCs w:val="14"/>
          <w:color w:val="504956"/>
        </w:rPr>
        <w:t>ot</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e</w:t>
      </w:r>
      <w:r>
        <w:rPr>
          <w:rFonts w:ascii="Times New Roman" w:cs="Times New Roman" w:eastAsia="Times New Roman" w:hAnsi="Times New Roman"/>
          <w:sz w:val="14"/>
          <w:szCs w:val="14"/>
          <w:color w:val="262326"/>
        </w:rPr>
        <w:t>r</w:t>
      </w:r>
      <w:r>
        <w:rPr>
          <w:rFonts w:ascii="Times New Roman" w:cs="Times New Roman" w:eastAsia="Times New Roman" w:hAnsi="Times New Roman"/>
          <w:sz w:val="14"/>
          <w:szCs w:val="14"/>
          <w:color w:val="646269"/>
        </w:rPr>
        <w:t>;</w:t>
      </w:r>
      <w:r>
        <w:rPr>
          <w:rFonts w:ascii="Times New Roman" w:cs="Times New Roman" w:eastAsia="Times New Roman" w:hAnsi="Times New Roman"/>
          <w:sz w:val="14"/>
          <w:szCs w:val="14"/>
          <w:color w:val="3D3642"/>
        </w:rPr>
        <w:t xml:space="preserve"> provided</w:t>
      </w:r>
      <w:r>
        <w:rPr>
          <w:rFonts w:ascii="Times New Roman" w:cs="Times New Roman" w:eastAsia="Times New Roman" w:hAnsi="Times New Roman"/>
          <w:sz w:val="14"/>
          <w:szCs w:val="14"/>
          <w:color w:val="646269"/>
        </w:rPr>
        <w:t>,</w:t>
      </w:r>
      <w:r>
        <w:rPr>
          <w:rFonts w:ascii="Times New Roman" w:cs="Times New Roman" w:eastAsia="Times New Roman" w:hAnsi="Times New Roman"/>
          <w:sz w:val="14"/>
          <w:szCs w:val="14"/>
          <w:color w:val="3D3642"/>
        </w:rPr>
        <w:t xml:space="preserve"> </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504956"/>
        </w:rPr>
        <w:t>owever</w:t>
      </w:r>
      <w:r>
        <w:rPr>
          <w:rFonts w:ascii="Times New Roman" w:cs="Times New Roman" w:eastAsia="Times New Roman" w:hAnsi="Times New Roman"/>
          <w:sz w:val="14"/>
          <w:szCs w:val="14"/>
          <w:color w:val="646269"/>
        </w:rPr>
        <w:t>,</w:t>
      </w:r>
      <w:r>
        <w:rPr>
          <w:rFonts w:ascii="Times New Roman" w:cs="Times New Roman" w:eastAsia="Times New Roman" w:hAnsi="Times New Roman"/>
          <w:sz w:val="14"/>
          <w:szCs w:val="14"/>
          <w:color w:val="3D3642"/>
        </w:rPr>
        <w:t xml:space="preserve"> S</w:t>
      </w:r>
      <w:r>
        <w:rPr>
          <w:rFonts w:ascii="Times New Roman" w:cs="Times New Roman" w:eastAsia="Times New Roman" w:hAnsi="Times New Roman"/>
          <w:sz w:val="14"/>
          <w:szCs w:val="14"/>
          <w:color w:val="262326"/>
        </w:rPr>
        <w:t>u</w:t>
      </w:r>
      <w:r>
        <w:rPr>
          <w:rFonts w:ascii="Times New Roman" w:cs="Times New Roman" w:eastAsia="Times New Roman" w:hAnsi="Times New Roman"/>
          <w:sz w:val="14"/>
          <w:szCs w:val="14"/>
          <w:color w:val="3D3642"/>
        </w:rPr>
        <w:t>blandlord</w:t>
      </w:r>
      <w:r>
        <w:rPr>
          <w:rFonts w:ascii="Times New Roman" w:cs="Times New Roman" w:eastAsia="Times New Roman" w:hAnsi="Times New Roman"/>
          <w:sz w:val="14"/>
          <w:szCs w:val="14"/>
          <w:color w:val="646269"/>
        </w:rPr>
        <w:t>,</w:t>
      </w:r>
      <w:r>
        <w:rPr>
          <w:rFonts w:ascii="Times New Roman" w:cs="Times New Roman" w:eastAsia="Times New Roman" w:hAnsi="Times New Roman"/>
          <w:sz w:val="14"/>
          <w:szCs w:val="14"/>
          <w:color w:val="3D3642"/>
        </w:rPr>
        <w:t xml:space="preserve"> </w:t>
      </w:r>
      <w:r>
        <w:rPr>
          <w:rFonts w:ascii="Times New Roman" w:cs="Times New Roman" w:eastAsia="Times New Roman" w:hAnsi="Times New Roman"/>
          <w:sz w:val="14"/>
          <w:szCs w:val="14"/>
          <w:color w:val="504956"/>
        </w:rPr>
        <w:t>at</w:t>
      </w:r>
      <w:r>
        <w:rPr>
          <w:rFonts w:ascii="Times New Roman" w:cs="Times New Roman" w:eastAsia="Times New Roman" w:hAnsi="Times New Roman"/>
          <w:sz w:val="14"/>
          <w:szCs w:val="14"/>
          <w:color w:val="3D3642"/>
        </w:rPr>
        <w:t xml:space="preserve"> its </w:t>
      </w:r>
      <w:r>
        <w:rPr>
          <w:rFonts w:ascii="Times New Roman" w:cs="Times New Roman" w:eastAsia="Times New Roman" w:hAnsi="Times New Roman"/>
          <w:sz w:val="14"/>
          <w:szCs w:val="14"/>
          <w:color w:val="504956"/>
        </w:rPr>
        <w:t>opt</w:t>
      </w:r>
      <w:r>
        <w:rPr>
          <w:rFonts w:ascii="Times New Roman" w:cs="Times New Roman" w:eastAsia="Times New Roman" w:hAnsi="Times New Roman"/>
          <w:sz w:val="14"/>
          <w:szCs w:val="14"/>
          <w:color w:val="262326"/>
        </w:rPr>
        <w:t>i</w:t>
      </w:r>
      <w:r>
        <w:rPr>
          <w:rFonts w:ascii="Times New Roman" w:cs="Times New Roman" w:eastAsia="Times New Roman" w:hAnsi="Times New Roman"/>
          <w:sz w:val="14"/>
          <w:szCs w:val="14"/>
          <w:color w:val="504956"/>
        </w:rPr>
        <w:t>o</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7B7477"/>
        </w:rPr>
        <w:t>,</w:t>
      </w:r>
      <w:r>
        <w:rPr>
          <w:rFonts w:ascii="Times New Roman" w:cs="Times New Roman" w:eastAsia="Times New Roman" w:hAnsi="Times New Roman"/>
          <w:sz w:val="14"/>
          <w:szCs w:val="14"/>
          <w:color w:val="3D3642"/>
        </w:rPr>
        <w:t xml:space="preserve"> </w:t>
      </w:r>
      <w:r>
        <w:rPr>
          <w:rFonts w:ascii="Times New Roman" w:cs="Times New Roman" w:eastAsia="Times New Roman" w:hAnsi="Times New Roman"/>
          <w:sz w:val="14"/>
          <w:szCs w:val="14"/>
          <w:color w:val="504956"/>
        </w:rPr>
        <w:t>s</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 xml:space="preserve">all have an </w:t>
      </w:r>
      <w:r>
        <w:rPr>
          <w:rFonts w:ascii="Times New Roman" w:cs="Times New Roman" w:eastAsia="Times New Roman" w:hAnsi="Times New Roman"/>
          <w:sz w:val="14"/>
          <w:szCs w:val="14"/>
          <w:color w:val="504956"/>
        </w:rPr>
        <w:t>add</w:t>
      </w:r>
      <w:r>
        <w:rPr>
          <w:rFonts w:ascii="Times New Roman" w:cs="Times New Roman" w:eastAsia="Times New Roman" w:hAnsi="Times New Roman"/>
          <w:sz w:val="14"/>
          <w:szCs w:val="14"/>
          <w:color w:val="262326"/>
        </w:rPr>
        <w:t>i</w:t>
      </w:r>
      <w:r>
        <w:rPr>
          <w:rFonts w:ascii="Times New Roman" w:cs="Times New Roman" w:eastAsia="Times New Roman" w:hAnsi="Times New Roman"/>
          <w:sz w:val="14"/>
          <w:szCs w:val="14"/>
          <w:color w:val="3D3642"/>
        </w:rPr>
        <w:t>tional te</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3D3642"/>
        </w:rPr>
        <w:t xml:space="preserve"> </w:t>
      </w:r>
      <w:r>
        <w:rPr>
          <w:rFonts w:ascii="Times New Roman" w:cs="Times New Roman" w:eastAsia="Times New Roman" w:hAnsi="Times New Roman"/>
          <w:sz w:val="14"/>
          <w:szCs w:val="14"/>
          <w:color w:val="504956"/>
        </w:rPr>
        <w:t>(10)</w:t>
      </w:r>
      <w:r>
        <w:rPr>
          <w:rFonts w:ascii="Times New Roman" w:cs="Times New Roman" w:eastAsia="Times New Roman" w:hAnsi="Times New Roman"/>
          <w:sz w:val="14"/>
          <w:szCs w:val="14"/>
          <w:color w:val="3D3642"/>
        </w:rPr>
        <w:t xml:space="preserve"> business days to </w:t>
      </w:r>
      <w:r>
        <w:rPr>
          <w:rFonts w:ascii="Times New Roman" w:cs="Times New Roman" w:eastAsia="Times New Roman" w:hAnsi="Times New Roman"/>
          <w:sz w:val="14"/>
          <w:szCs w:val="14"/>
          <w:color w:val="504956"/>
        </w:rPr>
        <w:t>obtain</w:t>
      </w:r>
      <w:r>
        <w:rPr>
          <w:rFonts w:ascii="Times New Roman" w:cs="Times New Roman" w:eastAsia="Times New Roman" w:hAnsi="Times New Roman"/>
          <w:sz w:val="14"/>
          <w:szCs w:val="14"/>
          <w:color w:val="3D3642"/>
        </w:rPr>
        <w:t xml:space="preserve"> Landlord's co</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504956"/>
        </w:rPr>
        <w:t>sent.</w:t>
      </w:r>
      <w:r>
        <w:rPr>
          <w:rFonts w:ascii="Times New Roman" w:cs="Times New Roman" w:eastAsia="Times New Roman" w:hAnsi="Times New Roman"/>
          <w:sz w:val="14"/>
          <w:szCs w:val="14"/>
          <w:color w:val="3D3642"/>
        </w:rPr>
        <w:t xml:space="preserve"> Upo</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3D3642"/>
        </w:rPr>
        <w:t xml:space="preserve"> </w:t>
      </w:r>
      <w:r>
        <w:rPr>
          <w:rFonts w:ascii="Times New Roman" w:cs="Times New Roman" w:eastAsia="Times New Roman" w:hAnsi="Times New Roman"/>
          <w:sz w:val="14"/>
          <w:szCs w:val="14"/>
          <w:color w:val="504956"/>
        </w:rPr>
        <w:t>suc</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 xml:space="preserve"> tenn</w:t>
      </w:r>
      <w:r>
        <w:rPr>
          <w:rFonts w:ascii="Times New Roman" w:cs="Times New Roman" w:eastAsia="Times New Roman" w:hAnsi="Times New Roman"/>
          <w:sz w:val="14"/>
          <w:szCs w:val="14"/>
          <w:color w:val="262326"/>
        </w:rPr>
        <w:t>in</w:t>
      </w:r>
      <w:r>
        <w:rPr>
          <w:rFonts w:ascii="Times New Roman" w:cs="Times New Roman" w:eastAsia="Times New Roman" w:hAnsi="Times New Roman"/>
          <w:sz w:val="14"/>
          <w:szCs w:val="14"/>
          <w:color w:val="504956"/>
        </w:rPr>
        <w:t>ation</w:t>
      </w:r>
      <w:r>
        <w:rPr>
          <w:rFonts w:ascii="Times New Roman" w:cs="Times New Roman" w:eastAsia="Times New Roman" w:hAnsi="Times New Roman"/>
          <w:sz w:val="14"/>
          <w:szCs w:val="14"/>
          <w:color w:val="3D3642"/>
        </w:rPr>
        <w:t xml:space="preserve"> neithe</w:t>
      </w:r>
      <w:r>
        <w:rPr>
          <w:rFonts w:ascii="Times New Roman" w:cs="Times New Roman" w:eastAsia="Times New Roman" w:hAnsi="Times New Roman"/>
          <w:sz w:val="14"/>
          <w:szCs w:val="14"/>
          <w:color w:val="262326"/>
        </w:rPr>
        <w:t>r</w:t>
      </w:r>
      <w:r>
        <w:rPr>
          <w:rFonts w:ascii="Times New Roman" w:cs="Times New Roman" w:eastAsia="Times New Roman" w:hAnsi="Times New Roman"/>
          <w:sz w:val="14"/>
          <w:szCs w:val="14"/>
          <w:color w:val="3D3642"/>
        </w:rPr>
        <w:t xml:space="preserve"> party </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 xml:space="preserve">ereto </w:t>
      </w:r>
      <w:r>
        <w:rPr>
          <w:rFonts w:ascii="Times New Roman" w:cs="Times New Roman" w:eastAsia="Times New Roman" w:hAnsi="Times New Roman"/>
          <w:sz w:val="14"/>
          <w:szCs w:val="14"/>
          <w:color w:val="504956"/>
        </w:rPr>
        <w:t>shall</w:t>
      </w:r>
      <w:r>
        <w:rPr>
          <w:rFonts w:ascii="Times New Roman" w:cs="Times New Roman" w:eastAsia="Times New Roman" w:hAnsi="Times New Roman"/>
          <w:sz w:val="14"/>
          <w:szCs w:val="14"/>
          <w:color w:val="3D3642"/>
        </w:rPr>
        <w:t xml:space="preserve"> </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504956"/>
        </w:rPr>
        <w:t>ave</w:t>
      </w:r>
      <w:r>
        <w:rPr>
          <w:rFonts w:ascii="Times New Roman" w:cs="Times New Roman" w:eastAsia="Times New Roman" w:hAnsi="Times New Roman"/>
          <w:sz w:val="14"/>
          <w:szCs w:val="14"/>
          <w:color w:val="3D3642"/>
        </w:rPr>
        <w:t xml:space="preserve"> any furt</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 xml:space="preserve">er </w:t>
      </w:r>
      <w:r>
        <w:rPr>
          <w:rFonts w:ascii="Times New Roman" w:cs="Times New Roman" w:eastAsia="Times New Roman" w:hAnsi="Times New Roman"/>
          <w:sz w:val="14"/>
          <w:szCs w:val="14"/>
          <w:color w:val="262326"/>
        </w:rPr>
        <w:t>r</w:t>
      </w:r>
      <w:r>
        <w:rPr>
          <w:rFonts w:ascii="Times New Roman" w:cs="Times New Roman" w:eastAsia="Times New Roman" w:hAnsi="Times New Roman"/>
          <w:sz w:val="14"/>
          <w:szCs w:val="14"/>
          <w:color w:val="3D3642"/>
        </w:rPr>
        <w:t>ig</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 xml:space="preserve">ts </w:t>
      </w:r>
      <w:r>
        <w:rPr>
          <w:rFonts w:ascii="Times New Roman" w:cs="Times New Roman" w:eastAsia="Times New Roman" w:hAnsi="Times New Roman"/>
          <w:sz w:val="14"/>
          <w:szCs w:val="14"/>
          <w:color w:val="504956"/>
        </w:rPr>
        <w:t>or obligatio</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504956"/>
        </w:rPr>
        <w:t>s</w:t>
      </w:r>
      <w:r>
        <w:rPr>
          <w:rFonts w:ascii="Times New Roman" w:cs="Times New Roman" w:eastAsia="Times New Roman" w:hAnsi="Times New Roman"/>
          <w:sz w:val="14"/>
          <w:szCs w:val="14"/>
          <w:color w:val="3D3642"/>
        </w:rPr>
        <w:t xml:space="preserve"> to the </w:t>
      </w:r>
      <w:r>
        <w:rPr>
          <w:rFonts w:ascii="Times New Roman" w:cs="Times New Roman" w:eastAsia="Times New Roman" w:hAnsi="Times New Roman"/>
          <w:sz w:val="14"/>
          <w:szCs w:val="14"/>
          <w:color w:val="504956"/>
        </w:rPr>
        <w:t>ot</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 xml:space="preserve">er party </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ereto</w:t>
      </w:r>
      <w:r>
        <w:rPr>
          <w:rFonts w:ascii="Times New Roman" w:cs="Times New Roman" w:eastAsia="Times New Roman" w:hAnsi="Times New Roman"/>
          <w:sz w:val="14"/>
          <w:szCs w:val="14"/>
          <w:color w:val="5D4231"/>
        </w:rPr>
        <w:t>.</w:t>
      </w:r>
    </w:p>
    <w:p>
      <w:pPr>
        <w:spacing w:after="0" w:line="27" w:lineRule="exact"/>
        <w:rPr>
          <w:sz w:val="20"/>
          <w:szCs w:val="20"/>
          <w:color w:val="auto"/>
        </w:rPr>
      </w:pPr>
    </w:p>
    <w:p>
      <w:pPr>
        <w:ind w:left="860" w:hanging="430"/>
        <w:spacing w:after="0"/>
        <w:tabs>
          <w:tab w:leader="none" w:pos="860" w:val="left"/>
        </w:tabs>
        <w:numPr>
          <w:ilvl w:val="0"/>
          <w:numId w:val="15"/>
        </w:numPr>
        <w:rPr>
          <w:rFonts w:ascii="Times New Roman" w:cs="Times New Roman" w:eastAsia="Times New Roman" w:hAnsi="Times New Roman"/>
          <w:sz w:val="13"/>
          <w:szCs w:val="13"/>
          <w:color w:val="3D3642"/>
        </w:rPr>
      </w:pPr>
      <w:r>
        <w:rPr>
          <w:rFonts w:ascii="Times New Roman" w:cs="Times New Roman" w:eastAsia="Times New Roman" w:hAnsi="Times New Roman"/>
          <w:sz w:val="14"/>
          <w:szCs w:val="14"/>
          <w:b w:val="1"/>
          <w:bCs w:val="1"/>
          <w:color w:val="262326"/>
        </w:rPr>
        <w:t>B</w:t>
      </w:r>
      <w:r>
        <w:rPr>
          <w:rFonts w:ascii="Times New Roman" w:cs="Times New Roman" w:eastAsia="Times New Roman" w:hAnsi="Times New Roman"/>
          <w:sz w:val="14"/>
          <w:szCs w:val="14"/>
          <w:b w:val="1"/>
          <w:bCs w:val="1"/>
          <w:color w:val="3D3642"/>
        </w:rPr>
        <w:t>ASE</w:t>
      </w:r>
      <w:r>
        <w:rPr>
          <w:rFonts w:ascii="Times New Roman" w:cs="Times New Roman" w:eastAsia="Times New Roman" w:hAnsi="Times New Roman"/>
          <w:sz w:val="14"/>
          <w:szCs w:val="14"/>
          <w:b w:val="1"/>
          <w:bCs w:val="1"/>
          <w:color w:val="262326"/>
        </w:rPr>
        <w:t xml:space="preserve"> RE</w:t>
      </w:r>
      <w:r>
        <w:rPr>
          <w:rFonts w:ascii="Times New Roman" w:cs="Times New Roman" w:eastAsia="Times New Roman" w:hAnsi="Times New Roman"/>
          <w:sz w:val="14"/>
          <w:szCs w:val="14"/>
          <w:b w:val="1"/>
          <w:bCs w:val="1"/>
          <w:color w:val="3D3642"/>
        </w:rPr>
        <w:t>N</w:t>
      </w:r>
      <w:r>
        <w:rPr>
          <w:rFonts w:ascii="Times New Roman" w:cs="Times New Roman" w:eastAsia="Times New Roman" w:hAnsi="Times New Roman"/>
          <w:sz w:val="14"/>
          <w:szCs w:val="14"/>
          <w:b w:val="1"/>
          <w:bCs w:val="1"/>
          <w:color w:val="262326"/>
        </w:rPr>
        <w:t>T</w:t>
      </w:r>
      <w:r>
        <w:rPr>
          <w:rFonts w:ascii="Times New Roman" w:cs="Times New Roman" w:eastAsia="Times New Roman" w:hAnsi="Times New Roman"/>
          <w:sz w:val="14"/>
          <w:szCs w:val="14"/>
          <w:b w:val="1"/>
          <w:bCs w:val="1"/>
          <w:color w:val="3D3642"/>
        </w:rPr>
        <w:t>;</w:t>
      </w:r>
      <w:r>
        <w:rPr>
          <w:rFonts w:ascii="Times New Roman" w:cs="Times New Roman" w:eastAsia="Times New Roman" w:hAnsi="Times New Roman"/>
          <w:sz w:val="14"/>
          <w:szCs w:val="14"/>
          <w:b w:val="1"/>
          <w:bCs w:val="1"/>
          <w:color w:val="262326"/>
        </w:rPr>
        <w:t xml:space="preserve"> ADDITIO</w:t>
      </w:r>
      <w:r>
        <w:rPr>
          <w:rFonts w:ascii="Times New Roman" w:cs="Times New Roman" w:eastAsia="Times New Roman" w:hAnsi="Times New Roman"/>
          <w:sz w:val="14"/>
          <w:szCs w:val="14"/>
          <w:b w:val="1"/>
          <w:bCs w:val="1"/>
          <w:color w:val="3D3642"/>
        </w:rPr>
        <w:t>NA</w:t>
      </w:r>
      <w:r>
        <w:rPr>
          <w:rFonts w:ascii="Times New Roman" w:cs="Times New Roman" w:eastAsia="Times New Roman" w:hAnsi="Times New Roman"/>
          <w:sz w:val="14"/>
          <w:szCs w:val="14"/>
          <w:b w:val="1"/>
          <w:bCs w:val="1"/>
          <w:color w:val="262326"/>
        </w:rPr>
        <w:t>L RE</w:t>
      </w:r>
      <w:r>
        <w:rPr>
          <w:rFonts w:ascii="Times New Roman" w:cs="Times New Roman" w:eastAsia="Times New Roman" w:hAnsi="Times New Roman"/>
          <w:sz w:val="14"/>
          <w:szCs w:val="14"/>
          <w:b w:val="1"/>
          <w:bCs w:val="1"/>
          <w:color w:val="3D3642"/>
        </w:rPr>
        <w:t>N</w:t>
      </w:r>
      <w:r>
        <w:rPr>
          <w:rFonts w:ascii="Times New Roman" w:cs="Times New Roman" w:eastAsia="Times New Roman" w:hAnsi="Times New Roman"/>
          <w:sz w:val="14"/>
          <w:szCs w:val="14"/>
          <w:b w:val="1"/>
          <w:bCs w:val="1"/>
          <w:color w:val="262326"/>
        </w:rPr>
        <w:t>T</w:t>
      </w:r>
      <w:r>
        <w:rPr>
          <w:rFonts w:ascii="Times New Roman" w:cs="Times New Roman" w:eastAsia="Times New Roman" w:hAnsi="Times New Roman"/>
          <w:sz w:val="14"/>
          <w:szCs w:val="14"/>
          <w:b w:val="1"/>
          <w:bCs w:val="1"/>
          <w:color w:val="3D3642"/>
        </w:rPr>
        <w:t>; SE</w:t>
      </w:r>
      <w:r>
        <w:rPr>
          <w:rFonts w:ascii="Times New Roman" w:cs="Times New Roman" w:eastAsia="Times New Roman" w:hAnsi="Times New Roman"/>
          <w:sz w:val="14"/>
          <w:szCs w:val="14"/>
          <w:b w:val="1"/>
          <w:bCs w:val="1"/>
          <w:color w:val="262326"/>
        </w:rPr>
        <w:t>R</w:t>
      </w:r>
      <w:r>
        <w:rPr>
          <w:rFonts w:ascii="Times New Roman" w:cs="Times New Roman" w:eastAsia="Times New Roman" w:hAnsi="Times New Roman"/>
          <w:sz w:val="14"/>
          <w:szCs w:val="14"/>
          <w:b w:val="1"/>
          <w:bCs w:val="1"/>
          <w:color w:val="3D3642"/>
        </w:rPr>
        <w:t>V</w:t>
      </w:r>
      <w:r>
        <w:rPr>
          <w:rFonts w:ascii="Times New Roman" w:cs="Times New Roman" w:eastAsia="Times New Roman" w:hAnsi="Times New Roman"/>
          <w:sz w:val="14"/>
          <w:szCs w:val="14"/>
          <w:b w:val="1"/>
          <w:bCs w:val="1"/>
          <w:color w:val="262326"/>
        </w:rPr>
        <w:t>I</w:t>
      </w:r>
      <w:r>
        <w:rPr>
          <w:rFonts w:ascii="Times New Roman" w:cs="Times New Roman" w:eastAsia="Times New Roman" w:hAnsi="Times New Roman"/>
          <w:sz w:val="14"/>
          <w:szCs w:val="14"/>
          <w:b w:val="1"/>
          <w:bCs w:val="1"/>
          <w:color w:val="3D3642"/>
        </w:rPr>
        <w:t>CES AND U</w:t>
      </w:r>
      <w:r>
        <w:rPr>
          <w:rFonts w:ascii="Times New Roman" w:cs="Times New Roman" w:eastAsia="Times New Roman" w:hAnsi="Times New Roman"/>
          <w:sz w:val="14"/>
          <w:szCs w:val="14"/>
          <w:b w:val="1"/>
          <w:bCs w:val="1"/>
          <w:color w:val="262326"/>
        </w:rPr>
        <w:t>TILITI</w:t>
      </w:r>
      <w:r>
        <w:rPr>
          <w:rFonts w:ascii="Times New Roman" w:cs="Times New Roman" w:eastAsia="Times New Roman" w:hAnsi="Times New Roman"/>
          <w:sz w:val="14"/>
          <w:szCs w:val="14"/>
          <w:b w:val="1"/>
          <w:bCs w:val="1"/>
          <w:color w:val="3D3642"/>
        </w:rPr>
        <w:t>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3D3642"/>
              </w:rPr>
              <w:t>6.1</w:t>
            </w:r>
          </w:p>
        </w:tc>
        <w:tc>
          <w:tcPr>
            <w:tcW w:w="1740" w:type="dxa"/>
            <w:vAlign w:val="bottom"/>
          </w:tcPr>
          <w:p>
            <w:pPr>
              <w:ind w:left="720"/>
              <w:spacing w:after="0"/>
              <w:rPr>
                <w:sz w:val="20"/>
                <w:szCs w:val="20"/>
                <w:color w:val="auto"/>
              </w:rPr>
            </w:pPr>
            <w:r>
              <w:rPr>
                <w:rFonts w:ascii="Times New Roman" w:cs="Times New Roman" w:eastAsia="Times New Roman" w:hAnsi="Times New Roman"/>
                <w:sz w:val="14"/>
                <w:szCs w:val="14"/>
                <w:color w:val="3D3642"/>
              </w:rPr>
              <w:t>For p</w:t>
            </w:r>
            <w:r>
              <w:rPr>
                <w:rFonts w:ascii="Times New Roman" w:cs="Times New Roman" w:eastAsia="Times New Roman" w:hAnsi="Times New Roman"/>
                <w:sz w:val="14"/>
                <w:szCs w:val="14"/>
                <w:color w:val="262326"/>
              </w:rPr>
              <w:t>urp</w:t>
            </w:r>
            <w:r>
              <w:rPr>
                <w:rFonts w:ascii="Times New Roman" w:cs="Times New Roman" w:eastAsia="Times New Roman" w:hAnsi="Times New Roman"/>
                <w:sz w:val="14"/>
                <w:szCs w:val="14"/>
                <w:color w:val="504956"/>
              </w:rPr>
              <w:t>oses of</w:t>
            </w:r>
          </w:p>
        </w:tc>
        <w:tc>
          <w:tcPr>
            <w:tcW w:w="940" w:type="dxa"/>
            <w:vAlign w:val="bottom"/>
          </w:tcPr>
          <w:p>
            <w:pPr>
              <w:ind w:left="40"/>
              <w:spacing w:after="0"/>
              <w:rPr>
                <w:sz w:val="20"/>
                <w:szCs w:val="20"/>
                <w:color w:val="auto"/>
              </w:rPr>
            </w:pPr>
            <w:r>
              <w:rPr>
                <w:rFonts w:ascii="Times New Roman" w:cs="Times New Roman" w:eastAsia="Times New Roman" w:hAnsi="Times New Roman"/>
                <w:sz w:val="14"/>
                <w:szCs w:val="14"/>
                <w:color w:val="3D3642"/>
              </w:rPr>
              <w:t>t</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 xml:space="preserve">is </w:t>
            </w:r>
            <w:r>
              <w:rPr>
                <w:rFonts w:ascii="Times New Roman" w:cs="Times New Roman" w:eastAsia="Times New Roman" w:hAnsi="Times New Roman"/>
                <w:sz w:val="14"/>
                <w:szCs w:val="14"/>
                <w:color w:val="504956"/>
              </w:rPr>
              <w:t>Sub</w:t>
            </w:r>
            <w:r>
              <w:rPr>
                <w:rFonts w:ascii="Times New Roman" w:cs="Times New Roman" w:eastAsia="Times New Roman" w:hAnsi="Times New Roman"/>
                <w:sz w:val="14"/>
                <w:szCs w:val="14"/>
                <w:color w:val="262326"/>
              </w:rPr>
              <w:t>l</w:t>
            </w:r>
            <w:r>
              <w:rPr>
                <w:rFonts w:ascii="Times New Roman" w:cs="Times New Roman" w:eastAsia="Times New Roman" w:hAnsi="Times New Roman"/>
                <w:sz w:val="14"/>
                <w:szCs w:val="14"/>
                <w:color w:val="3D3642"/>
              </w:rPr>
              <w:t>ease</w:t>
            </w:r>
            <w:r>
              <w:rPr>
                <w:rFonts w:ascii="Times New Roman" w:cs="Times New Roman" w:eastAsia="Times New Roman" w:hAnsi="Times New Roman"/>
                <w:sz w:val="14"/>
                <w:szCs w:val="14"/>
                <w:color w:val="7B7477"/>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504956"/>
              </w:rPr>
              <w:t xml:space="preserve">"Lease </w:t>
            </w:r>
            <w:r>
              <w:rPr>
                <w:rFonts w:ascii="Times New Roman" w:cs="Times New Roman" w:eastAsia="Times New Roman" w:hAnsi="Times New Roman"/>
                <w:sz w:val="14"/>
                <w:szCs w:val="14"/>
                <w:color w:val="3D3642"/>
              </w:rPr>
              <w:t>Mo</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3D3642"/>
              </w:rPr>
              <w:t>t</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504956"/>
              </w:rPr>
              <w:t>"</w:t>
            </w:r>
          </w:p>
        </w:tc>
        <w:tc>
          <w:tcPr>
            <w:tcW w:w="22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3D3642"/>
              </w:rPr>
              <w:t>means each fu</w:t>
            </w:r>
            <w:r>
              <w:rPr>
                <w:rFonts w:ascii="Times New Roman" w:cs="Times New Roman" w:eastAsia="Times New Roman" w:hAnsi="Times New Roman"/>
                <w:sz w:val="14"/>
                <w:szCs w:val="14"/>
                <w:color w:val="262326"/>
              </w:rPr>
              <w:t>ll</w:t>
            </w:r>
            <w:r>
              <w:rPr>
                <w:rFonts w:ascii="Times New Roman" w:cs="Times New Roman" w:eastAsia="Times New Roman" w:hAnsi="Times New Roman"/>
                <w:sz w:val="14"/>
                <w:szCs w:val="14"/>
                <w:color w:val="3D3642"/>
              </w:rPr>
              <w:t xml:space="preserve"> calendar mo</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3D3642"/>
              </w:rPr>
              <w:t>t</w:t>
            </w:r>
            <w:r>
              <w:rPr>
                <w:rFonts w:ascii="Times New Roman" w:cs="Times New Roman" w:eastAsia="Times New Roman" w:hAnsi="Times New Roman"/>
                <w:sz w:val="14"/>
                <w:szCs w:val="14"/>
                <w:color w:val="262326"/>
              </w:rPr>
              <w:t>h</w:t>
            </w:r>
          </w:p>
        </w:tc>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3D3642"/>
              </w:rPr>
              <w:t>d</w:t>
            </w:r>
            <w:r>
              <w:rPr>
                <w:rFonts w:ascii="Times New Roman" w:cs="Times New Roman" w:eastAsia="Times New Roman" w:hAnsi="Times New Roman"/>
                <w:sz w:val="14"/>
                <w:szCs w:val="14"/>
                <w:color w:val="262326"/>
              </w:rPr>
              <w:t>ur</w:t>
            </w:r>
            <w:r>
              <w:rPr>
                <w:rFonts w:ascii="Times New Roman" w:cs="Times New Roman" w:eastAsia="Times New Roman" w:hAnsi="Times New Roman"/>
                <w:sz w:val="14"/>
                <w:szCs w:val="14"/>
                <w:color w:val="3D3642"/>
              </w:rPr>
              <w:t>ing the Te1m</w:t>
            </w:r>
            <w:r>
              <w:rPr>
                <w:rFonts w:ascii="Times New Roman" w:cs="Times New Roman" w:eastAsia="Times New Roman" w:hAnsi="Times New Roman"/>
                <w:sz w:val="14"/>
                <w:szCs w:val="14"/>
                <w:color w:val="7B7477"/>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504956"/>
              </w:rPr>
              <w:t>w</w:t>
            </w:r>
            <w:r>
              <w:rPr>
                <w:rFonts w:ascii="Times New Roman" w:cs="Times New Roman" w:eastAsia="Times New Roman" w:hAnsi="Times New Roman"/>
                <w:sz w:val="14"/>
                <w:szCs w:val="14"/>
                <w:color w:val="262326"/>
              </w:rPr>
              <w:t>i</w:t>
            </w:r>
            <w:r>
              <w:rPr>
                <w:rFonts w:ascii="Times New Roman" w:cs="Times New Roman" w:eastAsia="Times New Roman" w:hAnsi="Times New Roman"/>
                <w:sz w:val="14"/>
                <w:szCs w:val="14"/>
                <w:color w:val="3D3642"/>
              </w:rPr>
              <w:t>t</w:t>
            </w:r>
            <w:r>
              <w:rPr>
                <w:rFonts w:ascii="Times New Roman" w:cs="Times New Roman" w:eastAsia="Times New Roman" w:hAnsi="Times New Roman"/>
                <w:sz w:val="14"/>
                <w:szCs w:val="14"/>
                <w:color w:val="262326"/>
              </w:rPr>
              <w:t>h L</w:t>
            </w:r>
            <w:r>
              <w:rPr>
                <w:rFonts w:ascii="Times New Roman" w:cs="Times New Roman" w:eastAsia="Times New Roman" w:hAnsi="Times New Roman"/>
                <w:sz w:val="14"/>
                <w:szCs w:val="14"/>
                <w:color w:val="3D3642"/>
              </w:rPr>
              <w:t>ease Mont</w:t>
            </w:r>
            <w:r>
              <w:rPr>
                <w:rFonts w:ascii="Times New Roman" w:cs="Times New Roman" w:eastAsia="Times New Roman" w:hAnsi="Times New Roman"/>
                <w:sz w:val="14"/>
                <w:szCs w:val="14"/>
                <w:color w:val="262326"/>
              </w:rPr>
              <w:t>h</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3D3642"/>
              </w:rPr>
              <w:t>1</w:t>
            </w:r>
          </w:p>
        </w:tc>
      </w:tr>
      <w:tr>
        <w:trPr>
          <w:trHeight w:val="162"/>
        </w:trPr>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color w:val="3D3642"/>
              </w:rPr>
              <w:t>comme</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3D3642"/>
              </w:rPr>
              <w:t>c</w:t>
            </w:r>
            <w:r>
              <w:rPr>
                <w:rFonts w:ascii="Times New Roman" w:cs="Times New Roman" w:eastAsia="Times New Roman" w:hAnsi="Times New Roman"/>
                <w:sz w:val="14"/>
                <w:szCs w:val="14"/>
                <w:color w:val="262326"/>
              </w:rPr>
              <w:t>in</w:t>
            </w:r>
            <w:r>
              <w:rPr>
                <w:rFonts w:ascii="Times New Roman" w:cs="Times New Roman" w:eastAsia="Times New Roman" w:hAnsi="Times New Roman"/>
                <w:sz w:val="14"/>
                <w:szCs w:val="14"/>
                <w:color w:val="504956"/>
              </w:rPr>
              <w:t>g</w:t>
            </w:r>
            <w:r>
              <w:rPr>
                <w:rFonts w:ascii="Times New Roman" w:cs="Times New Roman" w:eastAsia="Times New Roman" w:hAnsi="Times New Roman"/>
                <w:sz w:val="14"/>
                <w:szCs w:val="14"/>
                <w:color w:val="3D3642"/>
              </w:rPr>
              <w:t xml:space="preserve"> on t</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e Commencement Date (o</w:t>
            </w:r>
            <w:r>
              <w:rPr>
                <w:rFonts w:ascii="Times New Roman" w:cs="Times New Roman" w:eastAsia="Times New Roman" w:hAnsi="Times New Roman"/>
                <w:sz w:val="14"/>
                <w:szCs w:val="14"/>
                <w:color w:val="262326"/>
              </w:rPr>
              <w:t>r</w:t>
            </w:r>
            <w:r>
              <w:rPr>
                <w:rFonts w:ascii="Times New Roman" w:cs="Times New Roman" w:eastAsia="Times New Roman" w:hAnsi="Times New Roman"/>
                <w:sz w:val="14"/>
                <w:szCs w:val="14"/>
                <w:color w:val="646269"/>
              </w:rPr>
              <w:t>,</w:t>
            </w:r>
          </w:p>
        </w:tc>
        <w:tc>
          <w:tcPr>
            <w:tcW w:w="3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3D3642"/>
              </w:rPr>
              <w:t>if t</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 xml:space="preserve">e Commencement </w:t>
            </w:r>
            <w:r>
              <w:rPr>
                <w:rFonts w:ascii="Times New Roman" w:cs="Times New Roman" w:eastAsia="Times New Roman" w:hAnsi="Times New Roman"/>
                <w:sz w:val="14"/>
                <w:szCs w:val="14"/>
                <w:color w:val="262326"/>
              </w:rPr>
              <w:t>D</w:t>
            </w:r>
            <w:r>
              <w:rPr>
                <w:rFonts w:ascii="Times New Roman" w:cs="Times New Roman" w:eastAsia="Times New Roman" w:hAnsi="Times New Roman"/>
                <w:sz w:val="14"/>
                <w:szCs w:val="14"/>
                <w:color w:val="3D3642"/>
              </w:rPr>
              <w:t xml:space="preserve">ate is </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504956"/>
              </w:rPr>
              <w:t>ot</w:t>
            </w:r>
            <w:r>
              <w:rPr>
                <w:rFonts w:ascii="Times New Roman" w:cs="Times New Roman" w:eastAsia="Times New Roman" w:hAnsi="Times New Roman"/>
                <w:sz w:val="14"/>
                <w:szCs w:val="14"/>
                <w:color w:val="3D3642"/>
              </w:rPr>
              <w:t xml:space="preserve"> t</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 xml:space="preserve">e first day </w:t>
            </w:r>
            <w:r>
              <w:rPr>
                <w:rFonts w:ascii="Times New Roman" w:cs="Times New Roman" w:eastAsia="Times New Roman" w:hAnsi="Times New Roman"/>
                <w:sz w:val="14"/>
                <w:szCs w:val="14"/>
                <w:color w:val="504956"/>
              </w:rPr>
              <w:t>of</w:t>
            </w:r>
            <w:r>
              <w:rPr>
                <w:rFonts w:ascii="Times New Roman" w:cs="Times New Roman" w:eastAsia="Times New Roman" w:hAnsi="Times New Roman"/>
                <w:sz w:val="14"/>
                <w:szCs w:val="14"/>
                <w:color w:val="3D3642"/>
              </w:rPr>
              <w:t xml:space="preserve"> a</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504956"/>
              </w:rPr>
              <w:t>ca</w:t>
            </w:r>
            <w:r>
              <w:rPr>
                <w:rFonts w:ascii="Times New Roman" w:cs="Times New Roman" w:eastAsia="Times New Roman" w:hAnsi="Times New Roman"/>
                <w:sz w:val="14"/>
                <w:szCs w:val="14"/>
                <w:color w:val="262326"/>
              </w:rPr>
              <w:t>l</w:t>
            </w:r>
            <w:r>
              <w:rPr>
                <w:rFonts w:ascii="Times New Roman" w:cs="Times New Roman" w:eastAsia="Times New Roman" w:hAnsi="Times New Roman"/>
                <w:sz w:val="14"/>
                <w:szCs w:val="14"/>
                <w:color w:val="3D3642"/>
              </w:rPr>
              <w:t>e</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3D3642"/>
              </w:rPr>
              <w:t>dar month</w:t>
            </w:r>
            <w:r>
              <w:rPr>
                <w:rFonts w:ascii="Times New Roman" w:cs="Times New Roman" w:eastAsia="Times New Roman" w:hAnsi="Times New Roman"/>
                <w:sz w:val="14"/>
                <w:szCs w:val="14"/>
                <w:color w:val="646269"/>
              </w:rPr>
              <w:t>,</w:t>
            </w: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504956"/>
              </w:rPr>
              <w:t xml:space="preserve">on </w:t>
            </w:r>
            <w:r>
              <w:rPr>
                <w:rFonts w:ascii="Times New Roman" w:cs="Times New Roman" w:eastAsia="Times New Roman" w:hAnsi="Times New Roman"/>
                <w:sz w:val="14"/>
                <w:szCs w:val="14"/>
                <w:color w:val="3D3642"/>
              </w:rPr>
              <w:t>the first day of the first full calendar</w:t>
            </w:r>
          </w:p>
        </w:tc>
      </w:tr>
      <w:tr>
        <w:trPr>
          <w:trHeight w:val="178"/>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3D3642"/>
              </w:rPr>
              <w:t>mo</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3D3642"/>
              </w:rPr>
              <w:t>th following</w:t>
            </w:r>
          </w:p>
        </w:tc>
        <w:tc>
          <w:tcPr>
            <w:tcW w:w="1740" w:type="dxa"/>
            <w:vAlign w:val="bottom"/>
          </w:tcPr>
          <w:p>
            <w:pPr>
              <w:ind w:left="40"/>
              <w:spacing w:after="0"/>
              <w:rPr>
                <w:sz w:val="20"/>
                <w:szCs w:val="20"/>
                <w:color w:val="auto"/>
              </w:rPr>
            </w:pPr>
            <w:r>
              <w:rPr>
                <w:rFonts w:ascii="Times New Roman" w:cs="Times New Roman" w:eastAsia="Times New Roman" w:hAnsi="Times New Roman"/>
                <w:sz w:val="14"/>
                <w:szCs w:val="14"/>
                <w:color w:val="3D3642"/>
              </w:rPr>
              <w:t>t</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e  Comme</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3D3642"/>
              </w:rPr>
              <w:t>cement  Date),</w:t>
            </w:r>
          </w:p>
        </w:tc>
        <w:tc>
          <w:tcPr>
            <w:tcW w:w="940" w:type="dxa"/>
            <w:vAlign w:val="bottom"/>
          </w:tcPr>
          <w:p>
            <w:pPr>
              <w:ind w:left="60"/>
              <w:spacing w:after="0"/>
              <w:rPr>
                <w:sz w:val="20"/>
                <w:szCs w:val="20"/>
                <w:color w:val="auto"/>
              </w:rPr>
            </w:pPr>
            <w:r>
              <w:rPr>
                <w:rFonts w:ascii="Times New Roman" w:cs="Times New Roman" w:eastAsia="Times New Roman" w:hAnsi="Times New Roman"/>
                <w:sz w:val="14"/>
                <w:szCs w:val="14"/>
                <w:color w:val="262326"/>
              </w:rPr>
              <w:t>L</w:t>
            </w:r>
            <w:r>
              <w:rPr>
                <w:rFonts w:ascii="Times New Roman" w:cs="Times New Roman" w:eastAsia="Times New Roman" w:hAnsi="Times New Roman"/>
                <w:sz w:val="14"/>
                <w:szCs w:val="14"/>
                <w:color w:val="3D3642"/>
              </w:rPr>
              <w:t>ease  Mont</w:t>
            </w:r>
            <w:r>
              <w:rPr>
                <w:rFonts w:ascii="Times New Roman" w:cs="Times New Roman" w:eastAsia="Times New Roman" w:hAnsi="Times New Roman"/>
                <w:sz w:val="14"/>
                <w:szCs w:val="14"/>
                <w:color w:val="262326"/>
              </w:rPr>
              <w:t>h</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504956"/>
              </w:rPr>
              <w:t xml:space="preserve">2   </w:t>
            </w:r>
            <w:r>
              <w:rPr>
                <w:rFonts w:ascii="Times New Roman" w:cs="Times New Roman" w:eastAsia="Times New Roman" w:hAnsi="Times New Roman"/>
                <w:sz w:val="14"/>
                <w:szCs w:val="14"/>
                <w:color w:val="3D3642"/>
              </w:rPr>
              <w:t>commencing</w:t>
            </w: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504956"/>
              </w:rPr>
              <w:t>o</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504956"/>
              </w:rPr>
              <w:t xml:space="preserve">   </w:t>
            </w:r>
            <w:r>
              <w:rPr>
                <w:rFonts w:ascii="Times New Roman" w:cs="Times New Roman" w:eastAsia="Times New Roman" w:hAnsi="Times New Roman"/>
                <w:sz w:val="14"/>
                <w:szCs w:val="14"/>
                <w:color w:val="3D3642"/>
              </w:rPr>
              <w:t>the  fi</w:t>
            </w:r>
            <w:r>
              <w:rPr>
                <w:rFonts w:ascii="Times New Roman" w:cs="Times New Roman" w:eastAsia="Times New Roman" w:hAnsi="Times New Roman"/>
                <w:sz w:val="14"/>
                <w:szCs w:val="14"/>
                <w:color w:val="262326"/>
              </w:rPr>
              <w:t>r</w:t>
            </w:r>
            <w:r>
              <w:rPr>
                <w:rFonts w:ascii="Times New Roman" w:cs="Times New Roman" w:eastAsia="Times New Roman" w:hAnsi="Times New Roman"/>
                <w:sz w:val="14"/>
                <w:szCs w:val="14"/>
                <w:color w:val="504956"/>
              </w:rPr>
              <w:t xml:space="preserve">st  </w:t>
            </w:r>
            <w:r>
              <w:rPr>
                <w:rFonts w:ascii="Times New Roman" w:cs="Times New Roman" w:eastAsia="Times New Roman" w:hAnsi="Times New Roman"/>
                <w:sz w:val="14"/>
                <w:szCs w:val="14"/>
                <w:color w:val="3D3642"/>
              </w:rPr>
              <w:t>day</w:t>
            </w: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3D3642"/>
              </w:rPr>
              <w:t>of  t</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 xml:space="preserve">e  next  </w:t>
            </w:r>
            <w:r>
              <w:rPr>
                <w:rFonts w:ascii="Times New Roman" w:cs="Times New Roman" w:eastAsia="Times New Roman" w:hAnsi="Times New Roman"/>
                <w:sz w:val="14"/>
                <w:szCs w:val="14"/>
                <w:color w:val="504956"/>
              </w:rPr>
              <w:t>succeed</w:t>
            </w:r>
            <w:r>
              <w:rPr>
                <w:rFonts w:ascii="Times New Roman" w:cs="Times New Roman" w:eastAsia="Times New Roman" w:hAnsi="Times New Roman"/>
                <w:sz w:val="14"/>
                <w:szCs w:val="14"/>
                <w:color w:val="262326"/>
              </w:rPr>
              <w:t>in</w:t>
            </w:r>
            <w:r>
              <w:rPr>
                <w:rFonts w:ascii="Times New Roman" w:cs="Times New Roman" w:eastAsia="Times New Roman" w:hAnsi="Times New Roman"/>
                <w:sz w:val="14"/>
                <w:szCs w:val="14"/>
                <w:color w:val="504956"/>
              </w:rPr>
              <w:t>g</w:t>
            </w:r>
            <w:r>
              <w:rPr>
                <w:rFonts w:ascii="Times New Roman" w:cs="Times New Roman" w:eastAsia="Times New Roman" w:hAnsi="Times New Roman"/>
                <w:sz w:val="14"/>
                <w:szCs w:val="14"/>
                <w:color w:val="3D3642"/>
              </w:rPr>
              <w:t xml:space="preserve">  calenda</w:t>
            </w:r>
            <w:r>
              <w:rPr>
                <w:rFonts w:ascii="Times New Roman" w:cs="Times New Roman" w:eastAsia="Times New Roman" w:hAnsi="Times New Roman"/>
                <w:sz w:val="14"/>
                <w:szCs w:val="14"/>
                <w:color w:val="262326"/>
              </w:rPr>
              <w:t>r</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3D3642"/>
              </w:rPr>
              <w:t>mont</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504956"/>
              </w:rPr>
              <w:t>,</w:t>
            </w:r>
            <w:r>
              <w:rPr>
                <w:rFonts w:ascii="Times New Roman" w:cs="Times New Roman" w:eastAsia="Times New Roman" w:hAnsi="Times New Roman"/>
                <w:sz w:val="14"/>
                <w:szCs w:val="14"/>
                <w:color w:val="3D3642"/>
              </w:rPr>
              <w:t xml:space="preserve">  and  </w:t>
            </w:r>
            <w:r>
              <w:rPr>
                <w:rFonts w:ascii="Times New Roman" w:cs="Times New Roman" w:eastAsia="Times New Roman" w:hAnsi="Times New Roman"/>
                <w:sz w:val="14"/>
                <w:szCs w:val="14"/>
                <w:color w:val="504956"/>
              </w:rPr>
              <w:t>so</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504956"/>
              </w:rPr>
              <w:t>o</w:t>
            </w:r>
            <w:r>
              <w:rPr>
                <w:rFonts w:ascii="Times New Roman" w:cs="Times New Roman" w:eastAsia="Times New Roman" w:hAnsi="Times New Roman"/>
                <w:sz w:val="14"/>
                <w:szCs w:val="14"/>
                <w:color w:val="262326"/>
              </w:rPr>
              <w:t>n</w:t>
            </w:r>
          </w:p>
        </w:tc>
      </w:tr>
    </w:tbl>
    <w:p>
      <w:pPr>
        <w:ind w:left="40"/>
        <w:spacing w:after="0"/>
        <w:rPr>
          <w:sz w:val="20"/>
          <w:szCs w:val="20"/>
          <w:color w:val="auto"/>
        </w:rPr>
      </w:pPr>
      <w:r>
        <w:rPr>
          <w:rFonts w:ascii="Times New Roman" w:cs="Times New Roman" w:eastAsia="Times New Roman" w:hAnsi="Times New Roman"/>
          <w:sz w:val="14"/>
          <w:szCs w:val="14"/>
          <w:color w:val="3D3642"/>
        </w:rPr>
        <w:t xml:space="preserve">in </w:t>
      </w:r>
      <w:r>
        <w:rPr>
          <w:rFonts w:ascii="Times New Roman" w:cs="Times New Roman" w:eastAsia="Times New Roman" w:hAnsi="Times New Roman"/>
          <w:sz w:val="14"/>
          <w:szCs w:val="14"/>
          <w:color w:val="504956"/>
        </w:rPr>
        <w:t>co</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504956"/>
        </w:rPr>
        <w:t>secutive o</w:t>
      </w:r>
      <w:r>
        <w:rPr>
          <w:rFonts w:ascii="Times New Roman" w:cs="Times New Roman" w:eastAsia="Times New Roman" w:hAnsi="Times New Roman"/>
          <w:sz w:val="14"/>
          <w:szCs w:val="14"/>
          <w:color w:val="262326"/>
        </w:rPr>
        <w:t>r</w:t>
      </w:r>
      <w:r>
        <w:rPr>
          <w:rFonts w:ascii="Times New Roman" w:cs="Times New Roman" w:eastAsia="Times New Roman" w:hAnsi="Times New Roman"/>
          <w:sz w:val="14"/>
          <w:szCs w:val="14"/>
          <w:color w:val="3D3642"/>
        </w:rPr>
        <w:t>de</w:t>
      </w:r>
      <w:r>
        <w:rPr>
          <w:rFonts w:ascii="Times New Roman" w:cs="Times New Roman" w:eastAsia="Times New Roman" w:hAnsi="Times New Roman"/>
          <w:sz w:val="14"/>
          <w:szCs w:val="14"/>
          <w:color w:val="262326"/>
        </w:rPr>
        <w:t>r tl</w:t>
      </w:r>
      <w:r>
        <w:rPr>
          <w:rFonts w:ascii="Times New Roman" w:cs="Times New Roman" w:eastAsia="Times New Roman" w:hAnsi="Times New Roman"/>
          <w:sz w:val="14"/>
          <w:szCs w:val="14"/>
          <w:color w:val="3D3642"/>
        </w:rPr>
        <w:t>uo</w:t>
      </w:r>
      <w:r>
        <w:rPr>
          <w:rFonts w:ascii="Times New Roman" w:cs="Times New Roman" w:eastAsia="Times New Roman" w:hAnsi="Times New Roman"/>
          <w:sz w:val="14"/>
          <w:szCs w:val="14"/>
          <w:color w:val="262326"/>
        </w:rPr>
        <w:t>u</w:t>
      </w:r>
      <w:r>
        <w:rPr>
          <w:rFonts w:ascii="Times New Roman" w:cs="Times New Roman" w:eastAsia="Times New Roman" w:hAnsi="Times New Roman"/>
          <w:sz w:val="14"/>
          <w:szCs w:val="14"/>
          <w:color w:val="504956"/>
        </w:rPr>
        <w:t>g</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 xml:space="preserve"> the Exp</w:t>
      </w:r>
      <w:r>
        <w:rPr>
          <w:rFonts w:ascii="Times New Roman" w:cs="Times New Roman" w:eastAsia="Times New Roman" w:hAnsi="Times New Roman"/>
          <w:sz w:val="14"/>
          <w:szCs w:val="14"/>
          <w:color w:val="262326"/>
        </w:rPr>
        <w:t>i</w:t>
      </w:r>
      <w:r>
        <w:rPr>
          <w:rFonts w:ascii="Times New Roman" w:cs="Times New Roman" w:eastAsia="Times New Roman" w:hAnsi="Times New Roman"/>
          <w:sz w:val="14"/>
          <w:szCs w:val="14"/>
          <w:color w:val="3D3642"/>
        </w:rPr>
        <w:t>rat</w:t>
      </w:r>
      <w:r>
        <w:rPr>
          <w:rFonts w:ascii="Times New Roman" w:cs="Times New Roman" w:eastAsia="Times New Roman" w:hAnsi="Times New Roman"/>
          <w:sz w:val="14"/>
          <w:szCs w:val="14"/>
          <w:color w:val="262326"/>
        </w:rPr>
        <w:t>i</w:t>
      </w:r>
      <w:r>
        <w:rPr>
          <w:rFonts w:ascii="Times New Roman" w:cs="Times New Roman" w:eastAsia="Times New Roman" w:hAnsi="Times New Roman"/>
          <w:sz w:val="14"/>
          <w:szCs w:val="14"/>
          <w:color w:val="3D3642"/>
        </w:rPr>
        <w:t xml:space="preserve">on </w:t>
      </w:r>
      <w:r>
        <w:rPr>
          <w:rFonts w:ascii="Times New Roman" w:cs="Times New Roman" w:eastAsia="Times New Roman" w:hAnsi="Times New Roman"/>
          <w:sz w:val="14"/>
          <w:szCs w:val="14"/>
          <w:color w:val="262326"/>
        </w:rPr>
        <w:t>D</w:t>
      </w:r>
      <w:r>
        <w:rPr>
          <w:rFonts w:ascii="Times New Roman" w:cs="Times New Roman" w:eastAsia="Times New Roman" w:hAnsi="Times New Roman"/>
          <w:sz w:val="14"/>
          <w:szCs w:val="14"/>
          <w:color w:val="3D3642"/>
        </w:rPr>
        <w:t>ate.</w:t>
      </w:r>
    </w:p>
    <w:p>
      <w:pPr>
        <w:spacing w:after="0" w:line="66" w:lineRule="exact"/>
        <w:rPr>
          <w:sz w:val="20"/>
          <w:szCs w:val="20"/>
          <w:color w:val="auto"/>
        </w:rPr>
      </w:pPr>
    </w:p>
    <w:p>
      <w:pPr>
        <w:jc w:val="both"/>
        <w:ind w:right="420" w:firstLine="864"/>
        <w:spacing w:after="0" w:line="255" w:lineRule="auto"/>
        <w:rPr>
          <w:sz w:val="20"/>
          <w:szCs w:val="20"/>
          <w:color w:val="auto"/>
        </w:rPr>
      </w:pPr>
      <w:r>
        <w:rPr>
          <w:rFonts w:ascii="Times New Roman" w:cs="Times New Roman" w:eastAsia="Times New Roman" w:hAnsi="Times New Roman"/>
          <w:sz w:val="14"/>
          <w:szCs w:val="14"/>
          <w:color w:val="504956"/>
        </w:rPr>
        <w:t xml:space="preserve">6.2 </w:t>
      </w:r>
      <w:r>
        <w:rPr>
          <w:rFonts w:ascii="Times New Roman" w:cs="Times New Roman" w:eastAsia="Times New Roman" w:hAnsi="Times New Roman"/>
          <w:sz w:val="14"/>
          <w:szCs w:val="14"/>
          <w:color w:val="3D3642"/>
        </w:rPr>
        <w:t>T</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ro</w:t>
      </w:r>
      <w:r>
        <w:rPr>
          <w:rFonts w:ascii="Times New Roman" w:cs="Times New Roman" w:eastAsia="Times New Roman" w:hAnsi="Times New Roman"/>
          <w:sz w:val="14"/>
          <w:szCs w:val="14"/>
          <w:color w:val="262326"/>
        </w:rPr>
        <w:t>u</w:t>
      </w:r>
      <w:r>
        <w:rPr>
          <w:rFonts w:ascii="Times New Roman" w:cs="Times New Roman" w:eastAsia="Times New Roman" w:hAnsi="Times New Roman"/>
          <w:sz w:val="14"/>
          <w:szCs w:val="14"/>
          <w:color w:val="3D3642"/>
        </w:rPr>
        <w:t>g</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504956"/>
        </w:rPr>
        <w:t>o</w:t>
      </w:r>
      <w:r>
        <w:rPr>
          <w:rFonts w:ascii="Times New Roman" w:cs="Times New Roman" w:eastAsia="Times New Roman" w:hAnsi="Times New Roman"/>
          <w:sz w:val="14"/>
          <w:szCs w:val="14"/>
          <w:color w:val="262326"/>
        </w:rPr>
        <w:t>u</w:t>
      </w:r>
      <w:r>
        <w:rPr>
          <w:rFonts w:ascii="Times New Roman" w:cs="Times New Roman" w:eastAsia="Times New Roman" w:hAnsi="Times New Roman"/>
          <w:sz w:val="14"/>
          <w:szCs w:val="14"/>
          <w:color w:val="3D3642"/>
        </w:rPr>
        <w:t>t t</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e Te1m of t</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is</w:t>
      </w:r>
      <w:r>
        <w:rPr>
          <w:rFonts w:ascii="Times New Roman" w:cs="Times New Roman" w:eastAsia="Times New Roman" w:hAnsi="Times New Roman"/>
          <w:sz w:val="14"/>
          <w:szCs w:val="14"/>
          <w:color w:val="504956"/>
        </w:rPr>
        <w:t xml:space="preserve"> S</w:t>
      </w:r>
      <w:r>
        <w:rPr>
          <w:rFonts w:ascii="Times New Roman" w:cs="Times New Roman" w:eastAsia="Times New Roman" w:hAnsi="Times New Roman"/>
          <w:sz w:val="14"/>
          <w:szCs w:val="14"/>
          <w:color w:val="262326"/>
        </w:rPr>
        <w:t>u</w:t>
      </w:r>
      <w:r>
        <w:rPr>
          <w:rFonts w:ascii="Times New Roman" w:cs="Times New Roman" w:eastAsia="Times New Roman" w:hAnsi="Times New Roman"/>
          <w:sz w:val="14"/>
          <w:szCs w:val="14"/>
          <w:color w:val="3D3642"/>
        </w:rPr>
        <w:t>blease, Subtena</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3D3642"/>
        </w:rPr>
        <w:t>t</w:t>
      </w:r>
      <w:r>
        <w:rPr>
          <w:rFonts w:ascii="Times New Roman" w:cs="Times New Roman" w:eastAsia="Times New Roman" w:hAnsi="Times New Roman"/>
          <w:sz w:val="14"/>
          <w:szCs w:val="14"/>
          <w:color w:val="504956"/>
        </w:rPr>
        <w:t xml:space="preserve"> shall </w:t>
      </w:r>
      <w:r>
        <w:rPr>
          <w:rFonts w:ascii="Times New Roman" w:cs="Times New Roman" w:eastAsia="Times New Roman" w:hAnsi="Times New Roman"/>
          <w:sz w:val="14"/>
          <w:szCs w:val="14"/>
          <w:color w:val="262326"/>
        </w:rPr>
        <w:t>p</w:t>
      </w:r>
      <w:r>
        <w:rPr>
          <w:rFonts w:ascii="Times New Roman" w:cs="Times New Roman" w:eastAsia="Times New Roman" w:hAnsi="Times New Roman"/>
          <w:sz w:val="14"/>
          <w:szCs w:val="14"/>
          <w:color w:val="3D3642"/>
        </w:rPr>
        <w:t>ay to S</w:t>
      </w:r>
      <w:r>
        <w:rPr>
          <w:rFonts w:ascii="Times New Roman" w:cs="Times New Roman" w:eastAsia="Times New Roman" w:hAnsi="Times New Roman"/>
          <w:sz w:val="14"/>
          <w:szCs w:val="14"/>
          <w:color w:val="262326"/>
        </w:rPr>
        <w:t>u</w:t>
      </w:r>
      <w:r>
        <w:rPr>
          <w:rFonts w:ascii="Times New Roman" w:cs="Times New Roman" w:eastAsia="Times New Roman" w:hAnsi="Times New Roman"/>
          <w:sz w:val="14"/>
          <w:szCs w:val="14"/>
          <w:color w:val="3D3642"/>
        </w:rPr>
        <w:t>bland</w:t>
      </w:r>
      <w:r>
        <w:rPr>
          <w:rFonts w:ascii="Times New Roman" w:cs="Times New Roman" w:eastAsia="Times New Roman" w:hAnsi="Times New Roman"/>
          <w:sz w:val="14"/>
          <w:szCs w:val="14"/>
          <w:color w:val="262326"/>
        </w:rPr>
        <w:t>l</w:t>
      </w:r>
      <w:r>
        <w:rPr>
          <w:rFonts w:ascii="Times New Roman" w:cs="Times New Roman" w:eastAsia="Times New Roman" w:hAnsi="Times New Roman"/>
          <w:sz w:val="14"/>
          <w:szCs w:val="14"/>
          <w:color w:val="504956"/>
        </w:rPr>
        <w:t>o</w:t>
      </w:r>
      <w:r>
        <w:rPr>
          <w:rFonts w:ascii="Times New Roman" w:cs="Times New Roman" w:eastAsia="Times New Roman" w:hAnsi="Times New Roman"/>
          <w:sz w:val="14"/>
          <w:szCs w:val="14"/>
          <w:color w:val="262326"/>
        </w:rPr>
        <w:t>r</w:t>
      </w:r>
      <w:r>
        <w:rPr>
          <w:rFonts w:ascii="Times New Roman" w:cs="Times New Roman" w:eastAsia="Times New Roman" w:hAnsi="Times New Roman"/>
          <w:sz w:val="14"/>
          <w:szCs w:val="14"/>
          <w:color w:val="3D3642"/>
        </w:rPr>
        <w:t>d base re</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3D3642"/>
        </w:rPr>
        <w:t>t</w:t>
      </w:r>
      <w:r>
        <w:rPr>
          <w:rFonts w:ascii="Times New Roman" w:cs="Times New Roman" w:eastAsia="Times New Roman" w:hAnsi="Times New Roman"/>
          <w:sz w:val="14"/>
          <w:szCs w:val="14"/>
          <w:color w:val="504956"/>
        </w:rPr>
        <w:t xml:space="preserve"> </w:t>
      </w:r>
      <w:r>
        <w:rPr>
          <w:rFonts w:ascii="Times New Roman" w:cs="Times New Roman" w:eastAsia="Times New Roman" w:hAnsi="Times New Roman"/>
          <w:sz w:val="13"/>
          <w:szCs w:val="13"/>
          <w:b w:val="1"/>
          <w:bCs w:val="1"/>
          <w:color w:val="504956"/>
        </w:rPr>
        <w:t>("</w:t>
      </w:r>
      <w:r>
        <w:rPr>
          <w:rFonts w:ascii="Times New Roman" w:cs="Times New Roman" w:eastAsia="Times New Roman" w:hAnsi="Times New Roman"/>
          <w:sz w:val="13"/>
          <w:szCs w:val="13"/>
          <w:b w:val="1"/>
          <w:bCs w:val="1"/>
          <w:color w:val="262326"/>
        </w:rPr>
        <w:t>Ba</w:t>
      </w:r>
      <w:r>
        <w:rPr>
          <w:rFonts w:ascii="Times New Roman" w:cs="Times New Roman" w:eastAsia="Times New Roman" w:hAnsi="Times New Roman"/>
          <w:sz w:val="13"/>
          <w:szCs w:val="13"/>
          <w:b w:val="1"/>
          <w:bCs w:val="1"/>
          <w:color w:val="3D3642"/>
        </w:rPr>
        <w:t>se</w:t>
      </w:r>
      <w:r>
        <w:rPr>
          <w:rFonts w:ascii="Times New Roman" w:cs="Times New Roman" w:eastAsia="Times New Roman" w:hAnsi="Times New Roman"/>
          <w:sz w:val="14"/>
          <w:szCs w:val="14"/>
          <w:color w:val="504956"/>
        </w:rPr>
        <w:t xml:space="preserve"> </w:t>
      </w:r>
      <w:r>
        <w:rPr>
          <w:rFonts w:ascii="Times New Roman" w:cs="Times New Roman" w:eastAsia="Times New Roman" w:hAnsi="Times New Roman"/>
          <w:sz w:val="13"/>
          <w:szCs w:val="13"/>
          <w:b w:val="1"/>
          <w:bCs w:val="1"/>
          <w:color w:val="262326"/>
        </w:rPr>
        <w:t>R</w:t>
      </w:r>
      <w:r>
        <w:rPr>
          <w:rFonts w:ascii="Times New Roman" w:cs="Times New Roman" w:eastAsia="Times New Roman" w:hAnsi="Times New Roman"/>
          <w:sz w:val="13"/>
          <w:szCs w:val="13"/>
          <w:b w:val="1"/>
          <w:bCs w:val="1"/>
          <w:color w:val="3D3642"/>
        </w:rPr>
        <w:t>e</w:t>
      </w:r>
      <w:r>
        <w:rPr>
          <w:rFonts w:ascii="Times New Roman" w:cs="Times New Roman" w:eastAsia="Times New Roman" w:hAnsi="Times New Roman"/>
          <w:sz w:val="13"/>
          <w:szCs w:val="13"/>
          <w:b w:val="1"/>
          <w:bCs w:val="1"/>
          <w:color w:val="262326"/>
        </w:rPr>
        <w:t>nt</w:t>
      </w:r>
      <w:r>
        <w:rPr>
          <w:rFonts w:ascii="Times New Roman" w:cs="Times New Roman" w:eastAsia="Times New Roman" w:hAnsi="Times New Roman"/>
          <w:sz w:val="13"/>
          <w:szCs w:val="13"/>
          <w:b w:val="1"/>
          <w:bCs w:val="1"/>
          <w:color w:val="504956"/>
        </w:rPr>
        <w:t>")</w:t>
      </w:r>
      <w:r>
        <w:rPr>
          <w:rFonts w:ascii="Times New Roman" w:cs="Times New Roman" w:eastAsia="Times New Roman" w:hAnsi="Times New Roman"/>
          <w:sz w:val="14"/>
          <w:szCs w:val="14"/>
          <w:color w:val="504956"/>
        </w:rPr>
        <w:t xml:space="preserve"> </w:t>
      </w:r>
      <w:r>
        <w:rPr>
          <w:rFonts w:ascii="Times New Roman" w:cs="Times New Roman" w:eastAsia="Times New Roman" w:hAnsi="Times New Roman"/>
          <w:sz w:val="14"/>
          <w:szCs w:val="14"/>
          <w:color w:val="3D3642"/>
        </w:rPr>
        <w:t>in mo</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3D3642"/>
        </w:rPr>
        <w:t>t</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ly installme</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3D3642"/>
        </w:rPr>
        <w:t>ts as</w:t>
      </w:r>
      <w:r>
        <w:rPr>
          <w:rFonts w:ascii="Times New Roman" w:cs="Times New Roman" w:eastAsia="Times New Roman" w:hAnsi="Times New Roman"/>
          <w:sz w:val="14"/>
          <w:szCs w:val="14"/>
          <w:color w:val="504956"/>
        </w:rPr>
        <w:t xml:space="preserve"> </w:t>
      </w:r>
      <w:r>
        <w:rPr>
          <w:rFonts w:ascii="Times New Roman" w:cs="Times New Roman" w:eastAsia="Times New Roman" w:hAnsi="Times New Roman"/>
          <w:sz w:val="14"/>
          <w:szCs w:val="14"/>
          <w:color w:val="3D3642"/>
        </w:rPr>
        <w:t>provided in the following table</w:t>
      </w:r>
      <w:r>
        <w:rPr>
          <w:rFonts w:ascii="Times New Roman" w:cs="Times New Roman" w:eastAsia="Times New Roman" w:hAnsi="Times New Roman"/>
          <w:sz w:val="14"/>
          <w:szCs w:val="14"/>
          <w:color w:val="646269"/>
        </w:rPr>
        <w:t>,</w:t>
      </w:r>
      <w:r>
        <w:rPr>
          <w:rFonts w:ascii="Times New Roman" w:cs="Times New Roman" w:eastAsia="Times New Roman" w:hAnsi="Times New Roman"/>
          <w:sz w:val="14"/>
          <w:szCs w:val="14"/>
          <w:color w:val="3D3642"/>
        </w:rPr>
        <w:t xml:space="preserve"> eac</w:t>
      </w:r>
      <w:r>
        <w:rPr>
          <w:rFonts w:ascii="Times New Roman" w:cs="Times New Roman" w:eastAsia="Times New Roman" w:hAnsi="Times New Roman"/>
          <w:sz w:val="14"/>
          <w:szCs w:val="14"/>
          <w:color w:val="262326"/>
        </w:rPr>
        <w:t>h i</w:t>
      </w:r>
      <w:r>
        <w:rPr>
          <w:rFonts w:ascii="Times New Roman" w:cs="Times New Roman" w:eastAsia="Times New Roman" w:hAnsi="Times New Roman"/>
          <w:sz w:val="14"/>
          <w:szCs w:val="14"/>
          <w:color w:val="3D3642"/>
        </w:rPr>
        <w:t>nsta</w:t>
      </w:r>
      <w:r>
        <w:rPr>
          <w:rFonts w:ascii="Times New Roman" w:cs="Times New Roman" w:eastAsia="Times New Roman" w:hAnsi="Times New Roman"/>
          <w:sz w:val="14"/>
          <w:szCs w:val="14"/>
          <w:color w:val="262326"/>
        </w:rPr>
        <w:t>ll</w:t>
      </w:r>
      <w:r>
        <w:rPr>
          <w:rFonts w:ascii="Times New Roman" w:cs="Times New Roman" w:eastAsia="Times New Roman" w:hAnsi="Times New Roman"/>
          <w:sz w:val="14"/>
          <w:szCs w:val="14"/>
          <w:color w:val="3D3642"/>
        </w:rPr>
        <w:t xml:space="preserve">ment </w:t>
      </w:r>
      <w:r>
        <w:rPr>
          <w:rFonts w:ascii="Times New Roman" w:cs="Times New Roman" w:eastAsia="Times New Roman" w:hAnsi="Times New Roman"/>
          <w:sz w:val="14"/>
          <w:szCs w:val="14"/>
          <w:color w:val="504956"/>
        </w:rPr>
        <w:t>of wh</w:t>
      </w:r>
      <w:r>
        <w:rPr>
          <w:rFonts w:ascii="Times New Roman" w:cs="Times New Roman" w:eastAsia="Times New Roman" w:hAnsi="Times New Roman"/>
          <w:sz w:val="14"/>
          <w:szCs w:val="14"/>
          <w:color w:val="262326"/>
        </w:rPr>
        <w:t>i</w:t>
      </w:r>
      <w:r>
        <w:rPr>
          <w:rFonts w:ascii="Times New Roman" w:cs="Times New Roman" w:eastAsia="Times New Roman" w:hAnsi="Times New Roman"/>
          <w:sz w:val="14"/>
          <w:szCs w:val="14"/>
          <w:color w:val="3D3642"/>
        </w:rPr>
        <w:t xml:space="preserve">ch </w:t>
      </w:r>
      <w:r>
        <w:rPr>
          <w:rFonts w:ascii="Times New Roman" w:cs="Times New Roman" w:eastAsia="Times New Roman" w:hAnsi="Times New Roman"/>
          <w:sz w:val="14"/>
          <w:szCs w:val="14"/>
          <w:color w:val="504956"/>
        </w:rPr>
        <w:t>s</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a</w:t>
      </w:r>
      <w:r>
        <w:rPr>
          <w:rFonts w:ascii="Times New Roman" w:cs="Times New Roman" w:eastAsia="Times New Roman" w:hAnsi="Times New Roman"/>
          <w:sz w:val="14"/>
          <w:szCs w:val="14"/>
          <w:color w:val="262326"/>
        </w:rPr>
        <w:t>ll</w:t>
      </w:r>
      <w:r>
        <w:rPr>
          <w:rFonts w:ascii="Times New Roman" w:cs="Times New Roman" w:eastAsia="Times New Roman" w:hAnsi="Times New Roman"/>
          <w:sz w:val="14"/>
          <w:szCs w:val="14"/>
          <w:color w:val="3D3642"/>
        </w:rPr>
        <w:t xml:space="preserve"> be pa</w:t>
      </w:r>
      <w:r>
        <w:rPr>
          <w:rFonts w:ascii="Times New Roman" w:cs="Times New Roman" w:eastAsia="Times New Roman" w:hAnsi="Times New Roman"/>
          <w:sz w:val="14"/>
          <w:szCs w:val="14"/>
          <w:color w:val="262326"/>
        </w:rPr>
        <w:t>i</w:t>
      </w:r>
      <w:r>
        <w:rPr>
          <w:rFonts w:ascii="Times New Roman" w:cs="Times New Roman" w:eastAsia="Times New Roman" w:hAnsi="Times New Roman"/>
          <w:sz w:val="14"/>
          <w:szCs w:val="14"/>
          <w:color w:val="3D3642"/>
        </w:rPr>
        <w:t>d to S</w:t>
      </w:r>
      <w:r>
        <w:rPr>
          <w:rFonts w:ascii="Times New Roman" w:cs="Times New Roman" w:eastAsia="Times New Roman" w:hAnsi="Times New Roman"/>
          <w:sz w:val="14"/>
          <w:szCs w:val="14"/>
          <w:color w:val="262326"/>
        </w:rPr>
        <w:t>u</w:t>
      </w:r>
      <w:r>
        <w:rPr>
          <w:rFonts w:ascii="Times New Roman" w:cs="Times New Roman" w:eastAsia="Times New Roman" w:hAnsi="Times New Roman"/>
          <w:sz w:val="14"/>
          <w:szCs w:val="14"/>
          <w:color w:val="3D3642"/>
        </w:rPr>
        <w:t>bland</w:t>
      </w:r>
      <w:r>
        <w:rPr>
          <w:rFonts w:ascii="Times New Roman" w:cs="Times New Roman" w:eastAsia="Times New Roman" w:hAnsi="Times New Roman"/>
          <w:sz w:val="14"/>
          <w:szCs w:val="14"/>
          <w:color w:val="262326"/>
        </w:rPr>
        <w:t>l</w:t>
      </w:r>
      <w:r>
        <w:rPr>
          <w:rFonts w:ascii="Times New Roman" w:cs="Times New Roman" w:eastAsia="Times New Roman" w:hAnsi="Times New Roman"/>
          <w:sz w:val="14"/>
          <w:szCs w:val="14"/>
          <w:color w:val="504956"/>
        </w:rPr>
        <w:t>o</w:t>
      </w:r>
      <w:r>
        <w:rPr>
          <w:rFonts w:ascii="Times New Roman" w:cs="Times New Roman" w:eastAsia="Times New Roman" w:hAnsi="Times New Roman"/>
          <w:sz w:val="14"/>
          <w:szCs w:val="14"/>
          <w:color w:val="262326"/>
        </w:rPr>
        <w:t>r</w:t>
      </w:r>
      <w:r>
        <w:rPr>
          <w:rFonts w:ascii="Times New Roman" w:cs="Times New Roman" w:eastAsia="Times New Roman" w:hAnsi="Times New Roman"/>
          <w:sz w:val="14"/>
          <w:szCs w:val="14"/>
          <w:color w:val="3D3642"/>
        </w:rPr>
        <w:t xml:space="preserve">d in </w:t>
      </w:r>
      <w:r>
        <w:rPr>
          <w:rFonts w:ascii="Times New Roman" w:cs="Times New Roman" w:eastAsia="Times New Roman" w:hAnsi="Times New Roman"/>
          <w:sz w:val="14"/>
          <w:szCs w:val="14"/>
          <w:color w:val="504956"/>
        </w:rPr>
        <w:t>advance on o</w:t>
      </w:r>
      <w:r>
        <w:rPr>
          <w:rFonts w:ascii="Times New Roman" w:cs="Times New Roman" w:eastAsia="Times New Roman" w:hAnsi="Times New Roman"/>
          <w:sz w:val="14"/>
          <w:szCs w:val="14"/>
          <w:color w:val="262326"/>
        </w:rPr>
        <w:t>r</w:t>
      </w:r>
      <w:r>
        <w:rPr>
          <w:rFonts w:ascii="Times New Roman" w:cs="Times New Roman" w:eastAsia="Times New Roman" w:hAnsi="Times New Roman"/>
          <w:sz w:val="14"/>
          <w:szCs w:val="14"/>
          <w:color w:val="3D3642"/>
        </w:rPr>
        <w:t xml:space="preserve"> before t</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e fi</w:t>
      </w:r>
      <w:r>
        <w:rPr>
          <w:rFonts w:ascii="Times New Roman" w:cs="Times New Roman" w:eastAsia="Times New Roman" w:hAnsi="Times New Roman"/>
          <w:sz w:val="14"/>
          <w:szCs w:val="14"/>
          <w:color w:val="262326"/>
        </w:rPr>
        <w:t>r</w:t>
      </w:r>
      <w:r>
        <w:rPr>
          <w:rFonts w:ascii="Times New Roman" w:cs="Times New Roman" w:eastAsia="Times New Roman" w:hAnsi="Times New Roman"/>
          <w:sz w:val="14"/>
          <w:szCs w:val="14"/>
          <w:color w:val="504956"/>
        </w:rPr>
        <w:t>st</w:t>
      </w:r>
      <w:r>
        <w:rPr>
          <w:rFonts w:ascii="Times New Roman" w:cs="Times New Roman" w:eastAsia="Times New Roman" w:hAnsi="Times New Roman"/>
          <w:sz w:val="14"/>
          <w:szCs w:val="14"/>
          <w:color w:val="3D3642"/>
        </w:rPr>
        <w:t xml:space="preserve"> day of eac</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 xml:space="preserve"> cale</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3D3642"/>
        </w:rPr>
        <w:t>dar mont</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 xml:space="preserve"> d</w:t>
      </w:r>
      <w:r>
        <w:rPr>
          <w:rFonts w:ascii="Times New Roman" w:cs="Times New Roman" w:eastAsia="Times New Roman" w:hAnsi="Times New Roman"/>
          <w:sz w:val="14"/>
          <w:szCs w:val="14"/>
          <w:color w:val="262326"/>
        </w:rPr>
        <w:t>urin</w:t>
      </w:r>
      <w:r>
        <w:rPr>
          <w:rFonts w:ascii="Times New Roman" w:cs="Times New Roman" w:eastAsia="Times New Roman" w:hAnsi="Times New Roman"/>
          <w:sz w:val="14"/>
          <w:szCs w:val="14"/>
          <w:color w:val="504956"/>
        </w:rPr>
        <w:t>g</w:t>
      </w:r>
      <w:r>
        <w:rPr>
          <w:rFonts w:ascii="Times New Roman" w:cs="Times New Roman" w:eastAsia="Times New Roman" w:hAnsi="Times New Roman"/>
          <w:sz w:val="14"/>
          <w:szCs w:val="14"/>
          <w:color w:val="3D3642"/>
        </w:rPr>
        <w:t xml:space="preserve"> t</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 xml:space="preserve">e </w:t>
      </w:r>
      <w:r>
        <w:rPr>
          <w:rFonts w:ascii="Times New Roman" w:cs="Times New Roman" w:eastAsia="Times New Roman" w:hAnsi="Times New Roman"/>
          <w:sz w:val="14"/>
          <w:szCs w:val="14"/>
          <w:color w:val="262326"/>
        </w:rPr>
        <w:t>T</w:t>
      </w:r>
      <w:r>
        <w:rPr>
          <w:rFonts w:ascii="Times New Roman" w:cs="Times New Roman" w:eastAsia="Times New Roman" w:hAnsi="Times New Roman"/>
          <w:sz w:val="14"/>
          <w:szCs w:val="14"/>
          <w:color w:val="3D3642"/>
        </w:rPr>
        <w:t>enn</w:t>
      </w:r>
      <w:r>
        <w:rPr>
          <w:rFonts w:ascii="Times New Roman" w:cs="Times New Roman" w:eastAsia="Times New Roman" w:hAnsi="Times New Roman"/>
          <w:sz w:val="14"/>
          <w:szCs w:val="14"/>
          <w:color w:val="646269"/>
        </w:rPr>
        <w:t>,</w:t>
      </w:r>
      <w:r>
        <w:rPr>
          <w:rFonts w:ascii="Times New Roman" w:cs="Times New Roman" w:eastAsia="Times New Roman" w:hAnsi="Times New Roman"/>
          <w:sz w:val="14"/>
          <w:szCs w:val="14"/>
          <w:color w:val="262326"/>
        </w:rPr>
        <w:t xml:space="preserve"> in </w:t>
      </w:r>
      <w:r>
        <w:rPr>
          <w:rFonts w:ascii="Times New Roman" w:cs="Times New Roman" w:eastAsia="Times New Roman" w:hAnsi="Times New Roman"/>
          <w:sz w:val="14"/>
          <w:szCs w:val="14"/>
          <w:color w:val="3D3642"/>
        </w:rPr>
        <w:t>law</w:t>
      </w:r>
      <w:r>
        <w:rPr>
          <w:rFonts w:ascii="Times New Roman" w:cs="Times New Roman" w:eastAsia="Times New Roman" w:hAnsi="Times New Roman"/>
          <w:sz w:val="14"/>
          <w:szCs w:val="14"/>
          <w:color w:val="262326"/>
        </w:rPr>
        <w:t>fu</w:t>
      </w:r>
      <w:r>
        <w:rPr>
          <w:rFonts w:ascii="Times New Roman" w:cs="Times New Roman" w:eastAsia="Times New Roman" w:hAnsi="Times New Roman"/>
          <w:sz w:val="14"/>
          <w:szCs w:val="14"/>
          <w:color w:val="3D3642"/>
        </w:rPr>
        <w:t>l money</w:t>
      </w:r>
      <w:r>
        <w:rPr>
          <w:rFonts w:ascii="Times New Roman" w:cs="Times New Roman" w:eastAsia="Times New Roman" w:hAnsi="Times New Roman"/>
          <w:sz w:val="14"/>
          <w:szCs w:val="14"/>
          <w:color w:val="262326"/>
        </w:rPr>
        <w:t xml:space="preserve"> </w:t>
      </w:r>
      <w:r>
        <w:rPr>
          <w:rFonts w:ascii="Times New Roman" w:cs="Times New Roman" w:eastAsia="Times New Roman" w:hAnsi="Times New Roman"/>
          <w:sz w:val="14"/>
          <w:szCs w:val="14"/>
          <w:color w:val="504956"/>
        </w:rPr>
        <w:t>of</w:t>
      </w:r>
      <w:r>
        <w:rPr>
          <w:rFonts w:ascii="Times New Roman" w:cs="Times New Roman" w:eastAsia="Times New Roman" w:hAnsi="Times New Roman"/>
          <w:sz w:val="14"/>
          <w:szCs w:val="14"/>
          <w:color w:val="262326"/>
        </w:rPr>
        <w:t xml:space="preserve"> </w:t>
      </w:r>
      <w:r>
        <w:rPr>
          <w:rFonts w:ascii="Times New Roman" w:cs="Times New Roman" w:eastAsia="Times New Roman" w:hAnsi="Times New Roman"/>
          <w:sz w:val="14"/>
          <w:szCs w:val="14"/>
          <w:color w:val="3D3642"/>
        </w:rPr>
        <w:t>t</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e Un</w:t>
      </w:r>
      <w:r>
        <w:rPr>
          <w:rFonts w:ascii="Times New Roman" w:cs="Times New Roman" w:eastAsia="Times New Roman" w:hAnsi="Times New Roman"/>
          <w:sz w:val="14"/>
          <w:szCs w:val="14"/>
          <w:color w:val="262326"/>
        </w:rPr>
        <w:t>i</w:t>
      </w:r>
      <w:r>
        <w:rPr>
          <w:rFonts w:ascii="Times New Roman" w:cs="Times New Roman" w:eastAsia="Times New Roman" w:hAnsi="Times New Roman"/>
          <w:sz w:val="14"/>
          <w:szCs w:val="14"/>
          <w:color w:val="3D3642"/>
        </w:rPr>
        <w:t>ted States</w:t>
      </w:r>
      <w:r>
        <w:rPr>
          <w:rFonts w:ascii="Times New Roman" w:cs="Times New Roman" w:eastAsia="Times New Roman" w:hAnsi="Times New Roman"/>
          <w:sz w:val="14"/>
          <w:szCs w:val="14"/>
          <w:color w:val="646269"/>
        </w:rPr>
        <w:t>,</w:t>
      </w:r>
      <w:r>
        <w:rPr>
          <w:rFonts w:ascii="Times New Roman" w:cs="Times New Roman" w:eastAsia="Times New Roman" w:hAnsi="Times New Roman"/>
          <w:sz w:val="14"/>
          <w:szCs w:val="14"/>
          <w:color w:val="262326"/>
        </w:rPr>
        <w:t xml:space="preserve"> </w:t>
      </w:r>
      <w:r>
        <w:rPr>
          <w:rFonts w:ascii="Times New Roman" w:cs="Times New Roman" w:eastAsia="Times New Roman" w:hAnsi="Times New Roman"/>
          <w:sz w:val="14"/>
          <w:szCs w:val="14"/>
          <w:color w:val="3D3642"/>
        </w:rPr>
        <w:t>at t</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e address</w:t>
      </w:r>
      <w:r>
        <w:rPr>
          <w:rFonts w:ascii="Times New Roman" w:cs="Times New Roman" w:eastAsia="Times New Roman" w:hAnsi="Times New Roman"/>
          <w:sz w:val="14"/>
          <w:szCs w:val="14"/>
          <w:color w:val="262326"/>
        </w:rPr>
        <w:t xml:space="preserve"> </w:t>
      </w:r>
      <w:r>
        <w:rPr>
          <w:rFonts w:ascii="Times New Roman" w:cs="Times New Roman" w:eastAsia="Times New Roman" w:hAnsi="Times New Roman"/>
          <w:sz w:val="14"/>
          <w:szCs w:val="14"/>
          <w:color w:val="504956"/>
        </w:rPr>
        <w:t>of</w:t>
      </w:r>
      <w:r>
        <w:rPr>
          <w:rFonts w:ascii="Times New Roman" w:cs="Times New Roman" w:eastAsia="Times New Roman" w:hAnsi="Times New Roman"/>
          <w:sz w:val="14"/>
          <w:szCs w:val="14"/>
          <w:color w:val="262326"/>
        </w:rPr>
        <w:t xml:space="preserve"> </w:t>
      </w:r>
      <w:r>
        <w:rPr>
          <w:rFonts w:ascii="Times New Roman" w:cs="Times New Roman" w:eastAsia="Times New Roman" w:hAnsi="Times New Roman"/>
          <w:sz w:val="14"/>
          <w:szCs w:val="14"/>
          <w:color w:val="3D3642"/>
        </w:rPr>
        <w:t>S</w:t>
      </w:r>
      <w:r>
        <w:rPr>
          <w:rFonts w:ascii="Times New Roman" w:cs="Times New Roman" w:eastAsia="Times New Roman" w:hAnsi="Times New Roman"/>
          <w:sz w:val="14"/>
          <w:szCs w:val="14"/>
          <w:color w:val="262326"/>
        </w:rPr>
        <w:t>u</w:t>
      </w:r>
      <w:r>
        <w:rPr>
          <w:rFonts w:ascii="Times New Roman" w:cs="Times New Roman" w:eastAsia="Times New Roman" w:hAnsi="Times New Roman"/>
          <w:sz w:val="14"/>
          <w:szCs w:val="14"/>
          <w:color w:val="3D3642"/>
        </w:rPr>
        <w:t>blandlo</w:t>
      </w:r>
      <w:r>
        <w:rPr>
          <w:rFonts w:ascii="Times New Roman" w:cs="Times New Roman" w:eastAsia="Times New Roman" w:hAnsi="Times New Roman"/>
          <w:sz w:val="14"/>
          <w:szCs w:val="14"/>
          <w:color w:val="262326"/>
        </w:rPr>
        <w:t>r</w:t>
      </w:r>
      <w:r>
        <w:rPr>
          <w:rFonts w:ascii="Times New Roman" w:cs="Times New Roman" w:eastAsia="Times New Roman" w:hAnsi="Times New Roman"/>
          <w:sz w:val="14"/>
          <w:szCs w:val="14"/>
          <w:color w:val="3D3642"/>
        </w:rPr>
        <w:t>d</w:t>
      </w:r>
      <w:r>
        <w:rPr>
          <w:rFonts w:ascii="Times New Roman" w:cs="Times New Roman" w:eastAsia="Times New Roman" w:hAnsi="Times New Roman"/>
          <w:sz w:val="14"/>
          <w:szCs w:val="14"/>
          <w:color w:val="262326"/>
        </w:rPr>
        <w:t xml:space="preserve"> </w:t>
      </w:r>
      <w:r>
        <w:rPr>
          <w:rFonts w:ascii="Times New Roman" w:cs="Times New Roman" w:eastAsia="Times New Roman" w:hAnsi="Times New Roman"/>
          <w:sz w:val="14"/>
          <w:szCs w:val="14"/>
          <w:color w:val="504956"/>
        </w:rPr>
        <w:t>set</w:t>
      </w:r>
      <w:r>
        <w:rPr>
          <w:rFonts w:ascii="Times New Roman" w:cs="Times New Roman" w:eastAsia="Times New Roman" w:hAnsi="Times New Roman"/>
          <w:sz w:val="14"/>
          <w:szCs w:val="14"/>
          <w:color w:val="262326"/>
        </w:rPr>
        <w:t xml:space="preserve"> </w:t>
      </w:r>
      <w:r>
        <w:rPr>
          <w:rFonts w:ascii="Times New Roman" w:cs="Times New Roman" w:eastAsia="Times New Roman" w:hAnsi="Times New Roman"/>
          <w:sz w:val="14"/>
          <w:szCs w:val="14"/>
          <w:color w:val="3D3642"/>
        </w:rPr>
        <w:t>fo</w:t>
      </w:r>
      <w:r>
        <w:rPr>
          <w:rFonts w:ascii="Times New Roman" w:cs="Times New Roman" w:eastAsia="Times New Roman" w:hAnsi="Times New Roman"/>
          <w:sz w:val="14"/>
          <w:szCs w:val="14"/>
          <w:color w:val="262326"/>
        </w:rPr>
        <w:t>1</w:t>
      </w:r>
      <w:r>
        <w:rPr>
          <w:rFonts w:ascii="Times New Roman" w:cs="Times New Roman" w:eastAsia="Times New Roman" w:hAnsi="Times New Roman"/>
          <w:sz w:val="14"/>
          <w:szCs w:val="14"/>
          <w:color w:val="3D3642"/>
        </w:rPr>
        <w:t>th in</w:t>
      </w:r>
      <w:r>
        <w:rPr>
          <w:rFonts w:ascii="Times New Roman" w:cs="Times New Roman" w:eastAsia="Times New Roman" w:hAnsi="Times New Roman"/>
          <w:sz w:val="14"/>
          <w:szCs w:val="14"/>
          <w:color w:val="262326"/>
        </w:rPr>
        <w:t xml:space="preserve"> </w:t>
      </w:r>
      <w:r>
        <w:rPr>
          <w:rFonts w:ascii="Times New Roman" w:cs="Times New Roman" w:eastAsia="Times New Roman" w:hAnsi="Times New Roman"/>
          <w:sz w:val="14"/>
          <w:szCs w:val="14"/>
          <w:u w:val="single" w:color="auto"/>
          <w:color w:val="504956"/>
        </w:rPr>
        <w:t>Sect</w:t>
      </w:r>
      <w:r>
        <w:rPr>
          <w:rFonts w:ascii="Times New Roman" w:cs="Times New Roman" w:eastAsia="Times New Roman" w:hAnsi="Times New Roman"/>
          <w:sz w:val="14"/>
          <w:szCs w:val="14"/>
          <w:u w:val="single" w:color="auto"/>
          <w:color w:val="262326"/>
        </w:rPr>
        <w:t>i</w:t>
      </w:r>
      <w:r>
        <w:rPr>
          <w:rFonts w:ascii="Times New Roman" w:cs="Times New Roman" w:eastAsia="Times New Roman" w:hAnsi="Times New Roman"/>
          <w:sz w:val="14"/>
          <w:szCs w:val="14"/>
          <w:u w:val="single" w:color="auto"/>
          <w:color w:val="504956"/>
        </w:rPr>
        <w:t>o</w:t>
      </w:r>
      <w:r>
        <w:rPr>
          <w:rFonts w:ascii="Times New Roman" w:cs="Times New Roman" w:eastAsia="Times New Roman" w:hAnsi="Times New Roman"/>
          <w:sz w:val="14"/>
          <w:szCs w:val="14"/>
          <w:u w:val="single" w:color="auto"/>
          <w:color w:val="262326"/>
        </w:rPr>
        <w:t>n</w:t>
      </w:r>
      <w:r>
        <w:rPr>
          <w:rFonts w:ascii="Times New Roman" w:cs="Times New Roman" w:eastAsia="Times New Roman" w:hAnsi="Times New Roman"/>
          <w:sz w:val="14"/>
          <w:szCs w:val="14"/>
          <w:color w:val="262326"/>
        </w:rPr>
        <w:t xml:space="preserve"> </w:t>
      </w:r>
      <w:r>
        <w:rPr>
          <w:rFonts w:ascii="Times New Roman" w:cs="Times New Roman" w:eastAsia="Times New Roman" w:hAnsi="Times New Roman"/>
          <w:sz w:val="14"/>
          <w:szCs w:val="14"/>
          <w:u w:val="single" w:color="auto"/>
          <w:color w:val="3D3642"/>
        </w:rPr>
        <w:t>13</w:t>
      </w:r>
      <w:r>
        <w:rPr>
          <w:rFonts w:ascii="Times New Roman" w:cs="Times New Roman" w:eastAsia="Times New Roman" w:hAnsi="Times New Roman"/>
          <w:sz w:val="14"/>
          <w:szCs w:val="14"/>
          <w:color w:val="262326"/>
        </w:rPr>
        <w:t xml:space="preserve"> </w:t>
      </w:r>
      <w:r>
        <w:rPr>
          <w:rFonts w:ascii="Times New Roman" w:cs="Times New Roman" w:eastAsia="Times New Roman" w:hAnsi="Times New Roman"/>
          <w:sz w:val="14"/>
          <w:szCs w:val="14"/>
          <w:color w:val="3D3642"/>
        </w:rPr>
        <w:t>be</w:t>
      </w:r>
      <w:r>
        <w:rPr>
          <w:rFonts w:ascii="Times New Roman" w:cs="Times New Roman" w:eastAsia="Times New Roman" w:hAnsi="Times New Roman"/>
          <w:sz w:val="14"/>
          <w:szCs w:val="14"/>
          <w:color w:val="262326"/>
        </w:rPr>
        <w:t>l</w:t>
      </w:r>
      <w:r>
        <w:rPr>
          <w:rFonts w:ascii="Times New Roman" w:cs="Times New Roman" w:eastAsia="Times New Roman" w:hAnsi="Times New Roman"/>
          <w:sz w:val="14"/>
          <w:szCs w:val="14"/>
          <w:color w:val="504956"/>
        </w:rPr>
        <w:t>ow or</w:t>
      </w:r>
      <w:r>
        <w:rPr>
          <w:rFonts w:ascii="Times New Roman" w:cs="Times New Roman" w:eastAsia="Times New Roman" w:hAnsi="Times New Roman"/>
          <w:sz w:val="14"/>
          <w:szCs w:val="14"/>
          <w:color w:val="262326"/>
        </w:rPr>
        <w:t xml:space="preserve"> </w:t>
      </w:r>
      <w:r>
        <w:rPr>
          <w:rFonts w:ascii="Times New Roman" w:cs="Times New Roman" w:eastAsia="Times New Roman" w:hAnsi="Times New Roman"/>
          <w:sz w:val="14"/>
          <w:szCs w:val="14"/>
          <w:color w:val="3D3642"/>
        </w:rPr>
        <w:t>to</w:t>
      </w:r>
      <w:r>
        <w:rPr>
          <w:rFonts w:ascii="Times New Roman" w:cs="Times New Roman" w:eastAsia="Times New Roman" w:hAnsi="Times New Roman"/>
          <w:sz w:val="14"/>
          <w:szCs w:val="14"/>
          <w:color w:val="262326"/>
        </w:rPr>
        <w:t xml:space="preserve"> </w:t>
      </w:r>
      <w:r>
        <w:rPr>
          <w:rFonts w:ascii="Times New Roman" w:cs="Times New Roman" w:eastAsia="Times New Roman" w:hAnsi="Times New Roman"/>
          <w:sz w:val="14"/>
          <w:szCs w:val="14"/>
          <w:color w:val="504956"/>
        </w:rPr>
        <w:t>s</w:t>
      </w:r>
      <w:r>
        <w:rPr>
          <w:rFonts w:ascii="Times New Roman" w:cs="Times New Roman" w:eastAsia="Times New Roman" w:hAnsi="Times New Roman"/>
          <w:sz w:val="14"/>
          <w:szCs w:val="14"/>
          <w:color w:val="262326"/>
        </w:rPr>
        <w:t>u</w:t>
      </w:r>
      <w:r>
        <w:rPr>
          <w:rFonts w:ascii="Times New Roman" w:cs="Times New Roman" w:eastAsia="Times New Roman" w:hAnsi="Times New Roman"/>
          <w:sz w:val="14"/>
          <w:szCs w:val="14"/>
          <w:color w:val="3D3642"/>
        </w:rPr>
        <w:t>ch</w:t>
      </w:r>
      <w:r>
        <w:rPr>
          <w:rFonts w:ascii="Times New Roman" w:cs="Times New Roman" w:eastAsia="Times New Roman" w:hAnsi="Times New Roman"/>
          <w:sz w:val="14"/>
          <w:szCs w:val="14"/>
          <w:color w:val="262326"/>
        </w:rPr>
        <w:t xml:space="preserve"> </w:t>
      </w:r>
      <w:r>
        <w:rPr>
          <w:rFonts w:ascii="Times New Roman" w:cs="Times New Roman" w:eastAsia="Times New Roman" w:hAnsi="Times New Roman"/>
          <w:sz w:val="14"/>
          <w:szCs w:val="14"/>
          <w:color w:val="504956"/>
        </w:rPr>
        <w:t>ot</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e</w:t>
      </w:r>
      <w:r>
        <w:rPr>
          <w:rFonts w:ascii="Times New Roman" w:cs="Times New Roman" w:eastAsia="Times New Roman" w:hAnsi="Times New Roman"/>
          <w:sz w:val="14"/>
          <w:szCs w:val="14"/>
          <w:color w:val="262326"/>
        </w:rPr>
        <w:t xml:space="preserve">r </w:t>
      </w:r>
      <w:r>
        <w:rPr>
          <w:rFonts w:ascii="Times New Roman" w:cs="Times New Roman" w:eastAsia="Times New Roman" w:hAnsi="Times New Roman"/>
          <w:sz w:val="14"/>
          <w:szCs w:val="14"/>
          <w:color w:val="3D3642"/>
        </w:rPr>
        <w:t>person or</w:t>
      </w:r>
      <w:r>
        <w:rPr>
          <w:rFonts w:ascii="Times New Roman" w:cs="Times New Roman" w:eastAsia="Times New Roman" w:hAnsi="Times New Roman"/>
          <w:sz w:val="14"/>
          <w:szCs w:val="14"/>
          <w:color w:val="262326"/>
        </w:rPr>
        <w:t xml:space="preserve"> </w:t>
      </w:r>
      <w:r>
        <w:rPr>
          <w:rFonts w:ascii="Times New Roman" w:cs="Times New Roman" w:eastAsia="Times New Roman" w:hAnsi="Times New Roman"/>
          <w:sz w:val="14"/>
          <w:szCs w:val="14"/>
          <w:color w:val="504956"/>
        </w:rPr>
        <w:t>at such other</w:t>
      </w:r>
      <w:r>
        <w:rPr>
          <w:rFonts w:ascii="Times New Roman" w:cs="Times New Roman" w:eastAsia="Times New Roman" w:hAnsi="Times New Roman"/>
          <w:sz w:val="14"/>
          <w:szCs w:val="14"/>
          <w:color w:val="262326"/>
        </w:rPr>
        <w:t xml:space="preserve"> </w:t>
      </w:r>
      <w:r>
        <w:rPr>
          <w:rFonts w:ascii="Times New Roman" w:cs="Times New Roman" w:eastAsia="Times New Roman" w:hAnsi="Times New Roman"/>
          <w:sz w:val="14"/>
          <w:szCs w:val="14"/>
          <w:color w:val="3D3642"/>
        </w:rPr>
        <w:t>place</w:t>
      </w:r>
      <w:r>
        <w:rPr>
          <w:rFonts w:ascii="Times New Roman" w:cs="Times New Roman" w:eastAsia="Times New Roman" w:hAnsi="Times New Roman"/>
          <w:sz w:val="14"/>
          <w:szCs w:val="14"/>
          <w:color w:val="262326"/>
        </w:rPr>
        <w:t xml:space="preserve"> </w:t>
      </w:r>
      <w:r>
        <w:rPr>
          <w:rFonts w:ascii="Times New Roman" w:cs="Times New Roman" w:eastAsia="Times New Roman" w:hAnsi="Times New Roman"/>
          <w:sz w:val="14"/>
          <w:szCs w:val="14"/>
          <w:color w:val="504956"/>
        </w:rPr>
        <w:t>as</w:t>
      </w:r>
      <w:r>
        <w:rPr>
          <w:rFonts w:ascii="Times New Roman" w:cs="Times New Roman" w:eastAsia="Times New Roman" w:hAnsi="Times New Roman"/>
          <w:sz w:val="14"/>
          <w:szCs w:val="14"/>
          <w:color w:val="262326"/>
        </w:rPr>
        <w:t xml:space="preserve"> </w:t>
      </w:r>
      <w:r>
        <w:rPr>
          <w:rFonts w:ascii="Times New Roman" w:cs="Times New Roman" w:eastAsia="Times New Roman" w:hAnsi="Times New Roman"/>
          <w:sz w:val="14"/>
          <w:szCs w:val="14"/>
          <w:color w:val="3D3642"/>
        </w:rPr>
        <w:t>S</w:t>
      </w:r>
      <w:r>
        <w:rPr>
          <w:rFonts w:ascii="Times New Roman" w:cs="Times New Roman" w:eastAsia="Times New Roman" w:hAnsi="Times New Roman"/>
          <w:sz w:val="14"/>
          <w:szCs w:val="14"/>
          <w:color w:val="262326"/>
        </w:rPr>
        <w:t>u</w:t>
      </w:r>
      <w:r>
        <w:rPr>
          <w:rFonts w:ascii="Times New Roman" w:cs="Times New Roman" w:eastAsia="Times New Roman" w:hAnsi="Times New Roman"/>
          <w:sz w:val="14"/>
          <w:szCs w:val="14"/>
          <w:color w:val="3D3642"/>
        </w:rPr>
        <w:t>blandlord may from time to time des</w:t>
      </w:r>
      <w:r>
        <w:rPr>
          <w:rFonts w:ascii="Times New Roman" w:cs="Times New Roman" w:eastAsia="Times New Roman" w:hAnsi="Times New Roman"/>
          <w:sz w:val="14"/>
          <w:szCs w:val="14"/>
          <w:color w:val="262326"/>
        </w:rPr>
        <w:t>i</w:t>
      </w:r>
      <w:r>
        <w:rPr>
          <w:rFonts w:ascii="Times New Roman" w:cs="Times New Roman" w:eastAsia="Times New Roman" w:hAnsi="Times New Roman"/>
          <w:sz w:val="14"/>
          <w:szCs w:val="14"/>
          <w:color w:val="504956"/>
        </w:rPr>
        <w:t>g</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3D3642"/>
        </w:rPr>
        <w:t xml:space="preserve">ate </w:t>
      </w:r>
      <w:r>
        <w:rPr>
          <w:rFonts w:ascii="Times New Roman" w:cs="Times New Roman" w:eastAsia="Times New Roman" w:hAnsi="Times New Roman"/>
          <w:sz w:val="14"/>
          <w:szCs w:val="14"/>
          <w:color w:val="262326"/>
        </w:rPr>
        <w:t>i</w:t>
      </w:r>
      <w:r>
        <w:rPr>
          <w:rFonts w:ascii="Times New Roman" w:cs="Times New Roman" w:eastAsia="Times New Roman" w:hAnsi="Times New Roman"/>
          <w:sz w:val="14"/>
          <w:szCs w:val="14"/>
          <w:color w:val="3D3642"/>
        </w:rPr>
        <w:t>n w</w:t>
      </w:r>
      <w:r>
        <w:rPr>
          <w:rFonts w:ascii="Times New Roman" w:cs="Times New Roman" w:eastAsia="Times New Roman" w:hAnsi="Times New Roman"/>
          <w:sz w:val="14"/>
          <w:szCs w:val="14"/>
          <w:color w:val="262326"/>
        </w:rPr>
        <w:t>r</w:t>
      </w:r>
      <w:r>
        <w:rPr>
          <w:rFonts w:ascii="Times New Roman" w:cs="Times New Roman" w:eastAsia="Times New Roman" w:hAnsi="Times New Roman"/>
          <w:sz w:val="14"/>
          <w:szCs w:val="14"/>
          <w:color w:val="3D3642"/>
        </w:rPr>
        <w:t>iti</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3D3642"/>
        </w:rPr>
        <w:t>g</w:t>
      </w:r>
      <w:r>
        <w:rPr>
          <w:rFonts w:ascii="Times New Roman" w:cs="Times New Roman" w:eastAsia="Times New Roman" w:hAnsi="Times New Roman"/>
          <w:sz w:val="14"/>
          <w:szCs w:val="14"/>
          <w:color w:val="605049"/>
        </w:rPr>
        <w:t>.</w:t>
      </w:r>
      <w:r>
        <w:rPr>
          <w:rFonts w:ascii="Times New Roman" w:cs="Times New Roman" w:eastAsia="Times New Roman" w:hAnsi="Times New Roman"/>
          <w:sz w:val="14"/>
          <w:szCs w:val="14"/>
          <w:color w:val="3D3642"/>
        </w:rPr>
        <w:t xml:space="preserve"> Subtena</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3D3642"/>
        </w:rPr>
        <w:t>t's cove</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3D3642"/>
        </w:rPr>
        <w:t>a</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3D3642"/>
        </w:rPr>
        <w:t xml:space="preserve">t to pay </w:t>
      </w:r>
      <w:r>
        <w:rPr>
          <w:rFonts w:ascii="Times New Roman" w:cs="Times New Roman" w:eastAsia="Times New Roman" w:hAnsi="Times New Roman"/>
          <w:sz w:val="14"/>
          <w:szCs w:val="14"/>
          <w:color w:val="262326"/>
        </w:rPr>
        <w:t>B</w:t>
      </w:r>
      <w:r>
        <w:rPr>
          <w:rFonts w:ascii="Times New Roman" w:cs="Times New Roman" w:eastAsia="Times New Roman" w:hAnsi="Times New Roman"/>
          <w:sz w:val="14"/>
          <w:szCs w:val="14"/>
          <w:color w:val="3D3642"/>
        </w:rPr>
        <w:t xml:space="preserve">ase </w:t>
      </w:r>
      <w:r>
        <w:rPr>
          <w:rFonts w:ascii="Times New Roman" w:cs="Times New Roman" w:eastAsia="Times New Roman" w:hAnsi="Times New Roman"/>
          <w:sz w:val="14"/>
          <w:szCs w:val="14"/>
          <w:color w:val="262326"/>
        </w:rPr>
        <w:t>R</w:t>
      </w:r>
      <w:r>
        <w:rPr>
          <w:rFonts w:ascii="Times New Roman" w:cs="Times New Roman" w:eastAsia="Times New Roman" w:hAnsi="Times New Roman"/>
          <w:sz w:val="14"/>
          <w:szCs w:val="14"/>
          <w:color w:val="3D3642"/>
        </w:rPr>
        <w:t>e</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3D3642"/>
        </w:rPr>
        <w:t xml:space="preserve">t </w:t>
      </w:r>
      <w:r>
        <w:rPr>
          <w:rFonts w:ascii="Times New Roman" w:cs="Times New Roman" w:eastAsia="Times New Roman" w:hAnsi="Times New Roman"/>
          <w:sz w:val="14"/>
          <w:szCs w:val="14"/>
          <w:color w:val="504956"/>
        </w:rPr>
        <w:t>s</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a</w:t>
      </w:r>
      <w:r>
        <w:rPr>
          <w:rFonts w:ascii="Times New Roman" w:cs="Times New Roman" w:eastAsia="Times New Roman" w:hAnsi="Times New Roman"/>
          <w:sz w:val="14"/>
          <w:szCs w:val="14"/>
          <w:color w:val="262326"/>
        </w:rPr>
        <w:t>ll</w:t>
      </w:r>
      <w:r>
        <w:rPr>
          <w:rFonts w:ascii="Times New Roman" w:cs="Times New Roman" w:eastAsia="Times New Roman" w:hAnsi="Times New Roman"/>
          <w:sz w:val="14"/>
          <w:szCs w:val="14"/>
          <w:color w:val="3D3642"/>
        </w:rPr>
        <w:t xml:space="preserve"> be </w:t>
      </w:r>
      <w:r>
        <w:rPr>
          <w:rFonts w:ascii="Times New Roman" w:cs="Times New Roman" w:eastAsia="Times New Roman" w:hAnsi="Times New Roman"/>
          <w:sz w:val="14"/>
          <w:szCs w:val="14"/>
          <w:color w:val="262326"/>
        </w:rPr>
        <w:t>in</w:t>
      </w:r>
      <w:r>
        <w:rPr>
          <w:rFonts w:ascii="Times New Roman" w:cs="Times New Roman" w:eastAsia="Times New Roman" w:hAnsi="Times New Roman"/>
          <w:sz w:val="14"/>
          <w:szCs w:val="14"/>
          <w:color w:val="3D3642"/>
        </w:rPr>
        <w:t>depe</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3D3642"/>
        </w:rPr>
        <w:t>de</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3D3642"/>
        </w:rPr>
        <w:t>t of eve</w:t>
      </w:r>
      <w:r>
        <w:rPr>
          <w:rFonts w:ascii="Times New Roman" w:cs="Times New Roman" w:eastAsia="Times New Roman" w:hAnsi="Times New Roman"/>
          <w:sz w:val="14"/>
          <w:szCs w:val="14"/>
          <w:color w:val="262326"/>
        </w:rPr>
        <w:t>1</w:t>
      </w:r>
      <w:r>
        <w:rPr>
          <w:rFonts w:ascii="Times New Roman" w:cs="Times New Roman" w:eastAsia="Times New Roman" w:hAnsi="Times New Roman"/>
          <w:sz w:val="14"/>
          <w:szCs w:val="14"/>
          <w:color w:val="504956"/>
        </w:rPr>
        <w:t>y ot</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e</w:t>
      </w:r>
      <w:r>
        <w:rPr>
          <w:rFonts w:ascii="Times New Roman" w:cs="Times New Roman" w:eastAsia="Times New Roman" w:hAnsi="Times New Roman"/>
          <w:sz w:val="14"/>
          <w:szCs w:val="14"/>
          <w:color w:val="262326"/>
        </w:rPr>
        <w:t>r</w:t>
      </w:r>
      <w:r>
        <w:rPr>
          <w:rFonts w:ascii="Times New Roman" w:cs="Times New Roman" w:eastAsia="Times New Roman" w:hAnsi="Times New Roman"/>
          <w:sz w:val="14"/>
          <w:szCs w:val="14"/>
          <w:color w:val="3D3642"/>
        </w:rPr>
        <w:t xml:space="preserve"> covenant in t</w:t>
      </w:r>
      <w:r>
        <w:rPr>
          <w:rFonts w:ascii="Times New Roman" w:cs="Times New Roman" w:eastAsia="Times New Roman" w:hAnsi="Times New Roman"/>
          <w:sz w:val="14"/>
          <w:szCs w:val="14"/>
          <w:color w:val="262326"/>
        </w:rPr>
        <w:t>hi</w:t>
      </w:r>
      <w:r>
        <w:rPr>
          <w:rFonts w:ascii="Times New Roman" w:cs="Times New Roman" w:eastAsia="Times New Roman" w:hAnsi="Times New Roman"/>
          <w:sz w:val="14"/>
          <w:szCs w:val="14"/>
          <w:color w:val="504956"/>
        </w:rPr>
        <w:t>s Sublease.</w:t>
      </w:r>
    </w:p>
    <w:p>
      <w:pPr>
        <w:spacing w:after="0" w:line="37" w:lineRule="exact"/>
        <w:rPr>
          <w:sz w:val="20"/>
          <w:szCs w:val="20"/>
          <w:color w:val="auto"/>
        </w:rPr>
      </w:pPr>
    </w:p>
    <w:tbl>
      <w:tblPr>
        <w:tblLayout w:type="fixed"/>
        <w:tblInd w:w="620" w:type="dxa"/>
        <w:tblCellMar>
          <w:top w:w="0" w:type="dxa"/>
          <w:left w:w="0" w:type="dxa"/>
          <w:bottom w:w="0" w:type="dxa"/>
          <w:right w:w="0" w:type="dxa"/>
        </w:tblCellMar>
      </w:tblPr>
      <w:tr>
        <w:trPr>
          <w:trHeight w:val="26"/>
        </w:trPr>
        <w:tc>
          <w:tcPr>
            <w:tcW w:w="108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3D3642"/>
              </w:rPr>
              <w:t>Mo</w:t>
            </w:r>
            <w:r>
              <w:rPr>
                <w:rFonts w:ascii="Times New Roman" w:cs="Times New Roman" w:eastAsia="Times New Roman" w:hAnsi="Times New Roman"/>
                <w:sz w:val="14"/>
                <w:szCs w:val="14"/>
                <w:b w:val="1"/>
                <w:bCs w:val="1"/>
                <w:color w:val="262326"/>
              </w:rPr>
              <w:t>nth</w:t>
            </w:r>
            <w:r>
              <w:rPr>
                <w:rFonts w:ascii="Times New Roman" w:cs="Times New Roman" w:eastAsia="Times New Roman" w:hAnsi="Times New Roman"/>
                <w:sz w:val="14"/>
                <w:szCs w:val="14"/>
                <w:b w:val="1"/>
                <w:bCs w:val="1"/>
                <w:color w:val="3D3642"/>
              </w:rPr>
              <w:t>s</w:t>
            </w:r>
          </w:p>
        </w:tc>
        <w:tc>
          <w:tcPr>
            <w:tcW w:w="20" w:type="dxa"/>
            <w:vAlign w:val="bottom"/>
          </w:tcPr>
          <w:p>
            <w:pPr>
              <w:spacing w:after="0"/>
              <w:rPr>
                <w:sz w:val="2"/>
                <w:szCs w:val="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62326"/>
                <w:w w:val="96"/>
              </w:rPr>
              <w:t>R</w:t>
            </w:r>
            <w:r>
              <w:rPr>
                <w:rFonts w:ascii="Times New Roman" w:cs="Times New Roman" w:eastAsia="Times New Roman" w:hAnsi="Times New Roman"/>
                <w:sz w:val="14"/>
                <w:szCs w:val="14"/>
                <w:b w:val="1"/>
                <w:bCs w:val="1"/>
                <w:color w:val="3D3642"/>
                <w:w w:val="96"/>
              </w:rPr>
              <w:t>e</w:t>
            </w:r>
            <w:r>
              <w:rPr>
                <w:rFonts w:ascii="Times New Roman" w:cs="Times New Roman" w:eastAsia="Times New Roman" w:hAnsi="Times New Roman"/>
                <w:sz w:val="14"/>
                <w:szCs w:val="14"/>
                <w:b w:val="1"/>
                <w:bCs w:val="1"/>
                <w:color w:val="262326"/>
                <w:w w:val="96"/>
              </w:rPr>
              <w:t>nt</w:t>
            </w:r>
            <w:r>
              <w:rPr>
                <w:rFonts w:ascii="Times New Roman" w:cs="Times New Roman" w:eastAsia="Times New Roman" w:hAnsi="Times New Roman"/>
                <w:sz w:val="14"/>
                <w:szCs w:val="14"/>
                <w:b w:val="1"/>
                <w:bCs w:val="1"/>
                <w:color w:val="3D3642"/>
                <w:w w:val="96"/>
              </w:rPr>
              <w:t>a</w:t>
            </w:r>
            <w:r>
              <w:rPr>
                <w:rFonts w:ascii="Times New Roman" w:cs="Times New Roman" w:eastAsia="Times New Roman" w:hAnsi="Times New Roman"/>
                <w:sz w:val="14"/>
                <w:szCs w:val="14"/>
                <w:b w:val="1"/>
                <w:bCs w:val="1"/>
                <w:color w:val="262326"/>
                <w:w w:val="96"/>
              </w:rPr>
              <w:t>bl</w:t>
            </w:r>
            <w:r>
              <w:rPr>
                <w:rFonts w:ascii="Times New Roman" w:cs="Times New Roman" w:eastAsia="Times New Roman" w:hAnsi="Times New Roman"/>
                <w:sz w:val="14"/>
                <w:szCs w:val="14"/>
                <w:b w:val="1"/>
                <w:bCs w:val="1"/>
                <w:color w:val="3D3642"/>
                <w:w w:val="96"/>
              </w:rPr>
              <w:t>e</w:t>
            </w:r>
          </w:p>
        </w:tc>
        <w:tc>
          <w:tcPr>
            <w:tcW w:w="20" w:type="dxa"/>
            <w:vAlign w:val="bottom"/>
          </w:tcPr>
          <w:p>
            <w:pPr>
              <w:spacing w:after="0"/>
              <w:rPr>
                <w:sz w:val="2"/>
                <w:szCs w:val="2"/>
                <w:color w:val="auto"/>
              </w:rPr>
            </w:pPr>
          </w:p>
        </w:tc>
        <w:tc>
          <w:tcPr>
            <w:tcW w:w="134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262326"/>
              </w:rPr>
              <w:t>Ba</w:t>
            </w:r>
            <w:r>
              <w:rPr>
                <w:rFonts w:ascii="Times New Roman" w:cs="Times New Roman" w:eastAsia="Times New Roman" w:hAnsi="Times New Roman"/>
                <w:sz w:val="14"/>
                <w:szCs w:val="14"/>
                <w:b w:val="1"/>
                <w:bCs w:val="1"/>
                <w:color w:val="3D3642"/>
              </w:rPr>
              <w:t>se</w:t>
            </w:r>
            <w:r>
              <w:rPr>
                <w:rFonts w:ascii="Times New Roman" w:cs="Times New Roman" w:eastAsia="Times New Roman" w:hAnsi="Times New Roman"/>
                <w:sz w:val="14"/>
                <w:szCs w:val="14"/>
                <w:b w:val="1"/>
                <w:bCs w:val="1"/>
                <w:color w:val="262326"/>
              </w:rPr>
              <w:t xml:space="preserve"> R</w:t>
            </w:r>
            <w:r>
              <w:rPr>
                <w:rFonts w:ascii="Times New Roman" w:cs="Times New Roman" w:eastAsia="Times New Roman" w:hAnsi="Times New Roman"/>
                <w:sz w:val="14"/>
                <w:szCs w:val="14"/>
                <w:b w:val="1"/>
                <w:bCs w:val="1"/>
                <w:color w:val="3D3642"/>
              </w:rPr>
              <w:t>e</w:t>
            </w:r>
            <w:r>
              <w:rPr>
                <w:rFonts w:ascii="Times New Roman" w:cs="Times New Roman" w:eastAsia="Times New Roman" w:hAnsi="Times New Roman"/>
                <w:sz w:val="14"/>
                <w:szCs w:val="14"/>
                <w:b w:val="1"/>
                <w:bCs w:val="1"/>
                <w:color w:val="262326"/>
              </w:rPr>
              <w:t>nt p</w:t>
            </w:r>
            <w:r>
              <w:rPr>
                <w:rFonts w:ascii="Times New Roman" w:cs="Times New Roman" w:eastAsia="Times New Roman" w:hAnsi="Times New Roman"/>
                <w:sz w:val="14"/>
                <w:szCs w:val="14"/>
                <w:b w:val="1"/>
                <w:bCs w:val="1"/>
                <w:color w:val="3D3642"/>
              </w:rPr>
              <w:t>e</w:t>
            </w:r>
            <w:r>
              <w:rPr>
                <w:rFonts w:ascii="Times New Roman" w:cs="Times New Roman" w:eastAsia="Times New Roman" w:hAnsi="Times New Roman"/>
                <w:sz w:val="14"/>
                <w:szCs w:val="14"/>
                <w:b w:val="1"/>
                <w:bCs w:val="1"/>
                <w:color w:val="262326"/>
              </w:rPr>
              <w:t>r</w:t>
            </w:r>
          </w:p>
        </w:tc>
        <w:tc>
          <w:tcPr>
            <w:tcW w:w="20" w:type="dxa"/>
            <w:vAlign w:val="bottom"/>
          </w:tcPr>
          <w:p>
            <w:pPr>
              <w:spacing w:after="0"/>
              <w:rPr>
                <w:sz w:val="2"/>
                <w:szCs w:val="2"/>
                <w:color w:val="auto"/>
              </w:rPr>
            </w:pPr>
          </w:p>
        </w:tc>
        <w:tc>
          <w:tcPr>
            <w:tcW w:w="13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262326"/>
              </w:rPr>
              <w:t xml:space="preserve">Monthly </w:t>
            </w:r>
            <w:r>
              <w:rPr>
                <w:rFonts w:ascii="Times New Roman" w:cs="Times New Roman" w:eastAsia="Times New Roman" w:hAnsi="Times New Roman"/>
                <w:sz w:val="14"/>
                <w:szCs w:val="14"/>
                <w:b w:val="1"/>
                <w:bCs w:val="1"/>
                <w:color w:val="3D3642"/>
              </w:rPr>
              <w:t>B</w:t>
            </w:r>
            <w:r>
              <w:rPr>
                <w:rFonts w:ascii="Times New Roman" w:cs="Times New Roman" w:eastAsia="Times New Roman" w:hAnsi="Times New Roman"/>
                <w:sz w:val="14"/>
                <w:szCs w:val="14"/>
                <w:b w:val="1"/>
                <w:bCs w:val="1"/>
                <w:color w:val="262326"/>
              </w:rPr>
              <w:t>a</w:t>
            </w:r>
            <w:r>
              <w:rPr>
                <w:rFonts w:ascii="Times New Roman" w:cs="Times New Roman" w:eastAsia="Times New Roman" w:hAnsi="Times New Roman"/>
                <w:sz w:val="14"/>
                <w:szCs w:val="14"/>
                <w:b w:val="1"/>
                <w:bCs w:val="1"/>
                <w:color w:val="3D3642"/>
              </w:rPr>
              <w:t>se</w:t>
            </w:r>
            <w:r>
              <w:rPr>
                <w:rFonts w:ascii="Times New Roman" w:cs="Times New Roman" w:eastAsia="Times New Roman" w:hAnsi="Times New Roman"/>
                <w:sz w:val="14"/>
                <w:szCs w:val="14"/>
                <w:b w:val="1"/>
                <w:bCs w:val="1"/>
                <w:color w:val="262326"/>
              </w:rPr>
              <w:t xml:space="preserve"> R</w:t>
            </w:r>
            <w:r>
              <w:rPr>
                <w:rFonts w:ascii="Times New Roman" w:cs="Times New Roman" w:eastAsia="Times New Roman" w:hAnsi="Times New Roman"/>
                <w:sz w:val="14"/>
                <w:szCs w:val="14"/>
                <w:b w:val="1"/>
                <w:bCs w:val="1"/>
                <w:color w:val="3D3642"/>
              </w:rPr>
              <w:t>e</w:t>
            </w:r>
            <w:r>
              <w:rPr>
                <w:rFonts w:ascii="Times New Roman" w:cs="Times New Roman" w:eastAsia="Times New Roman" w:hAnsi="Times New Roman"/>
                <w:sz w:val="14"/>
                <w:szCs w:val="14"/>
                <w:b w:val="1"/>
                <w:bCs w:val="1"/>
                <w:color w:val="262326"/>
              </w:rPr>
              <w:t>nt</w:t>
            </w:r>
          </w:p>
        </w:tc>
        <w:tc>
          <w:tcPr>
            <w:tcW w:w="0" w:type="dxa"/>
            <w:vAlign w:val="bottom"/>
          </w:tcPr>
          <w:p>
            <w:pPr>
              <w:spacing w:after="0" w:line="20" w:lineRule="exact"/>
              <w:rPr>
                <w:sz w:val="1"/>
                <w:szCs w:val="1"/>
                <w:color w:val="auto"/>
              </w:rPr>
            </w:pPr>
          </w:p>
        </w:tc>
      </w:tr>
      <w:tr>
        <w:trPr>
          <w:trHeight w:val="135"/>
        </w:trPr>
        <w:tc>
          <w:tcPr>
            <w:tcW w:w="10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12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120" w:type="dxa"/>
            <w:vAlign w:val="bottom"/>
          </w:tcPr>
          <w:p>
            <w:pPr>
              <w:ind w:left="220"/>
              <w:spacing w:after="0" w:line="108" w:lineRule="exact"/>
              <w:rPr>
                <w:sz w:val="20"/>
                <w:szCs w:val="20"/>
                <w:color w:val="auto"/>
              </w:rPr>
            </w:pPr>
            <w:r>
              <w:rPr>
                <w:rFonts w:ascii="Times New Roman" w:cs="Times New Roman" w:eastAsia="Times New Roman" w:hAnsi="Times New Roman"/>
                <w:sz w:val="11"/>
                <w:szCs w:val="11"/>
                <w:b w:val="1"/>
                <w:bCs w:val="1"/>
                <w:color w:val="3D3642"/>
              </w:rPr>
              <w:t>S</w:t>
            </w:r>
            <w:r>
              <w:rPr>
                <w:rFonts w:ascii="Times New Roman" w:cs="Times New Roman" w:eastAsia="Times New Roman" w:hAnsi="Times New Roman"/>
                <w:sz w:val="11"/>
                <w:szCs w:val="11"/>
                <w:b w:val="1"/>
                <w:bCs w:val="1"/>
                <w:color w:val="262326"/>
              </w:rPr>
              <w:t>quar</w:t>
            </w:r>
            <w:r>
              <w:rPr>
                <w:rFonts w:ascii="Times New Roman" w:cs="Times New Roman" w:eastAsia="Times New Roman" w:hAnsi="Times New Roman"/>
                <w:sz w:val="11"/>
                <w:szCs w:val="11"/>
                <w:b w:val="1"/>
                <w:bCs w:val="1"/>
                <w:color w:val="3D3642"/>
              </w:rPr>
              <w:t>e Fee</w:t>
            </w:r>
            <w:r>
              <w:rPr>
                <w:rFonts w:ascii="Times New Roman" w:cs="Times New Roman" w:eastAsia="Times New Roman" w:hAnsi="Times New Roman"/>
                <w:sz w:val="11"/>
                <w:szCs w:val="11"/>
                <w:b w:val="1"/>
                <w:bCs w:val="1"/>
                <w:color w:val="262326"/>
              </w:rPr>
              <w:t>t</w:t>
            </w:r>
          </w:p>
        </w:tc>
        <w:tc>
          <w:tcPr>
            <w:tcW w:w="20" w:type="dxa"/>
            <w:vAlign w:val="bottom"/>
            <w:shd w:val="clear" w:color="auto" w:fill="000000"/>
          </w:tcPr>
          <w:p>
            <w:pPr>
              <w:spacing w:after="0"/>
              <w:rPr>
                <w:sz w:val="9"/>
                <w:szCs w:val="9"/>
                <w:color w:val="auto"/>
              </w:rPr>
            </w:pPr>
          </w:p>
        </w:tc>
        <w:tc>
          <w:tcPr>
            <w:tcW w:w="1340" w:type="dxa"/>
            <w:vAlign w:val="bottom"/>
          </w:tcPr>
          <w:p>
            <w:pPr>
              <w:jc w:val="right"/>
              <w:ind w:right="54"/>
              <w:spacing w:after="0" w:line="108" w:lineRule="exact"/>
              <w:rPr>
                <w:sz w:val="20"/>
                <w:szCs w:val="20"/>
                <w:color w:val="auto"/>
              </w:rPr>
            </w:pPr>
            <w:r>
              <w:rPr>
                <w:rFonts w:ascii="Times New Roman" w:cs="Times New Roman" w:eastAsia="Times New Roman" w:hAnsi="Times New Roman"/>
                <w:sz w:val="11"/>
                <w:szCs w:val="11"/>
                <w:b w:val="1"/>
                <w:bCs w:val="1"/>
                <w:color w:val="3D3642"/>
              </w:rPr>
              <w:t>s</w:t>
            </w:r>
            <w:r>
              <w:rPr>
                <w:rFonts w:ascii="Times New Roman" w:cs="Times New Roman" w:eastAsia="Times New Roman" w:hAnsi="Times New Roman"/>
                <w:sz w:val="11"/>
                <w:szCs w:val="11"/>
                <w:b w:val="1"/>
                <w:bCs w:val="1"/>
                <w:color w:val="262326"/>
              </w:rPr>
              <w:t>qu</w:t>
            </w:r>
            <w:r>
              <w:rPr>
                <w:rFonts w:ascii="Times New Roman" w:cs="Times New Roman" w:eastAsia="Times New Roman" w:hAnsi="Times New Roman"/>
                <w:sz w:val="11"/>
                <w:szCs w:val="11"/>
                <w:b w:val="1"/>
                <w:bCs w:val="1"/>
                <w:color w:val="3D3642"/>
              </w:rPr>
              <w:t>a</w:t>
            </w:r>
            <w:r>
              <w:rPr>
                <w:rFonts w:ascii="Times New Roman" w:cs="Times New Roman" w:eastAsia="Times New Roman" w:hAnsi="Times New Roman"/>
                <w:sz w:val="11"/>
                <w:szCs w:val="11"/>
                <w:b w:val="1"/>
                <w:bCs w:val="1"/>
                <w:color w:val="262326"/>
              </w:rPr>
              <w:t>r</w:t>
            </w:r>
            <w:r>
              <w:rPr>
                <w:rFonts w:ascii="Times New Roman" w:cs="Times New Roman" w:eastAsia="Times New Roman" w:hAnsi="Times New Roman"/>
                <w:sz w:val="11"/>
                <w:szCs w:val="11"/>
                <w:b w:val="1"/>
                <w:bCs w:val="1"/>
                <w:color w:val="3D3642"/>
              </w:rPr>
              <w:t>e foo</w:t>
            </w:r>
            <w:r>
              <w:rPr>
                <w:rFonts w:ascii="Times New Roman" w:cs="Times New Roman" w:eastAsia="Times New Roman" w:hAnsi="Times New Roman"/>
                <w:sz w:val="11"/>
                <w:szCs w:val="11"/>
                <w:b w:val="1"/>
                <w:bCs w:val="1"/>
                <w:color w:val="262326"/>
              </w:rPr>
              <w:t>t</w:t>
            </w:r>
            <w:r>
              <w:rPr>
                <w:rFonts w:ascii="Times New Roman" w:cs="Times New Roman" w:eastAsia="Times New Roman" w:hAnsi="Times New Roman"/>
                <w:sz w:val="11"/>
                <w:szCs w:val="11"/>
                <w:b w:val="1"/>
                <w:bCs w:val="1"/>
                <w:color w:val="3D3642"/>
              </w:rPr>
              <w:t xml:space="preserve"> o</w:t>
            </w:r>
            <w:r>
              <w:rPr>
                <w:rFonts w:ascii="Times New Roman" w:cs="Times New Roman" w:eastAsia="Times New Roman" w:hAnsi="Times New Roman"/>
                <w:sz w:val="11"/>
                <w:szCs w:val="11"/>
                <w:b w:val="1"/>
                <w:bCs w:val="1"/>
                <w:color w:val="262326"/>
              </w:rPr>
              <w:t>f th</w:t>
            </w:r>
            <w:r>
              <w:rPr>
                <w:rFonts w:ascii="Times New Roman" w:cs="Times New Roman" w:eastAsia="Times New Roman" w:hAnsi="Times New Roman"/>
                <w:sz w:val="11"/>
                <w:szCs w:val="11"/>
                <w:b w:val="1"/>
                <w:bCs w:val="1"/>
                <w:color w:val="3D3642"/>
              </w:rPr>
              <w:t>e</w:t>
            </w:r>
          </w:p>
        </w:tc>
        <w:tc>
          <w:tcPr>
            <w:tcW w:w="20" w:type="dxa"/>
            <w:vAlign w:val="bottom"/>
            <w:shd w:val="clear" w:color="auto" w:fill="000000"/>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3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3D3642"/>
              </w:rPr>
              <w:t>S</w:t>
            </w:r>
            <w:r>
              <w:rPr>
                <w:rFonts w:ascii="Times New Roman" w:cs="Times New Roman" w:eastAsia="Times New Roman" w:hAnsi="Times New Roman"/>
                <w:sz w:val="14"/>
                <w:szCs w:val="14"/>
                <w:b w:val="1"/>
                <w:bCs w:val="1"/>
                <w:color w:val="262326"/>
              </w:rPr>
              <w:t>ub</w:t>
            </w:r>
            <w:r>
              <w:rPr>
                <w:rFonts w:ascii="Times New Roman" w:cs="Times New Roman" w:eastAsia="Times New Roman" w:hAnsi="Times New Roman"/>
                <w:sz w:val="14"/>
                <w:szCs w:val="14"/>
                <w:b w:val="1"/>
                <w:bCs w:val="1"/>
                <w:color w:val="3D3642"/>
              </w:rPr>
              <w:t>l</w:t>
            </w:r>
            <w:r>
              <w:rPr>
                <w:rFonts w:ascii="Times New Roman" w:cs="Times New Roman" w:eastAsia="Times New Roman" w:hAnsi="Times New Roman"/>
                <w:sz w:val="14"/>
                <w:szCs w:val="14"/>
                <w:b w:val="1"/>
                <w:bCs w:val="1"/>
                <w:color w:val="262326"/>
              </w:rPr>
              <w:t>e</w:t>
            </w:r>
            <w:r>
              <w:rPr>
                <w:rFonts w:ascii="Times New Roman" w:cs="Times New Roman" w:eastAsia="Times New Roman" w:hAnsi="Times New Roman"/>
                <w:sz w:val="14"/>
                <w:szCs w:val="14"/>
                <w:b w:val="1"/>
                <w:bCs w:val="1"/>
                <w:color w:val="3D3642"/>
              </w:rPr>
              <w:t>as</w:t>
            </w:r>
            <w:r>
              <w:rPr>
                <w:rFonts w:ascii="Times New Roman" w:cs="Times New Roman" w:eastAsia="Times New Roman" w:hAnsi="Times New Roman"/>
                <w:sz w:val="14"/>
                <w:szCs w:val="14"/>
                <w:b w:val="1"/>
                <w:bCs w:val="1"/>
                <w:color w:val="262326"/>
              </w:rPr>
              <w:t>ed Pr</w:t>
            </w:r>
            <w:r>
              <w:rPr>
                <w:rFonts w:ascii="Times New Roman" w:cs="Times New Roman" w:eastAsia="Times New Roman" w:hAnsi="Times New Roman"/>
                <w:sz w:val="14"/>
                <w:szCs w:val="14"/>
                <w:b w:val="1"/>
                <w:bCs w:val="1"/>
                <w:color w:val="3D3642"/>
              </w:rPr>
              <w:t>e</w:t>
            </w:r>
            <w:r>
              <w:rPr>
                <w:rFonts w:ascii="Times New Roman" w:cs="Times New Roman" w:eastAsia="Times New Roman" w:hAnsi="Times New Roman"/>
                <w:sz w:val="14"/>
                <w:szCs w:val="14"/>
                <w:b w:val="1"/>
                <w:bCs w:val="1"/>
                <w:color w:val="262326"/>
              </w:rPr>
              <w:t>mi</w:t>
            </w:r>
            <w:r>
              <w:rPr>
                <w:rFonts w:ascii="Times New Roman" w:cs="Times New Roman" w:eastAsia="Times New Roman" w:hAnsi="Times New Roman"/>
                <w:sz w:val="14"/>
                <w:szCs w:val="14"/>
                <w:b w:val="1"/>
                <w:bCs w:val="1"/>
                <w:color w:val="3D3642"/>
              </w:rPr>
              <w:t>ses</w:t>
            </w:r>
          </w:p>
        </w:tc>
        <w:tc>
          <w:tcPr>
            <w:tcW w:w="20" w:type="dxa"/>
            <w:vAlign w:val="bottom"/>
            <w:shd w:val="clear" w:color="auto" w:fill="000000"/>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3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3D3642"/>
              </w:rPr>
              <w:t>Pe</w:t>
            </w:r>
            <w:r>
              <w:rPr>
                <w:rFonts w:ascii="Times New Roman" w:cs="Times New Roman" w:eastAsia="Times New Roman" w:hAnsi="Times New Roman"/>
                <w:sz w:val="14"/>
                <w:szCs w:val="14"/>
                <w:b w:val="1"/>
                <w:bCs w:val="1"/>
                <w:color w:val="262326"/>
              </w:rPr>
              <w:t>r</w:t>
            </w:r>
            <w:r>
              <w:rPr>
                <w:rFonts w:ascii="Times New Roman" w:cs="Times New Roman" w:eastAsia="Times New Roman" w:hAnsi="Times New Roman"/>
                <w:sz w:val="14"/>
                <w:szCs w:val="14"/>
                <w:b w:val="1"/>
                <w:bCs w:val="1"/>
                <w:color w:val="3D3642"/>
              </w:rPr>
              <w:t xml:space="preserve"> Mo</w:t>
            </w:r>
            <w:r>
              <w:rPr>
                <w:rFonts w:ascii="Times New Roman" w:cs="Times New Roman" w:eastAsia="Times New Roman" w:hAnsi="Times New Roman"/>
                <w:sz w:val="14"/>
                <w:szCs w:val="14"/>
                <w:b w:val="1"/>
                <w:bCs w:val="1"/>
                <w:color w:val="262326"/>
              </w:rPr>
              <w:t>nth</w:t>
            </w:r>
          </w:p>
        </w:tc>
        <w:tc>
          <w:tcPr>
            <w:tcW w:w="20" w:type="dxa"/>
            <w:vAlign w:val="bottom"/>
            <w:shd w:val="clear" w:color="auto" w:fill="000000"/>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
        </w:trPr>
        <w:tc>
          <w:tcPr>
            <w:tcW w:w="1080" w:type="dxa"/>
            <w:vAlign w:val="bottom"/>
            <w:vMerge w:val="restart"/>
          </w:tcPr>
          <w:p>
            <w:pPr>
              <w:jc w:val="right"/>
              <w:ind w:right="734"/>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0" w:type="dxa"/>
            <w:vAlign w:val="bottom"/>
            <w:tcBorders>
              <w:bottom w:val="single" w:sz="8" w:color="auto"/>
            </w:tcBorders>
            <w:shd w:val="clear" w:color="auto" w:fill="000000"/>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080" w:type="dxa"/>
            <w:vAlign w:val="bottom"/>
            <w:vMerge w:val="continue"/>
          </w:tcPr>
          <w:p>
            <w:pPr>
              <w:spacing w:after="0"/>
              <w:rPr>
                <w:sz w:val="12"/>
                <w:szCs w:val="12"/>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7B7477"/>
              </w:rPr>
              <w:t>32,000</w:t>
            </w:r>
          </w:p>
        </w:tc>
        <w:tc>
          <w:tcPr>
            <w:tcW w:w="1360" w:type="dxa"/>
            <w:vAlign w:val="bottom"/>
            <w:gridSpan w:val="2"/>
          </w:tcPr>
          <w:p>
            <w:pPr>
              <w:jc w:val="right"/>
              <w:ind w:right="474"/>
              <w:spacing w:after="0"/>
              <w:rPr>
                <w:sz w:val="20"/>
                <w:szCs w:val="20"/>
                <w:color w:val="auto"/>
              </w:rPr>
            </w:pPr>
            <w:r>
              <w:rPr>
                <w:rFonts w:ascii="Times New Roman" w:cs="Times New Roman" w:eastAsia="Times New Roman" w:hAnsi="Times New Roman"/>
                <w:sz w:val="11"/>
                <w:szCs w:val="11"/>
                <w:color w:val="646269"/>
              </w:rPr>
              <w:t>$3</w:t>
            </w:r>
            <w:r>
              <w:rPr>
                <w:rFonts w:ascii="Times New Roman" w:cs="Times New Roman" w:eastAsia="Times New Roman" w:hAnsi="Times New Roman"/>
                <w:sz w:val="11"/>
                <w:szCs w:val="11"/>
                <w:color w:val="504956"/>
              </w:rPr>
              <w:t>.0</w:t>
            </w:r>
            <w:r>
              <w:rPr>
                <w:rFonts w:ascii="Times New Roman" w:cs="Times New Roman" w:eastAsia="Times New Roman" w:hAnsi="Times New Roman"/>
                <w:sz w:val="11"/>
                <w:szCs w:val="11"/>
                <w:color w:val="646269"/>
              </w:rPr>
              <w:t>0</w:t>
            </w:r>
          </w:p>
        </w:tc>
        <w:tc>
          <w:tcPr>
            <w:tcW w:w="1320" w:type="dxa"/>
            <w:vAlign w:val="bottom"/>
            <w:gridSpan w:val="2"/>
          </w:tcPr>
          <w:p>
            <w:pPr>
              <w:jc w:val="center"/>
              <w:ind w:left="63"/>
              <w:spacing w:after="0"/>
              <w:rPr>
                <w:sz w:val="20"/>
                <w:szCs w:val="20"/>
                <w:color w:val="auto"/>
              </w:rPr>
            </w:pPr>
            <w:r>
              <w:rPr>
                <w:rFonts w:ascii="Times New Roman" w:cs="Times New Roman" w:eastAsia="Times New Roman" w:hAnsi="Times New Roman"/>
                <w:sz w:val="11"/>
                <w:szCs w:val="11"/>
                <w:color w:val="646269"/>
              </w:rPr>
              <w:t>$9</w:t>
            </w:r>
            <w:r>
              <w:rPr>
                <w:rFonts w:ascii="Times New Roman" w:cs="Times New Roman" w:eastAsia="Times New Roman" w:hAnsi="Times New Roman"/>
                <w:sz w:val="11"/>
                <w:szCs w:val="11"/>
                <w:color w:val="504956"/>
              </w:rPr>
              <w:t>6</w:t>
            </w:r>
            <w:r>
              <w:rPr>
                <w:rFonts w:ascii="Times New Roman" w:cs="Times New Roman" w:eastAsia="Times New Roman" w:hAnsi="Times New Roman"/>
                <w:sz w:val="11"/>
                <w:szCs w:val="11"/>
                <w:color w:val="7B7477"/>
              </w:rPr>
              <w:t>,</w:t>
            </w:r>
            <w:r>
              <w:rPr>
                <w:rFonts w:ascii="Times New Roman" w:cs="Times New Roman" w:eastAsia="Times New Roman" w:hAnsi="Times New Roman"/>
                <w:sz w:val="11"/>
                <w:szCs w:val="11"/>
                <w:color w:val="504956"/>
              </w:rPr>
              <w:t>000</w:t>
            </w:r>
            <w:r>
              <w:rPr>
                <w:rFonts w:ascii="Times New Roman" w:cs="Times New Roman" w:eastAsia="Times New Roman" w:hAnsi="Times New Roman"/>
                <w:sz w:val="11"/>
                <w:szCs w:val="11"/>
                <w:color w:val="646269"/>
              </w:rPr>
              <w:t>.</w:t>
            </w:r>
            <w:r>
              <w:rPr>
                <w:rFonts w:ascii="Times New Roman" w:cs="Times New Roman" w:eastAsia="Times New Roman" w:hAnsi="Times New Roman"/>
                <w:sz w:val="11"/>
                <w:szCs w:val="11"/>
                <w:color w:val="504956"/>
              </w:rPr>
              <w:t>00</w:t>
            </w:r>
          </w:p>
        </w:tc>
        <w:tc>
          <w:tcPr>
            <w:tcW w:w="0" w:type="dxa"/>
            <w:vAlign w:val="bottom"/>
          </w:tcPr>
          <w:p>
            <w:pPr>
              <w:spacing w:after="0"/>
              <w:rPr>
                <w:sz w:val="1"/>
                <w:szCs w:val="1"/>
                <w:color w:val="auto"/>
              </w:rPr>
            </w:pPr>
          </w:p>
        </w:tc>
      </w:tr>
      <w:tr>
        <w:trPr>
          <w:trHeight w:val="155"/>
        </w:trPr>
        <w:tc>
          <w:tcPr>
            <w:tcW w:w="1080" w:type="dxa"/>
            <w:vAlign w:val="bottom"/>
            <w:vMerge w:val="restart"/>
          </w:tcPr>
          <w:p>
            <w:pPr>
              <w:jc w:val="right"/>
              <w:ind w:right="734"/>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080" w:type="dxa"/>
            <w:vAlign w:val="bottom"/>
            <w:vMerge w:val="continue"/>
          </w:tcPr>
          <w:p>
            <w:pPr>
              <w:spacing w:after="0"/>
              <w:rPr>
                <w:sz w:val="11"/>
                <w:szCs w:val="11"/>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646269"/>
                <w:w w:val="99"/>
              </w:rPr>
              <w:t>32</w:t>
            </w:r>
            <w:r>
              <w:rPr>
                <w:rFonts w:ascii="Times New Roman" w:cs="Times New Roman" w:eastAsia="Times New Roman" w:hAnsi="Times New Roman"/>
                <w:sz w:val="11"/>
                <w:szCs w:val="11"/>
                <w:color w:val="8E9393"/>
                <w:w w:val="99"/>
              </w:rPr>
              <w:t>,</w:t>
            </w:r>
            <w:r>
              <w:rPr>
                <w:rFonts w:ascii="Times New Roman" w:cs="Times New Roman" w:eastAsia="Times New Roman" w:hAnsi="Times New Roman"/>
                <w:sz w:val="11"/>
                <w:szCs w:val="11"/>
                <w:color w:val="646269"/>
                <w:w w:val="99"/>
              </w:rPr>
              <w:t>000</w:t>
            </w:r>
          </w:p>
        </w:tc>
        <w:tc>
          <w:tcPr>
            <w:tcW w:w="1360" w:type="dxa"/>
            <w:vAlign w:val="bottom"/>
            <w:gridSpan w:val="2"/>
          </w:tcPr>
          <w:p>
            <w:pPr>
              <w:jc w:val="right"/>
              <w:ind w:right="474"/>
              <w:spacing w:after="0"/>
              <w:rPr>
                <w:sz w:val="20"/>
                <w:szCs w:val="20"/>
                <w:color w:val="auto"/>
              </w:rPr>
            </w:pPr>
            <w:r>
              <w:rPr>
                <w:rFonts w:ascii="Times New Roman" w:cs="Times New Roman" w:eastAsia="Times New Roman" w:hAnsi="Times New Roman"/>
                <w:sz w:val="11"/>
                <w:szCs w:val="11"/>
                <w:color w:val="646269"/>
              </w:rPr>
              <w:t>$3.</w:t>
            </w:r>
            <w:r>
              <w:rPr>
                <w:rFonts w:ascii="Times New Roman" w:cs="Times New Roman" w:eastAsia="Times New Roman" w:hAnsi="Times New Roman"/>
                <w:sz w:val="11"/>
                <w:szCs w:val="11"/>
                <w:color w:val="504956"/>
              </w:rPr>
              <w:t>0</w:t>
            </w:r>
            <w:r>
              <w:rPr>
                <w:rFonts w:ascii="Times New Roman" w:cs="Times New Roman" w:eastAsia="Times New Roman" w:hAnsi="Times New Roman"/>
                <w:sz w:val="11"/>
                <w:szCs w:val="11"/>
                <w:color w:val="646269"/>
              </w:rPr>
              <w:t>9</w:t>
            </w:r>
          </w:p>
        </w:tc>
        <w:tc>
          <w:tcPr>
            <w:tcW w:w="1320" w:type="dxa"/>
            <w:vAlign w:val="bottom"/>
            <w:gridSpan w:val="2"/>
          </w:tcPr>
          <w:p>
            <w:pPr>
              <w:jc w:val="center"/>
              <w:ind w:left="63"/>
              <w:spacing w:after="0"/>
              <w:rPr>
                <w:sz w:val="20"/>
                <w:szCs w:val="20"/>
                <w:color w:val="auto"/>
              </w:rPr>
            </w:pPr>
            <w:r>
              <w:rPr>
                <w:rFonts w:ascii="Times New Roman" w:cs="Times New Roman" w:eastAsia="Times New Roman" w:hAnsi="Times New Roman"/>
                <w:sz w:val="11"/>
                <w:szCs w:val="11"/>
                <w:color w:val="646269"/>
              </w:rPr>
              <w:t>$98,88</w:t>
            </w:r>
            <w:r>
              <w:rPr>
                <w:rFonts w:ascii="Times New Roman" w:cs="Times New Roman" w:eastAsia="Times New Roman" w:hAnsi="Times New Roman"/>
                <w:sz w:val="11"/>
                <w:szCs w:val="11"/>
                <w:color w:val="504956"/>
              </w:rPr>
              <w:t>0.0</w:t>
            </w:r>
            <w:r>
              <w:rPr>
                <w:rFonts w:ascii="Times New Roman" w:cs="Times New Roman" w:eastAsia="Times New Roman" w:hAnsi="Times New Roman"/>
                <w:sz w:val="11"/>
                <w:szCs w:val="11"/>
                <w:color w:val="646269"/>
              </w:rPr>
              <w:t>0</w:t>
            </w:r>
          </w:p>
        </w:tc>
        <w:tc>
          <w:tcPr>
            <w:tcW w:w="0" w:type="dxa"/>
            <w:vAlign w:val="bottom"/>
          </w:tcPr>
          <w:p>
            <w:pPr>
              <w:spacing w:after="0"/>
              <w:rPr>
                <w:sz w:val="1"/>
                <w:szCs w:val="1"/>
                <w:color w:val="auto"/>
              </w:rPr>
            </w:pPr>
          </w:p>
        </w:tc>
      </w:tr>
      <w:tr>
        <w:trPr>
          <w:trHeight w:val="333"/>
        </w:trPr>
        <w:tc>
          <w:tcPr>
            <w:tcW w:w="1080" w:type="dxa"/>
            <w:vAlign w:val="bottom"/>
          </w:tcPr>
          <w:p>
            <w:pPr>
              <w:jc w:val="right"/>
              <w:ind w:right="734"/>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7B7477"/>
              </w:rPr>
              <w:t>61,</w:t>
            </w:r>
            <w:r>
              <w:rPr>
                <w:rFonts w:ascii="Times New Roman" w:cs="Times New Roman" w:eastAsia="Times New Roman" w:hAnsi="Times New Roman"/>
                <w:sz w:val="11"/>
                <w:szCs w:val="11"/>
                <w:color w:val="504956"/>
              </w:rPr>
              <w:t>4</w:t>
            </w:r>
            <w:r>
              <w:rPr>
                <w:rFonts w:ascii="Times New Roman" w:cs="Times New Roman" w:eastAsia="Times New Roman" w:hAnsi="Times New Roman"/>
                <w:sz w:val="11"/>
                <w:szCs w:val="11"/>
                <w:color w:val="7B7477"/>
              </w:rPr>
              <w:t>96</w:t>
            </w:r>
          </w:p>
        </w:tc>
        <w:tc>
          <w:tcPr>
            <w:tcW w:w="1360" w:type="dxa"/>
            <w:vAlign w:val="bottom"/>
            <w:gridSpan w:val="2"/>
          </w:tcPr>
          <w:p>
            <w:pPr>
              <w:jc w:val="right"/>
              <w:ind w:right="474"/>
              <w:spacing w:after="0"/>
              <w:rPr>
                <w:sz w:val="20"/>
                <w:szCs w:val="20"/>
                <w:color w:val="auto"/>
              </w:rPr>
            </w:pPr>
            <w:r>
              <w:rPr>
                <w:rFonts w:ascii="Times New Roman" w:cs="Times New Roman" w:eastAsia="Times New Roman" w:hAnsi="Times New Roman"/>
                <w:sz w:val="11"/>
                <w:szCs w:val="11"/>
                <w:color w:val="646269"/>
              </w:rPr>
              <w:t>$3.</w:t>
            </w:r>
            <w:r>
              <w:rPr>
                <w:rFonts w:ascii="Times New Roman" w:cs="Times New Roman" w:eastAsia="Times New Roman" w:hAnsi="Times New Roman"/>
                <w:sz w:val="11"/>
                <w:szCs w:val="11"/>
                <w:color w:val="504956"/>
              </w:rPr>
              <w:t>0</w:t>
            </w:r>
            <w:r>
              <w:rPr>
                <w:rFonts w:ascii="Times New Roman" w:cs="Times New Roman" w:eastAsia="Times New Roman" w:hAnsi="Times New Roman"/>
                <w:sz w:val="11"/>
                <w:szCs w:val="11"/>
                <w:color w:val="646269"/>
              </w:rPr>
              <w:t>9</w:t>
            </w:r>
          </w:p>
        </w:tc>
        <w:tc>
          <w:tcPr>
            <w:tcW w:w="1320" w:type="dxa"/>
            <w:vAlign w:val="bottom"/>
            <w:gridSpan w:val="2"/>
          </w:tcPr>
          <w:p>
            <w:pPr>
              <w:jc w:val="center"/>
              <w:ind w:left="63"/>
              <w:spacing w:after="0"/>
              <w:rPr>
                <w:sz w:val="20"/>
                <w:szCs w:val="20"/>
                <w:color w:val="auto"/>
              </w:rPr>
            </w:pPr>
            <w:r>
              <w:rPr>
                <w:rFonts w:ascii="Times New Roman" w:cs="Times New Roman" w:eastAsia="Times New Roman" w:hAnsi="Times New Roman"/>
                <w:sz w:val="11"/>
                <w:szCs w:val="11"/>
                <w:color w:val="646269"/>
              </w:rPr>
              <w:t>$</w:t>
            </w:r>
            <w:r>
              <w:rPr>
                <w:rFonts w:ascii="Times New Roman" w:cs="Times New Roman" w:eastAsia="Times New Roman" w:hAnsi="Times New Roman"/>
                <w:sz w:val="11"/>
                <w:szCs w:val="11"/>
                <w:color w:val="605049"/>
              </w:rPr>
              <w:t>1</w:t>
            </w:r>
            <w:r>
              <w:rPr>
                <w:rFonts w:ascii="Times New Roman" w:cs="Times New Roman" w:eastAsia="Times New Roman" w:hAnsi="Times New Roman"/>
                <w:sz w:val="11"/>
                <w:szCs w:val="11"/>
                <w:color w:val="646269"/>
              </w:rPr>
              <w:t>90,</w:t>
            </w:r>
            <w:r>
              <w:rPr>
                <w:rFonts w:ascii="Times New Roman" w:cs="Times New Roman" w:eastAsia="Times New Roman" w:hAnsi="Times New Roman"/>
                <w:sz w:val="11"/>
                <w:szCs w:val="11"/>
                <w:color w:val="504956"/>
              </w:rPr>
              <w:t>022</w:t>
            </w:r>
            <w:r>
              <w:rPr>
                <w:rFonts w:ascii="Times New Roman" w:cs="Times New Roman" w:eastAsia="Times New Roman" w:hAnsi="Times New Roman"/>
                <w:sz w:val="11"/>
                <w:szCs w:val="11"/>
                <w:color w:val="7B7477"/>
              </w:rPr>
              <w:t>.</w:t>
            </w:r>
            <w:r>
              <w:rPr>
                <w:rFonts w:ascii="Times New Roman" w:cs="Times New Roman" w:eastAsia="Times New Roman" w:hAnsi="Times New Roman"/>
                <w:sz w:val="11"/>
                <w:szCs w:val="11"/>
                <w:color w:val="504956"/>
              </w:rPr>
              <w:t>64</w:t>
            </w:r>
          </w:p>
        </w:tc>
        <w:tc>
          <w:tcPr>
            <w:tcW w:w="0" w:type="dxa"/>
            <w:vAlign w:val="bottom"/>
          </w:tcPr>
          <w:p>
            <w:pPr>
              <w:spacing w:after="0"/>
              <w:rPr>
                <w:sz w:val="1"/>
                <w:szCs w:val="1"/>
                <w:color w:val="auto"/>
              </w:rPr>
            </w:pPr>
          </w:p>
        </w:tc>
      </w:tr>
      <w:tr>
        <w:trPr>
          <w:trHeight w:val="167"/>
        </w:trPr>
        <w:tc>
          <w:tcPr>
            <w:tcW w:w="1080" w:type="dxa"/>
            <w:vAlign w:val="bottom"/>
            <w:vMerge w:val="restart"/>
          </w:tcPr>
          <w:p>
            <w:pPr>
              <w:jc w:val="right"/>
              <w:ind w:right="734"/>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080" w:type="dxa"/>
            <w:vAlign w:val="bottom"/>
            <w:vMerge w:val="continue"/>
          </w:tcPr>
          <w:p>
            <w:pPr>
              <w:spacing w:after="0"/>
              <w:rPr>
                <w:sz w:val="12"/>
                <w:szCs w:val="12"/>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7B7477"/>
              </w:rPr>
              <w:t>61,</w:t>
            </w:r>
            <w:r>
              <w:rPr>
                <w:rFonts w:ascii="Times New Roman" w:cs="Times New Roman" w:eastAsia="Times New Roman" w:hAnsi="Times New Roman"/>
                <w:sz w:val="11"/>
                <w:szCs w:val="11"/>
                <w:color w:val="504956"/>
              </w:rPr>
              <w:t>4</w:t>
            </w:r>
            <w:r>
              <w:rPr>
                <w:rFonts w:ascii="Times New Roman" w:cs="Times New Roman" w:eastAsia="Times New Roman" w:hAnsi="Times New Roman"/>
                <w:sz w:val="11"/>
                <w:szCs w:val="11"/>
                <w:color w:val="7B7477"/>
              </w:rPr>
              <w:t>96</w:t>
            </w:r>
          </w:p>
        </w:tc>
        <w:tc>
          <w:tcPr>
            <w:tcW w:w="1360" w:type="dxa"/>
            <w:vAlign w:val="bottom"/>
            <w:gridSpan w:val="2"/>
          </w:tcPr>
          <w:p>
            <w:pPr>
              <w:jc w:val="right"/>
              <w:ind w:right="474"/>
              <w:spacing w:after="0"/>
              <w:rPr>
                <w:sz w:val="20"/>
                <w:szCs w:val="20"/>
                <w:color w:val="auto"/>
              </w:rPr>
            </w:pPr>
            <w:r>
              <w:rPr>
                <w:rFonts w:ascii="Times New Roman" w:cs="Times New Roman" w:eastAsia="Times New Roman" w:hAnsi="Times New Roman"/>
                <w:sz w:val="11"/>
                <w:szCs w:val="11"/>
                <w:color w:val="646269"/>
              </w:rPr>
              <w:t>$3</w:t>
            </w:r>
            <w:r>
              <w:rPr>
                <w:rFonts w:ascii="Times New Roman" w:cs="Times New Roman" w:eastAsia="Times New Roman" w:hAnsi="Times New Roman"/>
                <w:sz w:val="11"/>
                <w:szCs w:val="11"/>
                <w:color w:val="3D3642"/>
              </w:rPr>
              <w:t>.1</w:t>
            </w:r>
            <w:r>
              <w:rPr>
                <w:rFonts w:ascii="Times New Roman" w:cs="Times New Roman" w:eastAsia="Times New Roman" w:hAnsi="Times New Roman"/>
                <w:sz w:val="11"/>
                <w:szCs w:val="11"/>
                <w:color w:val="646269"/>
              </w:rPr>
              <w:t>8</w:t>
            </w:r>
          </w:p>
        </w:tc>
        <w:tc>
          <w:tcPr>
            <w:tcW w:w="1320" w:type="dxa"/>
            <w:vAlign w:val="bottom"/>
            <w:gridSpan w:val="2"/>
          </w:tcPr>
          <w:p>
            <w:pPr>
              <w:jc w:val="center"/>
              <w:ind w:left="63"/>
              <w:spacing w:after="0"/>
              <w:rPr>
                <w:sz w:val="20"/>
                <w:szCs w:val="20"/>
                <w:color w:val="auto"/>
              </w:rPr>
            </w:pPr>
            <w:r>
              <w:rPr>
                <w:rFonts w:ascii="Times New Roman" w:cs="Times New Roman" w:eastAsia="Times New Roman" w:hAnsi="Times New Roman"/>
                <w:sz w:val="11"/>
                <w:szCs w:val="11"/>
                <w:color w:val="646269"/>
              </w:rPr>
              <w:t>$</w:t>
            </w:r>
            <w:r>
              <w:rPr>
                <w:rFonts w:ascii="Times New Roman" w:cs="Times New Roman" w:eastAsia="Times New Roman" w:hAnsi="Times New Roman"/>
                <w:sz w:val="11"/>
                <w:szCs w:val="11"/>
                <w:color w:val="504956"/>
              </w:rPr>
              <w:t>195.557</w:t>
            </w:r>
            <w:r>
              <w:rPr>
                <w:rFonts w:ascii="Times New Roman" w:cs="Times New Roman" w:eastAsia="Times New Roman" w:hAnsi="Times New Roman"/>
                <w:sz w:val="11"/>
                <w:szCs w:val="11"/>
                <w:color w:val="646269"/>
              </w:rPr>
              <w:t>.</w:t>
            </w:r>
            <w:r>
              <w:rPr>
                <w:rFonts w:ascii="Times New Roman" w:cs="Times New Roman" w:eastAsia="Times New Roman" w:hAnsi="Times New Roman"/>
                <w:sz w:val="11"/>
                <w:szCs w:val="11"/>
                <w:color w:val="504956"/>
              </w:rPr>
              <w:t>2</w:t>
            </w:r>
            <w:r>
              <w:rPr>
                <w:rFonts w:ascii="Times New Roman" w:cs="Times New Roman" w:eastAsia="Times New Roman" w:hAnsi="Times New Roman"/>
                <w:sz w:val="11"/>
                <w:szCs w:val="11"/>
                <w:color w:val="646269"/>
              </w:rPr>
              <w:t>8</w:t>
            </w:r>
          </w:p>
        </w:tc>
        <w:tc>
          <w:tcPr>
            <w:tcW w:w="0" w:type="dxa"/>
            <w:vAlign w:val="bottom"/>
          </w:tcPr>
          <w:p>
            <w:pPr>
              <w:spacing w:after="0"/>
              <w:rPr>
                <w:sz w:val="1"/>
                <w:szCs w:val="1"/>
                <w:color w:val="auto"/>
              </w:rPr>
            </w:pPr>
          </w:p>
        </w:tc>
      </w:tr>
      <w:tr>
        <w:trPr>
          <w:trHeight w:val="155"/>
        </w:trPr>
        <w:tc>
          <w:tcPr>
            <w:tcW w:w="1080" w:type="dxa"/>
            <w:vAlign w:val="bottom"/>
            <w:vMerge w:val="restart"/>
          </w:tcPr>
          <w:p>
            <w:pPr>
              <w:jc w:val="right"/>
              <w:ind w:right="734"/>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080" w:type="dxa"/>
            <w:vAlign w:val="bottom"/>
            <w:vMerge w:val="continue"/>
          </w:tcPr>
          <w:p>
            <w:pPr>
              <w:spacing w:after="0"/>
              <w:rPr>
                <w:sz w:val="12"/>
                <w:szCs w:val="12"/>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7B7477"/>
              </w:rPr>
              <w:t>61,</w:t>
            </w:r>
            <w:r>
              <w:rPr>
                <w:rFonts w:ascii="Times New Roman" w:cs="Times New Roman" w:eastAsia="Times New Roman" w:hAnsi="Times New Roman"/>
                <w:sz w:val="11"/>
                <w:szCs w:val="11"/>
                <w:color w:val="504956"/>
              </w:rPr>
              <w:t>4</w:t>
            </w:r>
            <w:r>
              <w:rPr>
                <w:rFonts w:ascii="Times New Roman" w:cs="Times New Roman" w:eastAsia="Times New Roman" w:hAnsi="Times New Roman"/>
                <w:sz w:val="11"/>
                <w:szCs w:val="11"/>
                <w:color w:val="7B7477"/>
              </w:rPr>
              <w:t>96</w:t>
            </w:r>
          </w:p>
        </w:tc>
        <w:tc>
          <w:tcPr>
            <w:tcW w:w="1360" w:type="dxa"/>
            <w:vAlign w:val="bottom"/>
            <w:gridSpan w:val="2"/>
          </w:tcPr>
          <w:p>
            <w:pPr>
              <w:jc w:val="right"/>
              <w:ind w:right="474"/>
              <w:spacing w:after="0"/>
              <w:rPr>
                <w:sz w:val="20"/>
                <w:szCs w:val="20"/>
                <w:color w:val="auto"/>
              </w:rPr>
            </w:pPr>
            <w:r>
              <w:rPr>
                <w:rFonts w:ascii="Times New Roman" w:cs="Times New Roman" w:eastAsia="Times New Roman" w:hAnsi="Times New Roman"/>
                <w:sz w:val="11"/>
                <w:szCs w:val="11"/>
                <w:color w:val="646269"/>
              </w:rPr>
              <w:t>$</w:t>
            </w:r>
            <w:r>
              <w:rPr>
                <w:rFonts w:ascii="Times New Roman" w:cs="Times New Roman" w:eastAsia="Times New Roman" w:hAnsi="Times New Roman"/>
                <w:sz w:val="11"/>
                <w:szCs w:val="11"/>
                <w:color w:val="504956"/>
              </w:rPr>
              <w:t>3</w:t>
            </w:r>
            <w:r>
              <w:rPr>
                <w:rFonts w:ascii="Times New Roman" w:cs="Times New Roman" w:eastAsia="Times New Roman" w:hAnsi="Times New Roman"/>
                <w:sz w:val="11"/>
                <w:szCs w:val="11"/>
                <w:color w:val="646269"/>
              </w:rPr>
              <w:t>.28</w:t>
            </w:r>
          </w:p>
        </w:tc>
        <w:tc>
          <w:tcPr>
            <w:tcW w:w="1320" w:type="dxa"/>
            <w:vAlign w:val="bottom"/>
            <w:gridSpan w:val="2"/>
          </w:tcPr>
          <w:p>
            <w:pPr>
              <w:jc w:val="center"/>
              <w:ind w:left="63"/>
              <w:spacing w:after="0"/>
              <w:rPr>
                <w:sz w:val="20"/>
                <w:szCs w:val="20"/>
                <w:color w:val="auto"/>
              </w:rPr>
            </w:pPr>
            <w:r>
              <w:rPr>
                <w:rFonts w:ascii="Times New Roman" w:cs="Times New Roman" w:eastAsia="Times New Roman" w:hAnsi="Times New Roman"/>
                <w:sz w:val="11"/>
                <w:szCs w:val="11"/>
                <w:color w:val="646269"/>
              </w:rPr>
              <w:t>$</w:t>
            </w:r>
            <w:r>
              <w:rPr>
                <w:rFonts w:ascii="Times New Roman" w:cs="Times New Roman" w:eastAsia="Times New Roman" w:hAnsi="Times New Roman"/>
                <w:sz w:val="11"/>
                <w:szCs w:val="11"/>
                <w:color w:val="504956"/>
              </w:rPr>
              <w:t>201</w:t>
            </w:r>
            <w:r>
              <w:rPr>
                <w:rFonts w:ascii="Times New Roman" w:cs="Times New Roman" w:eastAsia="Times New Roman" w:hAnsi="Times New Roman"/>
                <w:sz w:val="11"/>
                <w:szCs w:val="11"/>
                <w:color w:val="646269"/>
              </w:rPr>
              <w:t>,7</w:t>
            </w:r>
            <w:r>
              <w:rPr>
                <w:rFonts w:ascii="Times New Roman" w:cs="Times New Roman" w:eastAsia="Times New Roman" w:hAnsi="Times New Roman"/>
                <w:sz w:val="11"/>
                <w:szCs w:val="11"/>
                <w:color w:val="504956"/>
              </w:rPr>
              <w:t>0</w:t>
            </w:r>
            <w:r>
              <w:rPr>
                <w:rFonts w:ascii="Times New Roman" w:cs="Times New Roman" w:eastAsia="Times New Roman" w:hAnsi="Times New Roman"/>
                <w:sz w:val="11"/>
                <w:szCs w:val="11"/>
                <w:color w:val="646269"/>
              </w:rPr>
              <w:t>6</w:t>
            </w:r>
            <w:r>
              <w:rPr>
                <w:rFonts w:ascii="Times New Roman" w:cs="Times New Roman" w:eastAsia="Times New Roman" w:hAnsi="Times New Roman"/>
                <w:sz w:val="11"/>
                <w:szCs w:val="11"/>
                <w:color w:val="504956"/>
              </w:rPr>
              <w:t>.</w:t>
            </w:r>
            <w:r>
              <w:rPr>
                <w:rFonts w:ascii="Times New Roman" w:cs="Times New Roman" w:eastAsia="Times New Roman" w:hAnsi="Times New Roman"/>
                <w:sz w:val="11"/>
                <w:szCs w:val="11"/>
                <w:color w:val="646269"/>
              </w:rPr>
              <w:t>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3D3642"/>
        </w:rPr>
        <w:t xml:space="preserve">No </w:t>
      </w:r>
      <w:r>
        <w:rPr>
          <w:rFonts w:ascii="Times New Roman" w:cs="Times New Roman" w:eastAsia="Times New Roman" w:hAnsi="Times New Roman"/>
          <w:sz w:val="14"/>
          <w:szCs w:val="14"/>
          <w:color w:val="262326"/>
        </w:rPr>
        <w:t>B</w:t>
      </w:r>
      <w:r>
        <w:rPr>
          <w:rFonts w:ascii="Times New Roman" w:cs="Times New Roman" w:eastAsia="Times New Roman" w:hAnsi="Times New Roman"/>
          <w:sz w:val="14"/>
          <w:szCs w:val="14"/>
          <w:color w:val="3D3642"/>
        </w:rPr>
        <w:t xml:space="preserve">ase </w:t>
      </w:r>
      <w:r>
        <w:rPr>
          <w:rFonts w:ascii="Times New Roman" w:cs="Times New Roman" w:eastAsia="Times New Roman" w:hAnsi="Times New Roman"/>
          <w:sz w:val="14"/>
          <w:szCs w:val="14"/>
          <w:color w:val="262326"/>
        </w:rPr>
        <w:t>R</w:t>
      </w:r>
      <w:r>
        <w:rPr>
          <w:rFonts w:ascii="Times New Roman" w:cs="Times New Roman" w:eastAsia="Times New Roman" w:hAnsi="Times New Roman"/>
          <w:sz w:val="14"/>
          <w:szCs w:val="14"/>
          <w:color w:val="3D3642"/>
        </w:rPr>
        <w:t>e</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3D3642"/>
        </w:rPr>
        <w:t xml:space="preserve">t </w:t>
      </w:r>
      <w:r>
        <w:rPr>
          <w:rFonts w:ascii="Times New Roman" w:cs="Times New Roman" w:eastAsia="Times New Roman" w:hAnsi="Times New Roman"/>
          <w:sz w:val="14"/>
          <w:szCs w:val="14"/>
          <w:color w:val="504956"/>
        </w:rPr>
        <w:t>s</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504956"/>
        </w:rPr>
        <w:t>a</w:t>
      </w:r>
      <w:r>
        <w:rPr>
          <w:rFonts w:ascii="Times New Roman" w:cs="Times New Roman" w:eastAsia="Times New Roman" w:hAnsi="Times New Roman"/>
          <w:sz w:val="14"/>
          <w:szCs w:val="14"/>
          <w:color w:val="262326"/>
        </w:rPr>
        <w:t>ll</w:t>
      </w:r>
      <w:r>
        <w:rPr>
          <w:rFonts w:ascii="Times New Roman" w:cs="Times New Roman" w:eastAsia="Times New Roman" w:hAnsi="Times New Roman"/>
          <w:sz w:val="14"/>
          <w:szCs w:val="14"/>
          <w:color w:val="3D3642"/>
        </w:rPr>
        <w:t xml:space="preserve"> be due </w:t>
      </w:r>
      <w:r>
        <w:rPr>
          <w:rFonts w:ascii="Times New Roman" w:cs="Times New Roman" w:eastAsia="Times New Roman" w:hAnsi="Times New Roman"/>
          <w:sz w:val="14"/>
          <w:szCs w:val="14"/>
          <w:color w:val="504956"/>
        </w:rPr>
        <w:t>o</w:t>
      </w:r>
      <w:r>
        <w:rPr>
          <w:rFonts w:ascii="Times New Roman" w:cs="Times New Roman" w:eastAsia="Times New Roman" w:hAnsi="Times New Roman"/>
          <w:sz w:val="14"/>
          <w:szCs w:val="14"/>
          <w:color w:val="262326"/>
        </w:rPr>
        <w:t>r</w:t>
      </w:r>
      <w:r>
        <w:rPr>
          <w:rFonts w:ascii="Times New Roman" w:cs="Times New Roman" w:eastAsia="Times New Roman" w:hAnsi="Times New Roman"/>
          <w:sz w:val="14"/>
          <w:szCs w:val="14"/>
          <w:color w:val="3D3642"/>
        </w:rPr>
        <w:t xml:space="preserve"> payable </w:t>
      </w:r>
      <w:r>
        <w:rPr>
          <w:rFonts w:ascii="Times New Roman" w:cs="Times New Roman" w:eastAsia="Times New Roman" w:hAnsi="Times New Roman"/>
          <w:sz w:val="14"/>
          <w:szCs w:val="14"/>
          <w:color w:val="504956"/>
        </w:rPr>
        <w:t>with</w:t>
      </w:r>
      <w:r>
        <w:rPr>
          <w:rFonts w:ascii="Times New Roman" w:cs="Times New Roman" w:eastAsia="Times New Roman" w:hAnsi="Times New Roman"/>
          <w:sz w:val="14"/>
          <w:szCs w:val="14"/>
          <w:color w:val="3D3642"/>
        </w:rPr>
        <w:t xml:space="preserve"> respect to a</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504956"/>
        </w:rPr>
        <w:t>y</w:t>
      </w:r>
      <w:r>
        <w:rPr>
          <w:rFonts w:ascii="Times New Roman" w:cs="Times New Roman" w:eastAsia="Times New Roman" w:hAnsi="Times New Roman"/>
          <w:sz w:val="14"/>
          <w:szCs w:val="14"/>
          <w:color w:val="3D3642"/>
        </w:rPr>
        <w:t xml:space="preserve"> per</w:t>
      </w:r>
      <w:r>
        <w:rPr>
          <w:rFonts w:ascii="Times New Roman" w:cs="Times New Roman" w:eastAsia="Times New Roman" w:hAnsi="Times New Roman"/>
          <w:sz w:val="14"/>
          <w:szCs w:val="14"/>
          <w:color w:val="262326"/>
        </w:rPr>
        <w:t>i</w:t>
      </w:r>
      <w:r>
        <w:rPr>
          <w:rFonts w:ascii="Times New Roman" w:cs="Times New Roman" w:eastAsia="Times New Roman" w:hAnsi="Times New Roman"/>
          <w:sz w:val="14"/>
          <w:szCs w:val="14"/>
          <w:color w:val="504956"/>
        </w:rPr>
        <w:t>od</w:t>
      </w:r>
      <w:r>
        <w:rPr>
          <w:rFonts w:ascii="Times New Roman" w:cs="Times New Roman" w:eastAsia="Times New Roman" w:hAnsi="Times New Roman"/>
          <w:sz w:val="14"/>
          <w:szCs w:val="14"/>
          <w:color w:val="3D3642"/>
        </w:rPr>
        <w:t xml:space="preserve"> pr</w:t>
      </w:r>
      <w:r>
        <w:rPr>
          <w:rFonts w:ascii="Times New Roman" w:cs="Times New Roman" w:eastAsia="Times New Roman" w:hAnsi="Times New Roman"/>
          <w:sz w:val="14"/>
          <w:szCs w:val="14"/>
          <w:color w:val="262326"/>
        </w:rPr>
        <w:t>i</w:t>
      </w:r>
      <w:r>
        <w:rPr>
          <w:rFonts w:ascii="Times New Roman" w:cs="Times New Roman" w:eastAsia="Times New Roman" w:hAnsi="Times New Roman"/>
          <w:sz w:val="14"/>
          <w:szCs w:val="14"/>
          <w:color w:val="504956"/>
        </w:rPr>
        <w:t>o</w:t>
      </w:r>
      <w:r>
        <w:rPr>
          <w:rFonts w:ascii="Times New Roman" w:cs="Times New Roman" w:eastAsia="Times New Roman" w:hAnsi="Times New Roman"/>
          <w:sz w:val="14"/>
          <w:szCs w:val="14"/>
          <w:color w:val="262326"/>
        </w:rPr>
        <w:t>r</w:t>
      </w:r>
      <w:r>
        <w:rPr>
          <w:rFonts w:ascii="Times New Roman" w:cs="Times New Roman" w:eastAsia="Times New Roman" w:hAnsi="Times New Roman"/>
          <w:sz w:val="14"/>
          <w:szCs w:val="14"/>
          <w:color w:val="3D3642"/>
        </w:rPr>
        <w:t xml:space="preserve"> to t</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e Comme</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3D3642"/>
        </w:rPr>
        <w:t>cement Date</w:t>
      </w:r>
      <w:r>
        <w:rPr>
          <w:rFonts w:ascii="Times New Roman" w:cs="Times New Roman" w:eastAsia="Times New Roman" w:hAnsi="Times New Roman"/>
          <w:sz w:val="14"/>
          <w:szCs w:val="14"/>
          <w:color w:val="646269"/>
        </w:rPr>
        <w:t>,</w:t>
      </w:r>
      <w:r>
        <w:rPr>
          <w:rFonts w:ascii="Times New Roman" w:cs="Times New Roman" w:eastAsia="Times New Roman" w:hAnsi="Times New Roman"/>
          <w:sz w:val="14"/>
          <w:szCs w:val="14"/>
          <w:color w:val="3D3642"/>
        </w:rPr>
        <w:t xml:space="preserve"> </w:t>
      </w:r>
      <w:r>
        <w:rPr>
          <w:rFonts w:ascii="Times New Roman" w:cs="Times New Roman" w:eastAsia="Times New Roman" w:hAnsi="Times New Roman"/>
          <w:sz w:val="14"/>
          <w:szCs w:val="14"/>
          <w:color w:val="262326"/>
        </w:rPr>
        <w:t>in</w:t>
      </w:r>
      <w:r>
        <w:rPr>
          <w:rFonts w:ascii="Times New Roman" w:cs="Times New Roman" w:eastAsia="Times New Roman" w:hAnsi="Times New Roman"/>
          <w:sz w:val="14"/>
          <w:szCs w:val="14"/>
          <w:color w:val="3D3642"/>
        </w:rPr>
        <w:t>clud</w:t>
      </w:r>
      <w:r>
        <w:rPr>
          <w:rFonts w:ascii="Times New Roman" w:cs="Times New Roman" w:eastAsia="Times New Roman" w:hAnsi="Times New Roman"/>
          <w:sz w:val="14"/>
          <w:szCs w:val="14"/>
          <w:color w:val="262326"/>
        </w:rPr>
        <w:t>in</w:t>
      </w:r>
      <w:r>
        <w:rPr>
          <w:rFonts w:ascii="Times New Roman" w:cs="Times New Roman" w:eastAsia="Times New Roman" w:hAnsi="Times New Roman"/>
          <w:sz w:val="14"/>
          <w:szCs w:val="14"/>
          <w:color w:val="504956"/>
        </w:rPr>
        <w:t>g</w:t>
      </w:r>
      <w:r>
        <w:rPr>
          <w:rFonts w:ascii="Times New Roman" w:cs="Times New Roman" w:eastAsia="Times New Roman" w:hAnsi="Times New Roman"/>
          <w:sz w:val="14"/>
          <w:szCs w:val="14"/>
          <w:color w:val="3D3642"/>
        </w:rPr>
        <w:t xml:space="preserve"> t</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e Early Access Per</w:t>
      </w:r>
      <w:r>
        <w:rPr>
          <w:rFonts w:ascii="Times New Roman" w:cs="Times New Roman" w:eastAsia="Times New Roman" w:hAnsi="Times New Roman"/>
          <w:sz w:val="14"/>
          <w:szCs w:val="14"/>
          <w:color w:val="262326"/>
        </w:rPr>
        <w:t>i</w:t>
      </w:r>
      <w:r>
        <w:rPr>
          <w:rFonts w:ascii="Times New Roman" w:cs="Times New Roman" w:eastAsia="Times New Roman" w:hAnsi="Times New Roman"/>
          <w:sz w:val="14"/>
          <w:szCs w:val="14"/>
          <w:color w:val="504956"/>
        </w:rPr>
        <w:t>od</w:t>
      </w:r>
      <w:r>
        <w:rPr>
          <w:rFonts w:ascii="Times New Roman" w:cs="Times New Roman" w:eastAsia="Times New Roman" w:hAnsi="Times New Roman"/>
          <w:sz w:val="14"/>
          <w:szCs w:val="14"/>
          <w:color w:val="3D3642"/>
        </w:rPr>
        <w:t xml:space="preserve"> a</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504956"/>
        </w:rPr>
        <w:t>d</w:t>
      </w:r>
      <w:r>
        <w:rPr>
          <w:rFonts w:ascii="Times New Roman" w:cs="Times New Roman" w:eastAsia="Times New Roman" w:hAnsi="Times New Roman"/>
          <w:sz w:val="14"/>
          <w:szCs w:val="14"/>
          <w:color w:val="3D3642"/>
        </w:rPr>
        <w:t xml:space="preserve"> Beneficia</w:t>
      </w:r>
      <w:r>
        <w:rPr>
          <w:rFonts w:ascii="Times New Roman" w:cs="Times New Roman" w:eastAsia="Times New Roman" w:hAnsi="Times New Roman"/>
          <w:sz w:val="14"/>
          <w:szCs w:val="14"/>
          <w:color w:val="262326"/>
        </w:rPr>
        <w:t>l</w:t>
      </w:r>
      <w:r>
        <w:rPr>
          <w:rFonts w:ascii="Times New Roman" w:cs="Times New Roman" w:eastAsia="Times New Roman" w:hAnsi="Times New Roman"/>
          <w:sz w:val="14"/>
          <w:szCs w:val="14"/>
          <w:color w:val="3D3642"/>
        </w:rPr>
        <w:t xml:space="preserve"> Occupancy.</w:t>
      </w:r>
    </w:p>
    <w:p>
      <w:pPr>
        <w:spacing w:after="0" w:line="64" w:lineRule="exact"/>
        <w:rPr>
          <w:sz w:val="20"/>
          <w:szCs w:val="20"/>
          <w:color w:val="auto"/>
        </w:rPr>
      </w:pPr>
    </w:p>
    <w:p>
      <w:pPr>
        <w:jc w:val="both"/>
        <w:ind w:left="40" w:right="400" w:firstLine="819"/>
        <w:spacing w:after="0" w:line="219" w:lineRule="auto"/>
        <w:rPr>
          <w:sz w:val="20"/>
          <w:szCs w:val="20"/>
          <w:color w:val="auto"/>
        </w:rPr>
      </w:pPr>
      <w:r>
        <w:rPr>
          <w:rFonts w:ascii="Times New Roman" w:cs="Times New Roman" w:eastAsia="Times New Roman" w:hAnsi="Times New Roman"/>
          <w:sz w:val="14"/>
          <w:szCs w:val="14"/>
          <w:color w:val="auto"/>
        </w:rPr>
        <w:t xml:space="preserve">6.3 </w:t>
      </w:r>
      <w:r>
        <w:rPr>
          <w:rFonts w:ascii="Times New Roman" w:cs="Times New Roman" w:eastAsia="Times New Roman" w:hAnsi="Times New Roman"/>
          <w:sz w:val="14"/>
          <w:szCs w:val="14"/>
          <w:color w:val="3D3642"/>
        </w:rPr>
        <w:t>In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504956"/>
        </w:rPr>
        <w:t>add</w:t>
      </w:r>
      <w:r>
        <w:rPr>
          <w:rFonts w:ascii="Times New Roman" w:cs="Times New Roman" w:eastAsia="Times New Roman" w:hAnsi="Times New Roman"/>
          <w:sz w:val="14"/>
          <w:szCs w:val="14"/>
          <w:color w:val="262326"/>
        </w:rPr>
        <w:t>i</w:t>
      </w:r>
      <w:r>
        <w:rPr>
          <w:rFonts w:ascii="Times New Roman" w:cs="Times New Roman" w:eastAsia="Times New Roman" w:hAnsi="Times New Roman"/>
          <w:sz w:val="14"/>
          <w:szCs w:val="14"/>
          <w:color w:val="3D3642"/>
        </w:rPr>
        <w:t>tion to Base Rent, S</w:t>
      </w:r>
      <w:r>
        <w:rPr>
          <w:rFonts w:ascii="Times New Roman" w:cs="Times New Roman" w:eastAsia="Times New Roman" w:hAnsi="Times New Roman"/>
          <w:sz w:val="14"/>
          <w:szCs w:val="14"/>
          <w:color w:val="262326"/>
        </w:rPr>
        <w:t>u</w:t>
      </w:r>
      <w:r>
        <w:rPr>
          <w:rFonts w:ascii="Times New Roman" w:cs="Times New Roman" w:eastAsia="Times New Roman" w:hAnsi="Times New Roman"/>
          <w:sz w:val="14"/>
          <w:szCs w:val="14"/>
          <w:color w:val="3D3642"/>
        </w:rPr>
        <w:t>bte</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3D3642"/>
        </w:rPr>
        <w:t>ant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504956"/>
        </w:rPr>
        <w:t>s</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a</w:t>
      </w:r>
      <w:r>
        <w:rPr>
          <w:rFonts w:ascii="Times New Roman" w:cs="Times New Roman" w:eastAsia="Times New Roman" w:hAnsi="Times New Roman"/>
          <w:sz w:val="14"/>
          <w:szCs w:val="14"/>
          <w:color w:val="262326"/>
        </w:rPr>
        <w:t>ll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3D3642"/>
        </w:rPr>
        <w:t>pay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504956"/>
        </w:rPr>
        <w:t>Sub</w:t>
      </w:r>
      <w:r>
        <w:rPr>
          <w:rFonts w:ascii="Times New Roman" w:cs="Times New Roman" w:eastAsia="Times New Roman" w:hAnsi="Times New Roman"/>
          <w:sz w:val="14"/>
          <w:szCs w:val="14"/>
          <w:color w:val="262326"/>
        </w:rPr>
        <w:t>l</w:t>
      </w:r>
      <w:r>
        <w:rPr>
          <w:rFonts w:ascii="Times New Roman" w:cs="Times New Roman" w:eastAsia="Times New Roman" w:hAnsi="Times New Roman"/>
          <w:sz w:val="14"/>
          <w:szCs w:val="14"/>
          <w:color w:val="3D3642"/>
        </w:rPr>
        <w:t>andlord those amounts payable by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504956"/>
        </w:rPr>
        <w:t>Subland</w:t>
      </w:r>
      <w:r>
        <w:rPr>
          <w:rFonts w:ascii="Times New Roman" w:cs="Times New Roman" w:eastAsia="Times New Roman" w:hAnsi="Times New Roman"/>
          <w:sz w:val="14"/>
          <w:szCs w:val="14"/>
          <w:color w:val="262326"/>
        </w:rPr>
        <w:t>l</w:t>
      </w:r>
      <w:r>
        <w:rPr>
          <w:rFonts w:ascii="Times New Roman" w:cs="Times New Roman" w:eastAsia="Times New Roman" w:hAnsi="Times New Roman"/>
          <w:sz w:val="14"/>
          <w:szCs w:val="14"/>
          <w:color w:val="504956"/>
        </w:rPr>
        <w:t>o</w:t>
      </w:r>
      <w:r>
        <w:rPr>
          <w:rFonts w:ascii="Times New Roman" w:cs="Times New Roman" w:eastAsia="Times New Roman" w:hAnsi="Times New Roman"/>
          <w:sz w:val="14"/>
          <w:szCs w:val="14"/>
          <w:color w:val="262326"/>
        </w:rPr>
        <w:t>r</w:t>
      </w:r>
      <w:r>
        <w:rPr>
          <w:rFonts w:ascii="Times New Roman" w:cs="Times New Roman" w:eastAsia="Times New Roman" w:hAnsi="Times New Roman"/>
          <w:sz w:val="14"/>
          <w:szCs w:val="14"/>
          <w:color w:val="3D3642"/>
        </w:rPr>
        <w:t>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504956"/>
        </w:rPr>
        <w:t>as "Additio</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504956"/>
        </w:rPr>
        <w:t>a</w:t>
      </w:r>
      <w:r>
        <w:rPr>
          <w:rFonts w:ascii="Times New Roman" w:cs="Times New Roman" w:eastAsia="Times New Roman" w:hAnsi="Times New Roman"/>
          <w:sz w:val="14"/>
          <w:szCs w:val="14"/>
          <w:color w:val="262326"/>
        </w:rPr>
        <w:t>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3D3642"/>
        </w:rPr>
        <w:t>Renta</w:t>
      </w:r>
      <w:r>
        <w:rPr>
          <w:rFonts w:ascii="Times New Roman" w:cs="Times New Roman" w:eastAsia="Times New Roman" w:hAnsi="Times New Roman"/>
          <w:sz w:val="14"/>
          <w:szCs w:val="14"/>
          <w:color w:val="262326"/>
        </w:rPr>
        <w:t>l</w:t>
      </w:r>
      <w:r>
        <w:rPr>
          <w:rFonts w:ascii="Times New Roman" w:cs="Times New Roman" w:eastAsia="Times New Roman" w:hAnsi="Times New Roman"/>
          <w:sz w:val="14"/>
          <w:szCs w:val="14"/>
          <w:color w:val="646269"/>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62326"/>
        </w:rPr>
        <w:t>un</w:t>
      </w:r>
      <w:r>
        <w:rPr>
          <w:rFonts w:ascii="Times New Roman" w:cs="Times New Roman" w:eastAsia="Times New Roman" w:hAnsi="Times New Roman"/>
          <w:sz w:val="14"/>
          <w:szCs w:val="14"/>
          <w:color w:val="3D3642"/>
        </w:rPr>
        <w:t>de</w:t>
      </w:r>
      <w:r>
        <w:rPr>
          <w:rFonts w:ascii="Times New Roman" w:cs="Times New Roman" w:eastAsia="Times New Roman" w:hAnsi="Times New Roman"/>
          <w:sz w:val="14"/>
          <w:szCs w:val="14"/>
          <w:color w:val="262326"/>
        </w:rPr>
        <w:t>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3D3642"/>
        </w:rPr>
        <w:t xml:space="preserve">the Master Lease </w:t>
      </w:r>
      <w:r>
        <w:rPr>
          <w:rFonts w:ascii="Times New Roman" w:cs="Times New Roman" w:eastAsia="Times New Roman" w:hAnsi="Times New Roman"/>
          <w:sz w:val="14"/>
          <w:szCs w:val="14"/>
          <w:color w:val="504956"/>
        </w:rPr>
        <w:t>Section</w:t>
      </w:r>
      <w:r>
        <w:rPr>
          <w:rFonts w:ascii="Times New Roman" w:cs="Times New Roman" w:eastAsia="Times New Roman" w:hAnsi="Times New Roman"/>
          <w:sz w:val="14"/>
          <w:szCs w:val="14"/>
          <w:color w:val="3D3642"/>
        </w:rPr>
        <w:t xml:space="preserve"> 6</w:t>
      </w:r>
      <w:r>
        <w:rPr>
          <w:rFonts w:ascii="Times New Roman" w:cs="Times New Roman" w:eastAsia="Times New Roman" w:hAnsi="Times New Roman"/>
          <w:sz w:val="14"/>
          <w:szCs w:val="14"/>
          <w:color w:val="7B7477"/>
        </w:rPr>
        <w:t>,</w:t>
      </w:r>
      <w:r>
        <w:rPr>
          <w:rFonts w:ascii="Times New Roman" w:cs="Times New Roman" w:eastAsia="Times New Roman" w:hAnsi="Times New Roman"/>
          <w:sz w:val="14"/>
          <w:szCs w:val="14"/>
          <w:color w:val="3D3642"/>
        </w:rPr>
        <w:t xml:space="preserve"> in respect </w:t>
      </w:r>
      <w:r>
        <w:rPr>
          <w:rFonts w:ascii="Times New Roman" w:cs="Times New Roman" w:eastAsia="Times New Roman" w:hAnsi="Times New Roman"/>
          <w:sz w:val="14"/>
          <w:szCs w:val="14"/>
          <w:color w:val="504956"/>
        </w:rPr>
        <w:t>of</w:t>
      </w:r>
      <w:r>
        <w:rPr>
          <w:rFonts w:ascii="Times New Roman" w:cs="Times New Roman" w:eastAsia="Times New Roman" w:hAnsi="Times New Roman"/>
          <w:sz w:val="14"/>
          <w:szCs w:val="14"/>
          <w:color w:val="3D3642"/>
        </w:rPr>
        <w:t xml:space="preserve"> t</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e S</w:t>
      </w:r>
      <w:r>
        <w:rPr>
          <w:rFonts w:ascii="Times New Roman" w:cs="Times New Roman" w:eastAsia="Times New Roman" w:hAnsi="Times New Roman"/>
          <w:sz w:val="14"/>
          <w:szCs w:val="14"/>
          <w:color w:val="262326"/>
        </w:rPr>
        <w:t>u</w:t>
      </w:r>
      <w:r>
        <w:rPr>
          <w:rFonts w:ascii="Times New Roman" w:cs="Times New Roman" w:eastAsia="Times New Roman" w:hAnsi="Times New Roman"/>
          <w:sz w:val="14"/>
          <w:szCs w:val="14"/>
          <w:color w:val="3D3642"/>
        </w:rPr>
        <w:t>bleased P</w:t>
      </w:r>
      <w:r>
        <w:rPr>
          <w:rFonts w:ascii="Times New Roman" w:cs="Times New Roman" w:eastAsia="Times New Roman" w:hAnsi="Times New Roman"/>
          <w:sz w:val="14"/>
          <w:szCs w:val="14"/>
          <w:color w:val="262326"/>
        </w:rPr>
        <w:t>r</w:t>
      </w:r>
      <w:r>
        <w:rPr>
          <w:rFonts w:ascii="Times New Roman" w:cs="Times New Roman" w:eastAsia="Times New Roman" w:hAnsi="Times New Roman"/>
          <w:sz w:val="14"/>
          <w:szCs w:val="14"/>
          <w:color w:val="3D3642"/>
        </w:rPr>
        <w:t xml:space="preserve">emises </w:t>
      </w:r>
      <w:r>
        <w:rPr>
          <w:rFonts w:ascii="Times New Roman" w:cs="Times New Roman" w:eastAsia="Times New Roman" w:hAnsi="Times New Roman"/>
          <w:sz w:val="14"/>
          <w:szCs w:val="14"/>
          <w:color w:val="504956"/>
        </w:rPr>
        <w:t>(the</w:t>
      </w:r>
      <w:r>
        <w:rPr>
          <w:rFonts w:ascii="Times New Roman" w:cs="Times New Roman" w:eastAsia="Times New Roman" w:hAnsi="Times New Roman"/>
          <w:sz w:val="14"/>
          <w:szCs w:val="14"/>
          <w:color w:val="3D3642"/>
        </w:rPr>
        <w:t xml:space="preserve"> </w:t>
      </w:r>
      <w:r>
        <w:rPr>
          <w:rFonts w:ascii="Times New Roman" w:cs="Times New Roman" w:eastAsia="Times New Roman" w:hAnsi="Times New Roman"/>
          <w:sz w:val="13"/>
          <w:szCs w:val="13"/>
          <w:b w:val="1"/>
          <w:bCs w:val="1"/>
          <w:color w:val="504956"/>
        </w:rPr>
        <w:t>"A</w:t>
      </w:r>
      <w:r>
        <w:rPr>
          <w:rFonts w:ascii="Times New Roman" w:cs="Times New Roman" w:eastAsia="Times New Roman" w:hAnsi="Times New Roman"/>
          <w:sz w:val="13"/>
          <w:szCs w:val="13"/>
          <w:b w:val="1"/>
          <w:bCs w:val="1"/>
          <w:color w:val="262326"/>
        </w:rPr>
        <w:t>dditi</w:t>
      </w:r>
      <w:r>
        <w:rPr>
          <w:rFonts w:ascii="Times New Roman" w:cs="Times New Roman" w:eastAsia="Times New Roman" w:hAnsi="Times New Roman"/>
          <w:sz w:val="13"/>
          <w:szCs w:val="13"/>
          <w:b w:val="1"/>
          <w:bCs w:val="1"/>
          <w:color w:val="3D3642"/>
        </w:rPr>
        <w:t>o</w:t>
      </w:r>
      <w:r>
        <w:rPr>
          <w:rFonts w:ascii="Times New Roman" w:cs="Times New Roman" w:eastAsia="Times New Roman" w:hAnsi="Times New Roman"/>
          <w:sz w:val="13"/>
          <w:szCs w:val="13"/>
          <w:b w:val="1"/>
          <w:bCs w:val="1"/>
          <w:color w:val="262326"/>
        </w:rPr>
        <w:t>nal R</w:t>
      </w:r>
      <w:r>
        <w:rPr>
          <w:rFonts w:ascii="Times New Roman" w:cs="Times New Roman" w:eastAsia="Times New Roman" w:hAnsi="Times New Roman"/>
          <w:sz w:val="13"/>
          <w:szCs w:val="13"/>
          <w:b w:val="1"/>
          <w:bCs w:val="1"/>
          <w:color w:val="3D3642"/>
        </w:rPr>
        <w:t>e</w:t>
      </w:r>
      <w:r>
        <w:rPr>
          <w:rFonts w:ascii="Times New Roman" w:cs="Times New Roman" w:eastAsia="Times New Roman" w:hAnsi="Times New Roman"/>
          <w:sz w:val="13"/>
          <w:szCs w:val="13"/>
          <w:b w:val="1"/>
          <w:bCs w:val="1"/>
          <w:color w:val="262326"/>
        </w:rPr>
        <w:t>nt</w:t>
      </w:r>
      <w:r>
        <w:rPr>
          <w:rFonts w:ascii="Times New Roman" w:cs="Times New Roman" w:eastAsia="Times New Roman" w:hAnsi="Times New Roman"/>
          <w:sz w:val="13"/>
          <w:szCs w:val="13"/>
          <w:b w:val="1"/>
          <w:bCs w:val="1"/>
          <w:color w:val="504956"/>
        </w:rPr>
        <w:t>")</w:t>
      </w:r>
      <w:r>
        <w:rPr>
          <w:rFonts w:ascii="Times New Roman" w:cs="Times New Roman" w:eastAsia="Times New Roman" w:hAnsi="Times New Roman"/>
          <w:sz w:val="14"/>
          <w:szCs w:val="14"/>
          <w:color w:val="3D3642"/>
        </w:rPr>
        <w:t xml:space="preserve"> </w:t>
      </w:r>
      <w:r>
        <w:rPr>
          <w:rFonts w:ascii="Times New Roman" w:cs="Times New Roman" w:eastAsia="Times New Roman" w:hAnsi="Times New Roman"/>
          <w:sz w:val="14"/>
          <w:szCs w:val="14"/>
          <w:color w:val="504956"/>
        </w:rPr>
        <w:t>and</w:t>
      </w:r>
      <w:r>
        <w:rPr>
          <w:rFonts w:ascii="Times New Roman" w:cs="Times New Roman" w:eastAsia="Times New Roman" w:hAnsi="Times New Roman"/>
          <w:sz w:val="14"/>
          <w:szCs w:val="14"/>
          <w:color w:val="3D3642"/>
        </w:rPr>
        <w:t xml:space="preserve"> any </w:t>
      </w:r>
      <w:r>
        <w:rPr>
          <w:rFonts w:ascii="Times New Roman" w:cs="Times New Roman" w:eastAsia="Times New Roman" w:hAnsi="Times New Roman"/>
          <w:sz w:val="14"/>
          <w:szCs w:val="14"/>
          <w:color w:val="504956"/>
        </w:rPr>
        <w:t>othe</w:t>
      </w:r>
      <w:r>
        <w:rPr>
          <w:rFonts w:ascii="Times New Roman" w:cs="Times New Roman" w:eastAsia="Times New Roman" w:hAnsi="Times New Roman"/>
          <w:sz w:val="14"/>
          <w:szCs w:val="14"/>
          <w:color w:val="262326"/>
        </w:rPr>
        <w:t>r</w:t>
      </w:r>
      <w:r>
        <w:rPr>
          <w:rFonts w:ascii="Times New Roman" w:cs="Times New Roman" w:eastAsia="Times New Roman" w:hAnsi="Times New Roman"/>
          <w:sz w:val="14"/>
          <w:szCs w:val="14"/>
          <w:color w:val="3D3642"/>
        </w:rPr>
        <w:t xml:space="preserve"> amounts payable </w:t>
      </w:r>
      <w:r>
        <w:rPr>
          <w:rFonts w:ascii="Times New Roman" w:cs="Times New Roman" w:eastAsia="Times New Roman" w:hAnsi="Times New Roman"/>
          <w:sz w:val="14"/>
          <w:szCs w:val="14"/>
          <w:color w:val="262326"/>
        </w:rPr>
        <w:t>b</w:t>
      </w:r>
      <w:r>
        <w:rPr>
          <w:rFonts w:ascii="Times New Roman" w:cs="Times New Roman" w:eastAsia="Times New Roman" w:hAnsi="Times New Roman"/>
          <w:sz w:val="14"/>
          <w:szCs w:val="14"/>
          <w:color w:val="504956"/>
        </w:rPr>
        <w:t>y</w:t>
      </w:r>
      <w:r>
        <w:rPr>
          <w:rFonts w:ascii="Times New Roman" w:cs="Times New Roman" w:eastAsia="Times New Roman" w:hAnsi="Times New Roman"/>
          <w:sz w:val="14"/>
          <w:szCs w:val="14"/>
          <w:color w:val="3D3642"/>
        </w:rPr>
        <w:t xml:space="preserve"> Te</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3D3642"/>
        </w:rPr>
        <w:t>a</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3D3642"/>
        </w:rPr>
        <w:t>t unde</w:t>
      </w:r>
      <w:r>
        <w:rPr>
          <w:rFonts w:ascii="Times New Roman" w:cs="Times New Roman" w:eastAsia="Times New Roman" w:hAnsi="Times New Roman"/>
          <w:sz w:val="14"/>
          <w:szCs w:val="14"/>
          <w:color w:val="262326"/>
        </w:rPr>
        <w:t>r</w:t>
      </w:r>
      <w:r>
        <w:rPr>
          <w:rFonts w:ascii="Times New Roman" w:cs="Times New Roman" w:eastAsia="Times New Roman" w:hAnsi="Times New Roman"/>
          <w:sz w:val="14"/>
          <w:szCs w:val="14"/>
          <w:color w:val="3D3642"/>
        </w:rPr>
        <w:t xml:space="preserve"> t</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e Maste</w:t>
      </w:r>
      <w:r>
        <w:rPr>
          <w:rFonts w:ascii="Times New Roman" w:cs="Times New Roman" w:eastAsia="Times New Roman" w:hAnsi="Times New Roman"/>
          <w:sz w:val="14"/>
          <w:szCs w:val="14"/>
          <w:color w:val="262326"/>
        </w:rPr>
        <w:t>r</w:t>
      </w:r>
      <w:r>
        <w:rPr>
          <w:rFonts w:ascii="Times New Roman" w:cs="Times New Roman" w:eastAsia="Times New Roman" w:hAnsi="Times New Roman"/>
          <w:sz w:val="14"/>
          <w:szCs w:val="14"/>
          <w:color w:val="3D3642"/>
        </w:rPr>
        <w:t xml:space="preserve"> Lease</w:t>
      </w:r>
    </w:p>
    <w:p>
      <w:pPr>
        <w:spacing w:after="0" w:line="216" w:lineRule="auto"/>
        <w:rPr>
          <w:sz w:val="20"/>
          <w:szCs w:val="20"/>
          <w:color w:val="auto"/>
        </w:rPr>
      </w:pPr>
      <w:r>
        <w:rPr>
          <w:rFonts w:ascii="Times New Roman" w:cs="Times New Roman" w:eastAsia="Times New Roman" w:hAnsi="Times New Roman"/>
          <w:sz w:val="14"/>
          <w:szCs w:val="14"/>
          <w:color w:val="3D3642"/>
        </w:rPr>
        <w:t xml:space="preserve">in </w:t>
      </w:r>
      <w:r>
        <w:rPr>
          <w:rFonts w:ascii="Times New Roman" w:cs="Times New Roman" w:eastAsia="Times New Roman" w:hAnsi="Times New Roman"/>
          <w:sz w:val="14"/>
          <w:szCs w:val="14"/>
          <w:color w:val="262326"/>
        </w:rPr>
        <w:t>r</w:t>
      </w:r>
      <w:r>
        <w:rPr>
          <w:rFonts w:ascii="Times New Roman" w:cs="Times New Roman" w:eastAsia="Times New Roman" w:hAnsi="Times New Roman"/>
          <w:sz w:val="14"/>
          <w:szCs w:val="14"/>
          <w:color w:val="3D3642"/>
        </w:rPr>
        <w:t>espect of t</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 xml:space="preserve">e Subleased </w:t>
      </w:r>
      <w:r>
        <w:rPr>
          <w:rFonts w:ascii="Times New Roman" w:cs="Times New Roman" w:eastAsia="Times New Roman" w:hAnsi="Times New Roman"/>
          <w:sz w:val="14"/>
          <w:szCs w:val="14"/>
          <w:color w:val="262326"/>
        </w:rPr>
        <w:t>P</w:t>
      </w:r>
      <w:r>
        <w:rPr>
          <w:rFonts w:ascii="Times New Roman" w:cs="Times New Roman" w:eastAsia="Times New Roman" w:hAnsi="Times New Roman"/>
          <w:sz w:val="14"/>
          <w:szCs w:val="14"/>
          <w:color w:val="3D3642"/>
        </w:rPr>
        <w:t>remises, exclud</w:t>
      </w:r>
      <w:r>
        <w:rPr>
          <w:rFonts w:ascii="Times New Roman" w:cs="Times New Roman" w:eastAsia="Times New Roman" w:hAnsi="Times New Roman"/>
          <w:sz w:val="14"/>
          <w:szCs w:val="14"/>
          <w:color w:val="262326"/>
        </w:rPr>
        <w:t>in</w:t>
      </w:r>
      <w:r>
        <w:rPr>
          <w:rFonts w:ascii="Times New Roman" w:cs="Times New Roman" w:eastAsia="Times New Roman" w:hAnsi="Times New Roman"/>
          <w:sz w:val="14"/>
          <w:szCs w:val="14"/>
          <w:color w:val="504956"/>
        </w:rPr>
        <w:t>g amo</w:t>
      </w:r>
      <w:r>
        <w:rPr>
          <w:rFonts w:ascii="Times New Roman" w:cs="Times New Roman" w:eastAsia="Times New Roman" w:hAnsi="Times New Roman"/>
          <w:sz w:val="14"/>
          <w:szCs w:val="14"/>
          <w:color w:val="262326"/>
        </w:rPr>
        <w:t>un</w:t>
      </w:r>
      <w:r>
        <w:rPr>
          <w:rFonts w:ascii="Times New Roman" w:cs="Times New Roman" w:eastAsia="Times New Roman" w:hAnsi="Times New Roman"/>
          <w:sz w:val="14"/>
          <w:szCs w:val="14"/>
          <w:color w:val="3D3642"/>
        </w:rPr>
        <w:t xml:space="preserve">ts ai·ising from </w:t>
      </w:r>
      <w:r>
        <w:rPr>
          <w:rFonts w:ascii="Times New Roman" w:cs="Times New Roman" w:eastAsia="Times New Roman" w:hAnsi="Times New Roman"/>
          <w:sz w:val="14"/>
          <w:szCs w:val="14"/>
          <w:color w:val="504956"/>
        </w:rPr>
        <w:t>Sub</w:t>
      </w:r>
      <w:r>
        <w:rPr>
          <w:rFonts w:ascii="Times New Roman" w:cs="Times New Roman" w:eastAsia="Times New Roman" w:hAnsi="Times New Roman"/>
          <w:sz w:val="14"/>
          <w:szCs w:val="14"/>
          <w:color w:val="262326"/>
        </w:rPr>
        <w:t>l</w:t>
      </w:r>
      <w:r>
        <w:rPr>
          <w:rFonts w:ascii="Times New Roman" w:cs="Times New Roman" w:eastAsia="Times New Roman" w:hAnsi="Times New Roman"/>
          <w:sz w:val="14"/>
          <w:szCs w:val="14"/>
          <w:color w:val="3D3642"/>
        </w:rPr>
        <w:t>andlord's negligence</w:t>
      </w:r>
      <w:r>
        <w:rPr>
          <w:rFonts w:ascii="Times New Roman" w:cs="Times New Roman" w:eastAsia="Times New Roman" w:hAnsi="Times New Roman"/>
          <w:sz w:val="14"/>
          <w:szCs w:val="14"/>
          <w:color w:val="646269"/>
        </w:rPr>
        <w:t>,</w:t>
      </w:r>
      <w:r>
        <w:rPr>
          <w:rFonts w:ascii="Times New Roman" w:cs="Times New Roman" w:eastAsia="Times New Roman" w:hAnsi="Times New Roman"/>
          <w:sz w:val="14"/>
          <w:szCs w:val="14"/>
          <w:color w:val="3D3642"/>
        </w:rPr>
        <w:t xml:space="preserve"> </w:t>
      </w:r>
      <w:r>
        <w:rPr>
          <w:rFonts w:ascii="Times New Roman" w:cs="Times New Roman" w:eastAsia="Times New Roman" w:hAnsi="Times New Roman"/>
          <w:sz w:val="14"/>
          <w:szCs w:val="14"/>
          <w:color w:val="504956"/>
        </w:rPr>
        <w:t>wi</w:t>
      </w:r>
      <w:r>
        <w:rPr>
          <w:rFonts w:ascii="Times New Roman" w:cs="Times New Roman" w:eastAsia="Times New Roman" w:hAnsi="Times New Roman"/>
          <w:sz w:val="14"/>
          <w:szCs w:val="14"/>
          <w:color w:val="262326"/>
        </w:rPr>
        <w:t>ll</w:t>
      </w:r>
      <w:r>
        <w:rPr>
          <w:rFonts w:ascii="Times New Roman" w:cs="Times New Roman" w:eastAsia="Times New Roman" w:hAnsi="Times New Roman"/>
          <w:sz w:val="14"/>
          <w:szCs w:val="14"/>
          <w:color w:val="3D3642"/>
        </w:rPr>
        <w:t>ful m</w:t>
      </w:r>
      <w:r>
        <w:rPr>
          <w:rFonts w:ascii="Times New Roman" w:cs="Times New Roman" w:eastAsia="Times New Roman" w:hAnsi="Times New Roman"/>
          <w:sz w:val="14"/>
          <w:szCs w:val="14"/>
          <w:color w:val="262326"/>
        </w:rPr>
        <w:t>i</w:t>
      </w:r>
      <w:r>
        <w:rPr>
          <w:rFonts w:ascii="Times New Roman" w:cs="Times New Roman" w:eastAsia="Times New Roman" w:hAnsi="Times New Roman"/>
          <w:sz w:val="14"/>
          <w:szCs w:val="14"/>
          <w:color w:val="504956"/>
        </w:rPr>
        <w:t>scond</w:t>
      </w:r>
      <w:r>
        <w:rPr>
          <w:rFonts w:ascii="Times New Roman" w:cs="Times New Roman" w:eastAsia="Times New Roman" w:hAnsi="Times New Roman"/>
          <w:sz w:val="14"/>
          <w:szCs w:val="14"/>
          <w:color w:val="262326"/>
        </w:rPr>
        <w:t>u</w:t>
      </w:r>
      <w:r>
        <w:rPr>
          <w:rFonts w:ascii="Times New Roman" w:cs="Times New Roman" w:eastAsia="Times New Roman" w:hAnsi="Times New Roman"/>
          <w:sz w:val="14"/>
          <w:szCs w:val="14"/>
          <w:color w:val="3D3642"/>
        </w:rPr>
        <w:t>ct</w:t>
      </w:r>
      <w:r>
        <w:rPr>
          <w:rFonts w:ascii="Times New Roman" w:cs="Times New Roman" w:eastAsia="Times New Roman" w:hAnsi="Times New Roman"/>
          <w:sz w:val="14"/>
          <w:szCs w:val="14"/>
          <w:color w:val="646269"/>
        </w:rPr>
        <w:t>,</w:t>
      </w:r>
      <w:r>
        <w:rPr>
          <w:rFonts w:ascii="Times New Roman" w:cs="Times New Roman" w:eastAsia="Times New Roman" w:hAnsi="Times New Roman"/>
          <w:sz w:val="14"/>
          <w:szCs w:val="14"/>
          <w:color w:val="3D3642"/>
        </w:rPr>
        <w:t xml:space="preserve"> </w:t>
      </w:r>
      <w:r>
        <w:rPr>
          <w:rFonts w:ascii="Times New Roman" w:cs="Times New Roman" w:eastAsia="Times New Roman" w:hAnsi="Times New Roman"/>
          <w:sz w:val="14"/>
          <w:szCs w:val="14"/>
          <w:color w:val="504956"/>
        </w:rPr>
        <w:t>or</w:t>
      </w:r>
      <w:r>
        <w:rPr>
          <w:rFonts w:ascii="Times New Roman" w:cs="Times New Roman" w:eastAsia="Times New Roman" w:hAnsi="Times New Roman"/>
          <w:sz w:val="14"/>
          <w:szCs w:val="14"/>
          <w:color w:val="3D3642"/>
        </w:rPr>
        <w:t xml:space="preserve"> inte</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3D3642"/>
        </w:rPr>
        <w:t>t</w:t>
      </w:r>
      <w:r>
        <w:rPr>
          <w:rFonts w:ascii="Times New Roman" w:cs="Times New Roman" w:eastAsia="Times New Roman" w:hAnsi="Times New Roman"/>
          <w:sz w:val="14"/>
          <w:szCs w:val="14"/>
          <w:color w:val="262326"/>
        </w:rPr>
        <w:t>i</w:t>
      </w:r>
      <w:r>
        <w:rPr>
          <w:rFonts w:ascii="Times New Roman" w:cs="Times New Roman" w:eastAsia="Times New Roman" w:hAnsi="Times New Roman"/>
          <w:sz w:val="14"/>
          <w:szCs w:val="14"/>
          <w:color w:val="504956"/>
        </w:rPr>
        <w:t>o</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3D3642"/>
        </w:rPr>
        <w:t xml:space="preserve">al </w:t>
      </w:r>
      <w:r>
        <w:rPr>
          <w:rFonts w:ascii="Times New Roman" w:cs="Times New Roman" w:eastAsia="Times New Roman" w:hAnsi="Times New Roman"/>
          <w:sz w:val="14"/>
          <w:szCs w:val="14"/>
          <w:color w:val="504956"/>
        </w:rPr>
        <w:t>acts.</w:t>
      </w:r>
      <w:r>
        <w:rPr>
          <w:rFonts w:ascii="Times New Roman" w:cs="Times New Roman" w:eastAsia="Times New Roman" w:hAnsi="Times New Roman"/>
          <w:sz w:val="14"/>
          <w:szCs w:val="14"/>
          <w:color w:val="3D3642"/>
        </w:rPr>
        <w:t xml:space="preserve"> W</w:t>
      </w:r>
      <w:r>
        <w:rPr>
          <w:rFonts w:ascii="Times New Roman" w:cs="Times New Roman" w:eastAsia="Times New Roman" w:hAnsi="Times New Roman"/>
          <w:sz w:val="14"/>
          <w:szCs w:val="14"/>
          <w:color w:val="262326"/>
        </w:rPr>
        <w:t>i</w:t>
      </w:r>
      <w:r>
        <w:rPr>
          <w:rFonts w:ascii="Times New Roman" w:cs="Times New Roman" w:eastAsia="Times New Roman" w:hAnsi="Times New Roman"/>
          <w:sz w:val="14"/>
          <w:szCs w:val="14"/>
          <w:color w:val="3D3642"/>
        </w:rPr>
        <w:t>t</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 xml:space="preserve">in </w:t>
      </w:r>
      <w:r>
        <w:rPr>
          <w:rFonts w:ascii="Times New Roman" w:cs="Times New Roman" w:eastAsia="Times New Roman" w:hAnsi="Times New Roman"/>
          <w:sz w:val="14"/>
          <w:szCs w:val="14"/>
          <w:u w:val="single" w:color="auto"/>
          <w:color w:val="3D3642"/>
        </w:rPr>
        <w:t>five</w:t>
      </w:r>
      <w:r>
        <w:rPr>
          <w:rFonts w:ascii="Times New Roman" w:cs="Times New Roman" w:eastAsia="Times New Roman" w:hAnsi="Times New Roman"/>
          <w:sz w:val="14"/>
          <w:szCs w:val="14"/>
          <w:color w:val="3D3642"/>
        </w:rPr>
        <w:t xml:space="preserve"> (i) business days</w:t>
      </w:r>
    </w:p>
    <w:p>
      <w:pPr>
        <w:ind w:right="400"/>
        <w:spacing w:after="0" w:line="229" w:lineRule="auto"/>
        <w:rPr>
          <w:sz w:val="20"/>
          <w:szCs w:val="20"/>
          <w:color w:val="auto"/>
        </w:rPr>
      </w:pPr>
      <w:r>
        <w:rPr>
          <w:rFonts w:ascii="Times New Roman" w:cs="Times New Roman" w:eastAsia="Times New Roman" w:hAnsi="Times New Roman"/>
          <w:sz w:val="14"/>
          <w:szCs w:val="14"/>
          <w:color w:val="504956"/>
        </w:rPr>
        <w:t>ofSub</w:t>
      </w:r>
      <w:r>
        <w:rPr>
          <w:rFonts w:ascii="Times New Roman" w:cs="Times New Roman" w:eastAsia="Times New Roman" w:hAnsi="Times New Roman"/>
          <w:sz w:val="14"/>
          <w:szCs w:val="14"/>
          <w:color w:val="262326"/>
        </w:rPr>
        <w:t>l</w:t>
      </w:r>
      <w:r>
        <w:rPr>
          <w:rFonts w:ascii="Times New Roman" w:cs="Times New Roman" w:eastAsia="Times New Roman" w:hAnsi="Times New Roman"/>
          <w:sz w:val="14"/>
          <w:szCs w:val="14"/>
          <w:color w:val="3D3642"/>
        </w:rPr>
        <w:t>a</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3D3642"/>
        </w:rPr>
        <w:t>dlord's rece</w:t>
      </w:r>
      <w:r>
        <w:rPr>
          <w:rFonts w:ascii="Times New Roman" w:cs="Times New Roman" w:eastAsia="Times New Roman" w:hAnsi="Times New Roman"/>
          <w:sz w:val="14"/>
          <w:szCs w:val="14"/>
          <w:color w:val="262326"/>
        </w:rPr>
        <w:t>ip</w:t>
      </w:r>
      <w:r>
        <w:rPr>
          <w:rFonts w:ascii="Times New Roman" w:cs="Times New Roman" w:eastAsia="Times New Roman" w:hAnsi="Times New Roman"/>
          <w:sz w:val="14"/>
          <w:szCs w:val="14"/>
          <w:color w:val="3D3642"/>
        </w:rPr>
        <w:t>t</w:t>
      </w:r>
      <w:r>
        <w:rPr>
          <w:rFonts w:ascii="Times New Roman" w:cs="Times New Roman" w:eastAsia="Times New Roman" w:hAnsi="Times New Roman"/>
          <w:sz w:val="14"/>
          <w:szCs w:val="14"/>
          <w:color w:val="504956"/>
        </w:rPr>
        <w:t xml:space="preserve"> of </w:t>
      </w:r>
      <w:r>
        <w:rPr>
          <w:rFonts w:ascii="Times New Roman" w:cs="Times New Roman" w:eastAsia="Times New Roman" w:hAnsi="Times New Roman"/>
          <w:sz w:val="14"/>
          <w:szCs w:val="14"/>
          <w:color w:val="3D3642"/>
        </w:rPr>
        <w:t>the</w:t>
      </w:r>
      <w:r>
        <w:rPr>
          <w:rFonts w:ascii="Times New Roman" w:cs="Times New Roman" w:eastAsia="Times New Roman" w:hAnsi="Times New Roman"/>
          <w:sz w:val="14"/>
          <w:szCs w:val="14"/>
          <w:color w:val="504956"/>
        </w:rPr>
        <w:t xml:space="preserve"> same</w:t>
      </w:r>
      <w:r>
        <w:rPr>
          <w:rFonts w:ascii="Times New Roman" w:cs="Times New Roman" w:eastAsia="Times New Roman" w:hAnsi="Times New Roman"/>
          <w:sz w:val="14"/>
          <w:szCs w:val="14"/>
          <w:color w:val="7B7477"/>
        </w:rPr>
        <w:t>,</w:t>
      </w:r>
      <w:r>
        <w:rPr>
          <w:rFonts w:ascii="Times New Roman" w:cs="Times New Roman" w:eastAsia="Times New Roman" w:hAnsi="Times New Roman"/>
          <w:sz w:val="14"/>
          <w:szCs w:val="14"/>
          <w:color w:val="504956"/>
        </w:rPr>
        <w:t xml:space="preserve"> S</w:t>
      </w:r>
      <w:r>
        <w:rPr>
          <w:rFonts w:ascii="Times New Roman" w:cs="Times New Roman" w:eastAsia="Times New Roman" w:hAnsi="Times New Roman"/>
          <w:sz w:val="14"/>
          <w:szCs w:val="14"/>
          <w:color w:val="262326"/>
        </w:rPr>
        <w:t>u</w:t>
      </w:r>
      <w:r>
        <w:rPr>
          <w:rFonts w:ascii="Times New Roman" w:cs="Times New Roman" w:eastAsia="Times New Roman" w:hAnsi="Times New Roman"/>
          <w:sz w:val="14"/>
          <w:szCs w:val="14"/>
          <w:color w:val="3D3642"/>
        </w:rPr>
        <w:t>bla</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504956"/>
        </w:rPr>
        <w:t>dlord sha</w:t>
      </w:r>
      <w:r>
        <w:rPr>
          <w:rFonts w:ascii="Times New Roman" w:cs="Times New Roman" w:eastAsia="Times New Roman" w:hAnsi="Times New Roman"/>
          <w:sz w:val="14"/>
          <w:szCs w:val="14"/>
          <w:color w:val="262326"/>
        </w:rPr>
        <w:t>ll</w:t>
      </w:r>
      <w:r>
        <w:rPr>
          <w:rFonts w:ascii="Times New Roman" w:cs="Times New Roman" w:eastAsia="Times New Roman" w:hAnsi="Times New Roman"/>
          <w:sz w:val="14"/>
          <w:szCs w:val="14"/>
          <w:color w:val="504956"/>
        </w:rPr>
        <w:t xml:space="preserve"> </w:t>
      </w:r>
      <w:r>
        <w:rPr>
          <w:rFonts w:ascii="Times New Roman" w:cs="Times New Roman" w:eastAsia="Times New Roman" w:hAnsi="Times New Roman"/>
          <w:sz w:val="14"/>
          <w:szCs w:val="14"/>
          <w:color w:val="3D3642"/>
        </w:rPr>
        <w:t>provide to Subtenant a</w:t>
      </w:r>
      <w:r>
        <w:rPr>
          <w:rFonts w:ascii="Times New Roman" w:cs="Times New Roman" w:eastAsia="Times New Roman" w:hAnsi="Times New Roman"/>
          <w:sz w:val="14"/>
          <w:szCs w:val="14"/>
          <w:color w:val="262326"/>
        </w:rPr>
        <w:t>ll</w:t>
      </w:r>
      <w:r>
        <w:rPr>
          <w:rFonts w:ascii="Times New Roman" w:cs="Times New Roman" w:eastAsia="Times New Roman" w:hAnsi="Times New Roman"/>
          <w:sz w:val="14"/>
          <w:szCs w:val="14"/>
          <w:color w:val="504956"/>
        </w:rPr>
        <w:t xml:space="preserve"> </w:t>
      </w:r>
      <w:r>
        <w:rPr>
          <w:rFonts w:ascii="Times New Roman" w:cs="Times New Roman" w:eastAsia="Times New Roman" w:hAnsi="Times New Roman"/>
          <w:sz w:val="14"/>
          <w:szCs w:val="14"/>
          <w:color w:val="3D3642"/>
        </w:rPr>
        <w:t>invo</w:t>
      </w:r>
      <w:r>
        <w:rPr>
          <w:rFonts w:ascii="Times New Roman" w:cs="Times New Roman" w:eastAsia="Times New Roman" w:hAnsi="Times New Roman"/>
          <w:sz w:val="14"/>
          <w:szCs w:val="14"/>
          <w:color w:val="262326"/>
        </w:rPr>
        <w:t>i</w:t>
      </w:r>
      <w:r>
        <w:rPr>
          <w:rFonts w:ascii="Times New Roman" w:cs="Times New Roman" w:eastAsia="Times New Roman" w:hAnsi="Times New Roman"/>
          <w:sz w:val="14"/>
          <w:szCs w:val="14"/>
          <w:color w:val="3D3642"/>
        </w:rPr>
        <w:t>ces a</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3D3642"/>
        </w:rPr>
        <w:t>d back</w:t>
      </w:r>
      <w:r>
        <w:rPr>
          <w:rFonts w:ascii="Times New Roman" w:cs="Times New Roman" w:eastAsia="Times New Roman" w:hAnsi="Times New Roman"/>
          <w:sz w:val="14"/>
          <w:szCs w:val="14"/>
          <w:color w:val="504956"/>
        </w:rPr>
        <w:t xml:space="preserve"> </w:t>
      </w:r>
      <w:r>
        <w:rPr>
          <w:rFonts w:ascii="Times New Roman" w:cs="Times New Roman" w:eastAsia="Times New Roman" w:hAnsi="Times New Roman"/>
          <w:sz w:val="14"/>
          <w:szCs w:val="14"/>
          <w:color w:val="262326"/>
        </w:rPr>
        <w:t>u</w:t>
      </w:r>
      <w:r>
        <w:rPr>
          <w:rFonts w:ascii="Times New Roman" w:cs="Times New Roman" w:eastAsia="Times New Roman" w:hAnsi="Times New Roman"/>
          <w:sz w:val="14"/>
          <w:szCs w:val="14"/>
          <w:color w:val="3D3642"/>
        </w:rPr>
        <w:t>p documentat</w:t>
      </w:r>
      <w:r>
        <w:rPr>
          <w:rFonts w:ascii="Times New Roman" w:cs="Times New Roman" w:eastAsia="Times New Roman" w:hAnsi="Times New Roman"/>
          <w:sz w:val="14"/>
          <w:szCs w:val="14"/>
          <w:color w:val="262326"/>
        </w:rPr>
        <w:t>i</w:t>
      </w:r>
      <w:r>
        <w:rPr>
          <w:rFonts w:ascii="Times New Roman" w:cs="Times New Roman" w:eastAsia="Times New Roman" w:hAnsi="Times New Roman"/>
          <w:sz w:val="14"/>
          <w:szCs w:val="14"/>
          <w:color w:val="504956"/>
        </w:rPr>
        <w:t>o</w:t>
      </w:r>
      <w:r>
        <w:rPr>
          <w:rFonts w:ascii="Times New Roman" w:cs="Times New Roman" w:eastAsia="Times New Roman" w:hAnsi="Times New Roman"/>
          <w:sz w:val="14"/>
          <w:szCs w:val="14"/>
          <w:color w:val="262326"/>
        </w:rPr>
        <w:t>n</w:t>
      </w:r>
      <w:r>
        <w:rPr>
          <w:rFonts w:ascii="Times New Roman" w:cs="Times New Roman" w:eastAsia="Times New Roman" w:hAnsi="Times New Roman"/>
          <w:sz w:val="14"/>
          <w:szCs w:val="14"/>
          <w:color w:val="504956"/>
        </w:rPr>
        <w:t xml:space="preserve"> </w:t>
      </w:r>
      <w:r>
        <w:rPr>
          <w:rFonts w:ascii="Times New Roman" w:cs="Times New Roman" w:eastAsia="Times New Roman" w:hAnsi="Times New Roman"/>
          <w:sz w:val="14"/>
          <w:szCs w:val="14"/>
          <w:color w:val="3D3642"/>
        </w:rPr>
        <w:t>w</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ic</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504956"/>
        </w:rPr>
        <w:t xml:space="preserve"> </w:t>
      </w:r>
      <w:r>
        <w:rPr>
          <w:rFonts w:ascii="Times New Roman" w:cs="Times New Roman" w:eastAsia="Times New Roman" w:hAnsi="Times New Roman"/>
          <w:sz w:val="14"/>
          <w:szCs w:val="14"/>
          <w:color w:val="3D3642"/>
        </w:rPr>
        <w:t>Landlord de</w:t>
      </w:r>
      <w:r>
        <w:rPr>
          <w:rFonts w:ascii="Times New Roman" w:cs="Times New Roman" w:eastAsia="Times New Roman" w:hAnsi="Times New Roman"/>
          <w:sz w:val="14"/>
          <w:szCs w:val="14"/>
          <w:color w:val="262326"/>
        </w:rPr>
        <w:t>li</w:t>
      </w:r>
      <w:r>
        <w:rPr>
          <w:rFonts w:ascii="Times New Roman" w:cs="Times New Roman" w:eastAsia="Times New Roman" w:hAnsi="Times New Roman"/>
          <w:sz w:val="14"/>
          <w:szCs w:val="14"/>
          <w:color w:val="504956"/>
        </w:rPr>
        <w:t xml:space="preserve">vers </w:t>
      </w:r>
      <w:r>
        <w:rPr>
          <w:rFonts w:ascii="Times New Roman" w:cs="Times New Roman" w:eastAsia="Times New Roman" w:hAnsi="Times New Roman"/>
          <w:sz w:val="14"/>
          <w:szCs w:val="14"/>
          <w:color w:val="3D3642"/>
        </w:rPr>
        <w:t>to</w:t>
      </w:r>
      <w:r>
        <w:rPr>
          <w:rFonts w:ascii="Times New Roman" w:cs="Times New Roman" w:eastAsia="Times New Roman" w:hAnsi="Times New Roman"/>
          <w:sz w:val="14"/>
          <w:szCs w:val="14"/>
          <w:color w:val="504956"/>
        </w:rPr>
        <w:t xml:space="preserve"> Sub</w:t>
      </w:r>
      <w:r>
        <w:rPr>
          <w:rFonts w:ascii="Times New Roman" w:cs="Times New Roman" w:eastAsia="Times New Roman" w:hAnsi="Times New Roman"/>
          <w:sz w:val="14"/>
          <w:szCs w:val="14"/>
          <w:color w:val="262326"/>
        </w:rPr>
        <w:t>l</w:t>
      </w:r>
      <w:r>
        <w:rPr>
          <w:rFonts w:ascii="Times New Roman" w:cs="Times New Roman" w:eastAsia="Times New Roman" w:hAnsi="Times New Roman"/>
          <w:sz w:val="14"/>
          <w:szCs w:val="14"/>
          <w:color w:val="3D3642"/>
        </w:rPr>
        <w:t>andlord</w:t>
      </w:r>
      <w:r>
        <w:rPr>
          <w:rFonts w:ascii="Times New Roman" w:cs="Times New Roman" w:eastAsia="Times New Roman" w:hAnsi="Times New Roman"/>
          <w:sz w:val="14"/>
          <w:szCs w:val="14"/>
          <w:color w:val="504956"/>
        </w:rPr>
        <w:t xml:space="preserve"> </w:t>
      </w:r>
      <w:r>
        <w:rPr>
          <w:rFonts w:ascii="Times New Roman" w:cs="Times New Roman" w:eastAsia="Times New Roman" w:hAnsi="Times New Roman"/>
          <w:sz w:val="14"/>
          <w:szCs w:val="14"/>
          <w:color w:val="3D3642"/>
        </w:rPr>
        <w:t xml:space="preserve">with </w:t>
      </w:r>
      <w:r>
        <w:rPr>
          <w:rFonts w:ascii="Times New Roman" w:cs="Times New Roman" w:eastAsia="Times New Roman" w:hAnsi="Times New Roman"/>
          <w:sz w:val="14"/>
          <w:szCs w:val="14"/>
          <w:color w:val="262326"/>
        </w:rPr>
        <w:t>r</w:t>
      </w:r>
      <w:r>
        <w:rPr>
          <w:rFonts w:ascii="Times New Roman" w:cs="Times New Roman" w:eastAsia="Times New Roman" w:hAnsi="Times New Roman"/>
          <w:sz w:val="14"/>
          <w:szCs w:val="14"/>
          <w:color w:val="3D3642"/>
        </w:rPr>
        <w:t>egard to Addit</w:t>
      </w:r>
      <w:r>
        <w:rPr>
          <w:rFonts w:ascii="Times New Roman" w:cs="Times New Roman" w:eastAsia="Times New Roman" w:hAnsi="Times New Roman"/>
          <w:sz w:val="14"/>
          <w:szCs w:val="14"/>
          <w:color w:val="262326"/>
        </w:rPr>
        <w:t>i</w:t>
      </w:r>
      <w:r>
        <w:rPr>
          <w:rFonts w:ascii="Times New Roman" w:cs="Times New Roman" w:eastAsia="Times New Roman" w:hAnsi="Times New Roman"/>
          <w:sz w:val="14"/>
          <w:szCs w:val="14"/>
          <w:color w:val="504956"/>
        </w:rPr>
        <w:t>onal</w:t>
      </w:r>
      <w:r>
        <w:rPr>
          <w:rFonts w:ascii="Times New Roman" w:cs="Times New Roman" w:eastAsia="Times New Roman" w:hAnsi="Times New Roman"/>
          <w:sz w:val="14"/>
          <w:szCs w:val="14"/>
          <w:color w:val="3D3642"/>
        </w:rPr>
        <w:t xml:space="preserve"> </w:t>
      </w:r>
      <w:r>
        <w:rPr>
          <w:rFonts w:ascii="Times New Roman" w:cs="Times New Roman" w:eastAsia="Times New Roman" w:hAnsi="Times New Roman"/>
          <w:sz w:val="14"/>
          <w:szCs w:val="14"/>
          <w:u w:val="single" w:color="auto"/>
          <w:color w:val="3D3642"/>
        </w:rPr>
        <w:t>Re</w:t>
      </w:r>
      <w:r>
        <w:rPr>
          <w:rFonts w:ascii="Times New Roman" w:cs="Times New Roman" w:eastAsia="Times New Roman" w:hAnsi="Times New Roman"/>
          <w:sz w:val="14"/>
          <w:szCs w:val="14"/>
          <w:u w:val="single" w:color="auto"/>
          <w:color w:val="262326"/>
        </w:rPr>
        <w:t>n</w:t>
      </w:r>
      <w:r>
        <w:rPr>
          <w:rFonts w:ascii="Times New Roman" w:cs="Times New Roman" w:eastAsia="Times New Roman" w:hAnsi="Times New Roman"/>
          <w:sz w:val="14"/>
          <w:szCs w:val="14"/>
          <w:u w:val="single" w:color="auto"/>
          <w:color w:val="3D3642"/>
        </w:rPr>
        <w:t>t</w:t>
      </w:r>
      <w:r>
        <w:rPr>
          <w:rFonts w:ascii="Times New Roman" w:cs="Times New Roman" w:eastAsia="Times New Roman" w:hAnsi="Times New Roman"/>
          <w:sz w:val="14"/>
          <w:szCs w:val="14"/>
          <w:color w:val="3D3642"/>
        </w:rPr>
        <w:t xml:space="preserve"> or </w:t>
      </w:r>
      <w:r>
        <w:rPr>
          <w:rFonts w:ascii="Times New Roman" w:cs="Times New Roman" w:eastAsia="Times New Roman" w:hAnsi="Times New Roman"/>
          <w:sz w:val="14"/>
          <w:szCs w:val="14"/>
          <w:color w:val="504956"/>
        </w:rPr>
        <w:t>ot</w:t>
      </w:r>
      <w:r>
        <w:rPr>
          <w:rFonts w:ascii="Times New Roman" w:cs="Times New Roman" w:eastAsia="Times New Roman" w:hAnsi="Times New Roman"/>
          <w:sz w:val="14"/>
          <w:szCs w:val="14"/>
          <w:color w:val="262326"/>
        </w:rPr>
        <w:t>h</w:t>
      </w:r>
      <w:r>
        <w:rPr>
          <w:rFonts w:ascii="Times New Roman" w:cs="Times New Roman" w:eastAsia="Times New Roman" w:hAnsi="Times New Roman"/>
          <w:sz w:val="14"/>
          <w:szCs w:val="14"/>
          <w:color w:val="3D3642"/>
        </w:rPr>
        <w:t xml:space="preserve">er Rent </w:t>
      </w:r>
      <w:r>
        <w:rPr>
          <w:rFonts w:ascii="Times New Roman" w:cs="Times New Roman" w:eastAsia="Times New Roman" w:hAnsi="Times New Roman"/>
          <w:sz w:val="14"/>
          <w:szCs w:val="14"/>
          <w:i w:val="1"/>
          <w:iCs w:val="1"/>
          <w:u w:val="single" w:color="auto"/>
          <w:color w:val="3D3642"/>
        </w:rPr>
        <w:t>(as</w:t>
      </w:r>
      <w:r>
        <w:rPr>
          <w:rFonts w:ascii="Times New Roman" w:cs="Times New Roman" w:eastAsia="Times New Roman" w:hAnsi="Times New Roman"/>
          <w:sz w:val="14"/>
          <w:szCs w:val="14"/>
          <w:color w:val="3D3642"/>
        </w:rPr>
        <w:t xml:space="preserve"> </w:t>
      </w:r>
      <w:r>
        <w:rPr>
          <w:rFonts w:ascii="Times New Roman" w:cs="Times New Roman" w:eastAsia="Times New Roman" w:hAnsi="Times New Roman"/>
          <w:sz w:val="14"/>
          <w:szCs w:val="14"/>
          <w:u w:val="single" w:color="auto"/>
          <w:color w:val="504956"/>
        </w:rPr>
        <w:t>defi</w:t>
      </w:r>
      <w:r>
        <w:rPr>
          <w:rFonts w:ascii="Times New Roman" w:cs="Times New Roman" w:eastAsia="Times New Roman" w:hAnsi="Times New Roman"/>
          <w:sz w:val="14"/>
          <w:szCs w:val="14"/>
          <w:u w:val="single" w:color="auto"/>
          <w:color w:val="262326"/>
        </w:rPr>
        <w:t>n</w:t>
      </w:r>
      <w:r>
        <w:rPr>
          <w:rFonts w:ascii="Times New Roman" w:cs="Times New Roman" w:eastAsia="Times New Roman" w:hAnsi="Times New Roman"/>
          <w:sz w:val="14"/>
          <w:szCs w:val="14"/>
          <w:u w:val="single" w:color="auto"/>
          <w:color w:val="3D3642"/>
        </w:rPr>
        <w:t>ed</w:t>
      </w:r>
    </w:p>
    <w:p>
      <w:pPr>
        <w:spacing w:after="0" w:line="10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141605</wp:posOffset>
            </wp:positionV>
            <wp:extent cx="694055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6940550" cy="42545"/>
                    </a:xfrm>
                    <a:prstGeom prst="rect">
                      <a:avLst/>
                    </a:prstGeom>
                    <a:noFill/>
                  </pic:spPr>
                </pic:pic>
              </a:graphicData>
            </a:graphic>
          </wp:anchor>
        </w:drawing>
      </w:r>
    </w:p>
    <w:p>
      <w:pPr>
        <w:sectPr>
          <w:pgSz w:w="11900" w:h="16838" w:orient="portrait"/>
          <w:cols w:equalWidth="0" w:num="1">
            <w:col w:w="10020"/>
          </w:cols>
          <w:pgMar w:left="1140" w:top="751" w:right="739" w:bottom="1440" w:gutter="0" w:footer="0" w:header="0"/>
        </w:sectPr>
      </w:pPr>
    </w:p>
    <w:bookmarkStart w:id="54" w:name="page55"/>
    <w:bookmarkEnd w:id="54"/>
    <w:p>
      <w:pPr>
        <w:spacing w:after="0"/>
        <w:tabs>
          <w:tab w:leader="none" w:pos="360" w:val="left"/>
          <w:tab w:leader="none" w:pos="1080" w:val="left"/>
          <w:tab w:leader="none" w:pos="1540" w:val="left"/>
          <w:tab w:leader="none" w:pos="2220" w:val="left"/>
          <w:tab w:leader="none" w:pos="2700" w:val="left"/>
          <w:tab w:leader="none" w:pos="3300" w:val="left"/>
          <w:tab w:leader="none" w:pos="3760" w:val="left"/>
          <w:tab w:leader="none" w:pos="4440" w:val="left"/>
          <w:tab w:leader="none" w:pos="5060" w:val="left"/>
          <w:tab w:leader="none" w:pos="5460" w:val="left"/>
          <w:tab w:leader="none" w:pos="6160" w:val="left"/>
          <w:tab w:leader="none" w:pos="6560" w:val="left"/>
          <w:tab w:leader="none" w:pos="7020" w:val="left"/>
          <w:tab w:leader="none" w:pos="7900" w:val="left"/>
          <w:tab w:leader="none" w:pos="8700" w:val="left"/>
          <w:tab w:leader="none" w:pos="9200" w:val="left"/>
        </w:tabs>
        <w:rPr>
          <w:sz w:val="20"/>
          <w:szCs w:val="20"/>
          <w:color w:val="auto"/>
        </w:rPr>
      </w:pPr>
      <w:r>
        <w:rPr>
          <w:rFonts w:ascii="Times New Roman" w:cs="Times New Roman" w:eastAsia="Times New Roman" w:hAnsi="Times New Roman"/>
          <w:sz w:val="14"/>
          <w:szCs w:val="14"/>
          <w:color w:val="231F20"/>
        </w:rPr>
        <w:t>in</w:t>
      </w:r>
      <w:r>
        <w:rPr>
          <w:sz w:val="20"/>
          <w:szCs w:val="20"/>
          <w:color w:val="auto"/>
        </w:rPr>
        <w:tab/>
      </w:r>
      <w:r>
        <w:rPr>
          <w:rFonts w:ascii="Times New Roman" w:cs="Times New Roman" w:eastAsia="Times New Roman" w:hAnsi="Times New Roman"/>
          <w:sz w:val="14"/>
          <w:szCs w:val="14"/>
          <w:color w:val="231F20"/>
        </w:rPr>
        <w:t>Section</w:t>
      </w:r>
      <w:r>
        <w:rPr>
          <w:sz w:val="20"/>
          <w:szCs w:val="20"/>
          <w:color w:val="auto"/>
        </w:rPr>
        <w:tab/>
      </w:r>
      <w:r>
        <w:rPr>
          <w:rFonts w:ascii="Times New Roman" w:cs="Times New Roman" w:eastAsia="Times New Roman" w:hAnsi="Times New Roman"/>
          <w:sz w:val="14"/>
          <w:szCs w:val="14"/>
          <w:color w:val="231F20"/>
        </w:rPr>
        <w:t>6.6</w:t>
      </w:r>
      <w:r>
        <w:rPr>
          <w:sz w:val="20"/>
          <w:szCs w:val="20"/>
          <w:color w:val="auto"/>
        </w:rPr>
        <w:tab/>
      </w:r>
      <w:r>
        <w:rPr>
          <w:rFonts w:ascii="Times New Roman" w:cs="Times New Roman" w:eastAsia="Times New Roman" w:hAnsi="Times New Roman"/>
          <w:sz w:val="14"/>
          <w:szCs w:val="14"/>
          <w:color w:val="231F20"/>
        </w:rPr>
        <w:t>below)</w:t>
      </w:r>
      <w:r>
        <w:rPr>
          <w:sz w:val="20"/>
          <w:szCs w:val="20"/>
          <w:color w:val="auto"/>
        </w:rPr>
        <w:tab/>
      </w:r>
      <w:r>
        <w:rPr>
          <w:rFonts w:ascii="Times New Roman" w:cs="Times New Roman" w:eastAsia="Times New Roman" w:hAnsi="Times New Roman"/>
          <w:sz w:val="14"/>
          <w:szCs w:val="14"/>
          <w:color w:val="231F20"/>
        </w:rPr>
        <w:t>due</w:t>
      </w:r>
      <w:r>
        <w:rPr>
          <w:sz w:val="20"/>
          <w:szCs w:val="20"/>
          <w:color w:val="auto"/>
        </w:rPr>
        <w:tab/>
      </w:r>
      <w:r>
        <w:rPr>
          <w:rFonts w:ascii="Times New Roman" w:cs="Times New Roman" w:eastAsia="Times New Roman" w:hAnsi="Times New Roman"/>
          <w:sz w:val="14"/>
          <w:szCs w:val="14"/>
          <w:color w:val="231F20"/>
        </w:rPr>
        <w:t>under</w:t>
      </w:r>
      <w:r>
        <w:rPr>
          <w:sz w:val="20"/>
          <w:szCs w:val="20"/>
          <w:color w:val="auto"/>
        </w:rPr>
        <w:tab/>
      </w:r>
      <w:r>
        <w:rPr>
          <w:rFonts w:ascii="Times New Roman" w:cs="Times New Roman" w:eastAsia="Times New Roman" w:hAnsi="Times New Roman"/>
          <w:sz w:val="14"/>
          <w:szCs w:val="14"/>
          <w:color w:val="231F20"/>
        </w:rPr>
        <w:t>the</w:t>
      </w:r>
      <w:r>
        <w:rPr>
          <w:sz w:val="20"/>
          <w:szCs w:val="20"/>
          <w:color w:val="auto"/>
        </w:rPr>
        <w:tab/>
      </w:r>
      <w:r>
        <w:rPr>
          <w:rFonts w:ascii="Times New Roman" w:cs="Times New Roman" w:eastAsia="Times New Roman" w:hAnsi="Times New Roman"/>
          <w:sz w:val="14"/>
          <w:szCs w:val="14"/>
          <w:color w:val="231F20"/>
        </w:rPr>
        <w:t>Master</w:t>
      </w:r>
      <w:r>
        <w:rPr>
          <w:sz w:val="20"/>
          <w:szCs w:val="20"/>
          <w:color w:val="auto"/>
        </w:rPr>
        <w:tab/>
      </w:r>
      <w:r>
        <w:rPr>
          <w:rFonts w:ascii="Times New Roman" w:cs="Times New Roman" w:eastAsia="Times New Roman" w:hAnsi="Times New Roman"/>
          <w:sz w:val="14"/>
          <w:szCs w:val="14"/>
          <w:color w:val="231F20"/>
        </w:rPr>
        <w:t>Lease</w:t>
      </w:r>
      <w:r>
        <w:rPr>
          <w:sz w:val="20"/>
          <w:szCs w:val="20"/>
          <w:color w:val="auto"/>
        </w:rPr>
        <w:tab/>
      </w:r>
      <w:r>
        <w:rPr>
          <w:rFonts w:ascii="Times New Roman" w:cs="Times New Roman" w:eastAsia="Times New Roman" w:hAnsi="Times New Roman"/>
          <w:sz w:val="14"/>
          <w:szCs w:val="14"/>
          <w:color w:val="231F20"/>
        </w:rPr>
        <w:t>in</w:t>
      </w:r>
      <w:r>
        <w:rPr>
          <w:sz w:val="20"/>
          <w:szCs w:val="20"/>
          <w:color w:val="auto"/>
        </w:rPr>
        <w:tab/>
      </w:r>
      <w:r>
        <w:rPr>
          <w:rFonts w:ascii="Times New Roman" w:cs="Times New Roman" w:eastAsia="Times New Roman" w:hAnsi="Times New Roman"/>
          <w:sz w:val="14"/>
          <w:szCs w:val="14"/>
          <w:color w:val="231F20"/>
        </w:rPr>
        <w:t>respect</w:t>
      </w:r>
      <w:r>
        <w:rPr>
          <w:sz w:val="20"/>
          <w:szCs w:val="20"/>
          <w:color w:val="auto"/>
        </w:rPr>
        <w:tab/>
      </w:r>
      <w:r>
        <w:rPr>
          <w:rFonts w:ascii="Times New Roman" w:cs="Times New Roman" w:eastAsia="Times New Roman" w:hAnsi="Times New Roman"/>
          <w:sz w:val="14"/>
          <w:szCs w:val="14"/>
          <w:color w:val="231F20"/>
        </w:rPr>
        <w:t>of</w:t>
      </w:r>
      <w:r>
        <w:rPr>
          <w:sz w:val="20"/>
          <w:szCs w:val="20"/>
          <w:color w:val="auto"/>
        </w:rPr>
        <w:tab/>
      </w:r>
      <w:r>
        <w:rPr>
          <w:rFonts w:ascii="Times New Roman" w:cs="Times New Roman" w:eastAsia="Times New Roman" w:hAnsi="Times New Roman"/>
          <w:sz w:val="14"/>
          <w:szCs w:val="14"/>
          <w:color w:val="231F20"/>
        </w:rPr>
        <w:t>the</w:t>
      </w:r>
      <w:r>
        <w:rPr>
          <w:sz w:val="20"/>
          <w:szCs w:val="20"/>
          <w:color w:val="auto"/>
        </w:rPr>
        <w:tab/>
      </w:r>
      <w:r>
        <w:rPr>
          <w:rFonts w:ascii="Times New Roman" w:cs="Times New Roman" w:eastAsia="Times New Roman" w:hAnsi="Times New Roman"/>
          <w:sz w:val="14"/>
          <w:szCs w:val="14"/>
          <w:color w:val="231F20"/>
        </w:rPr>
        <w:t>Subleased</w:t>
      </w:r>
      <w:r>
        <w:rPr>
          <w:sz w:val="20"/>
          <w:szCs w:val="20"/>
          <w:color w:val="auto"/>
        </w:rPr>
        <w:tab/>
      </w:r>
      <w:r>
        <w:rPr>
          <w:rFonts w:ascii="Times New Roman" w:cs="Times New Roman" w:eastAsia="Times New Roman" w:hAnsi="Times New Roman"/>
          <w:sz w:val="14"/>
          <w:szCs w:val="14"/>
          <w:color w:val="231F20"/>
        </w:rPr>
        <w:t>Premises</w:t>
      </w:r>
      <w:r>
        <w:rPr>
          <w:sz w:val="20"/>
          <w:szCs w:val="20"/>
          <w:color w:val="auto"/>
        </w:rPr>
        <w:tab/>
      </w:r>
      <w:r>
        <w:rPr>
          <w:rFonts w:ascii="Times New Roman" w:cs="Times New Roman" w:eastAsia="Times New Roman" w:hAnsi="Times New Roman"/>
          <w:sz w:val="14"/>
          <w:szCs w:val="14"/>
          <w:color w:val="231F20"/>
        </w:rPr>
        <w:t>and</w:t>
      </w:r>
      <w:r>
        <w:rPr>
          <w:sz w:val="20"/>
          <w:szCs w:val="20"/>
          <w:color w:val="auto"/>
        </w:rPr>
        <w:tab/>
      </w:r>
      <w:r>
        <w:rPr>
          <w:rFonts w:ascii="Times New Roman" w:cs="Times New Roman" w:eastAsia="Times New Roman" w:hAnsi="Times New Roman"/>
          <w:sz w:val="14"/>
          <w:szCs w:val="14"/>
          <w:color w:val="231F20"/>
        </w:rPr>
        <w:t>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142240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1422400" cy="5715"/>
                    </a:xfrm>
                    <a:prstGeom prst="rect">
                      <a:avLst/>
                    </a:prstGeom>
                    <a:noFill/>
                  </pic:spPr>
                </pic:pic>
              </a:graphicData>
            </a:graphic>
          </wp:anchor>
        </w:drawing>
      </w:r>
    </w:p>
    <w:p>
      <w:pPr>
        <w:jc w:val="both"/>
        <w:ind w:right="880"/>
        <w:spacing w:after="0" w:line="243" w:lineRule="auto"/>
        <w:rPr>
          <w:sz w:val="20"/>
          <w:szCs w:val="20"/>
          <w:color w:val="auto"/>
        </w:rPr>
      </w:pPr>
      <w:r>
        <w:rPr>
          <w:rFonts w:ascii="Times New Roman" w:cs="Times New Roman" w:eastAsia="Times New Roman" w:hAnsi="Times New Roman"/>
          <w:sz w:val="14"/>
          <w:szCs w:val="14"/>
          <w:color w:val="231F20"/>
        </w:rPr>
        <w:t>relate in whole or in part to any period during which Subtenant is responsible for all or any portion of such costs or expenses hereunder (collectively, “</w:t>
      </w:r>
      <w:r>
        <w:rPr>
          <w:rFonts w:ascii="Times New Roman" w:cs="Times New Roman" w:eastAsia="Times New Roman" w:hAnsi="Times New Roman"/>
          <w:sz w:val="14"/>
          <w:szCs w:val="14"/>
          <w:b w:val="1"/>
          <w:bCs w:val="1"/>
          <w:color w:val="231F20"/>
        </w:rPr>
        <w:t>Reconciliation</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b w:val="1"/>
          <w:bCs w:val="1"/>
          <w:color w:val="231F20"/>
        </w:rPr>
        <w:t>Documentation</w:t>
      </w:r>
      <w:r>
        <w:rPr>
          <w:rFonts w:ascii="Times New Roman" w:cs="Times New Roman" w:eastAsia="Times New Roman" w:hAnsi="Times New Roman"/>
          <w:sz w:val="14"/>
          <w:szCs w:val="14"/>
          <w:color w:val="231F20"/>
        </w:rPr>
        <w:t>”). Sublandlord shall be entitled to receive directly from Landlord any credits or refunds due in connection with any Reconciliation Documentation,</w:t>
      </w:r>
      <w:r>
        <w:rPr>
          <w:rFonts w:ascii="Times New Roman" w:cs="Times New Roman" w:eastAsia="Times New Roman" w:hAnsi="Times New Roman"/>
          <w:sz w:val="14"/>
          <w:szCs w:val="14"/>
          <w:b w:val="1"/>
          <w:bCs w:val="1"/>
          <w:color w:val="231F20"/>
        </w:rPr>
        <w:t xml:space="preserve"> </w:t>
      </w:r>
      <w:r>
        <w:rPr>
          <w:rFonts w:ascii="Times New Roman" w:cs="Times New Roman" w:eastAsia="Times New Roman" w:hAnsi="Times New Roman"/>
          <w:sz w:val="14"/>
          <w:szCs w:val="14"/>
          <w:color w:val="231F20"/>
        </w:rPr>
        <w:t>and shall be obligated to pay directly to Landlord any amounts due in connection with any Reconciliation Documentation. Notwithstanding the foregoing, as between Sublandlord and Subtenant, within thirty (30) days following receipt of the Reconciliation Documentation, Subtenant shall pay to Sublandlord Subtenant’s pro rata share of any amounts due to Landlord in connection with the Reconciliation Documentation. Sublandlord shall pay to Subtenant Subtenant’s pro rata share of any credit or refund received by Sublandlord in connection with the Reconciliation Documentation within thirty (30) days following Sublandlord’s receipt of such credit or refund. “Subtenant’s pro rata share” shall be determined by multiplying the total amount due under the Reconciliation Documentation or credit or refund provided for therein, as applicable, by a fraction, the denominator of which shall be the total number of days covered by such Reconciliation Documentation and the numerator of which shall be the number of such days falling within the Term.</w:t>
      </w:r>
    </w:p>
    <w:p>
      <w:pPr>
        <w:sectPr>
          <w:pgSz w:w="11900" w:h="16838" w:orient="portrait"/>
          <w:cols w:equalWidth="0" w:num="1">
            <w:col w:w="10460"/>
          </w:cols>
          <w:pgMar w:left="1160" w:top="751" w:right="279" w:bottom="1440" w:gutter="0" w:footer="0" w:header="0"/>
        </w:sectPr>
      </w:pPr>
    </w:p>
    <w:p>
      <w:pPr>
        <w:spacing w:after="0" w:line="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231F20"/>
        </w:rPr>
        <w:t>6.4</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Sublandlord shall reasonably cooperate with Subtenant to allow Subtenant to use any audit rights available to Tenant under the Master</w:t>
      </w:r>
    </w:p>
    <w:p>
      <w:pPr>
        <w:spacing w:after="0" w:line="27" w:lineRule="exact"/>
        <w:rPr>
          <w:sz w:val="20"/>
          <w:szCs w:val="20"/>
          <w:color w:val="auto"/>
        </w:rPr>
      </w:pPr>
    </w:p>
    <w:p>
      <w:pPr>
        <w:sectPr>
          <w:pgSz w:w="11900" w:h="16838" w:orient="portrait"/>
          <w:cols w:equalWidth="0" w:num="2">
            <w:col w:w="1040" w:space="720"/>
            <w:col w:w="8700"/>
          </w:cols>
          <w:pgMar w:left="1160" w:top="751"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231F20"/>
        </w:rPr>
        <w:t>Lease.</w:t>
      </w:r>
    </w:p>
    <w:p>
      <w:pPr>
        <w:spacing w:after="0" w:line="47" w:lineRule="exact"/>
        <w:rPr>
          <w:sz w:val="20"/>
          <w:szCs w:val="20"/>
          <w:color w:val="auto"/>
        </w:rPr>
      </w:pPr>
    </w:p>
    <w:p>
      <w:pPr>
        <w:jc w:val="both"/>
        <w:ind w:right="880" w:firstLine="864"/>
        <w:spacing w:after="0" w:line="254" w:lineRule="auto"/>
        <w:rPr>
          <w:sz w:val="20"/>
          <w:szCs w:val="20"/>
          <w:color w:val="auto"/>
        </w:rPr>
      </w:pPr>
      <w:r>
        <w:rPr>
          <w:rFonts w:ascii="Times New Roman" w:cs="Times New Roman" w:eastAsia="Times New Roman" w:hAnsi="Times New Roman"/>
          <w:sz w:val="14"/>
          <w:szCs w:val="14"/>
          <w:color w:val="231F20"/>
        </w:rPr>
        <w:t>6.5 During the period commencing on the Commencement Date and ending on the Sublease Full Commencement Date, all expenses, including without limitation taxes, insurance, Operating Expenses (as defined in the Master Lease) and Additional Rent, that are allocable to the Subleased Premises under the Master Lease shall be paid in equal shares between Sublandlord and Subtenant, with each party paying fifty percent (50%) of such</w:t>
      </w:r>
    </w:p>
    <w:p>
      <w:pPr>
        <w:sectPr>
          <w:pgSz w:w="11900" w:h="16838" w:orient="portrait"/>
          <w:cols w:equalWidth="0" w:num="1">
            <w:col w:w="10460"/>
          </w:cols>
          <w:pgMar w:left="1160" w:top="751" w:right="279" w:bottom="1440" w:gutter="0" w:footer="0" w:header="0"/>
          <w:type w:val="continuous"/>
        </w:sectPr>
      </w:pPr>
    </w:p>
    <w:p>
      <w:pPr>
        <w:spacing w:after="0" w:line="1" w:lineRule="exact"/>
        <w:rPr>
          <w:sz w:val="20"/>
          <w:szCs w:val="20"/>
          <w:color w:val="auto"/>
        </w:rPr>
      </w:pPr>
    </w:p>
    <w:p>
      <w:pPr>
        <w:ind w:right="880"/>
        <w:spacing w:after="0" w:line="243" w:lineRule="auto"/>
        <w:rPr>
          <w:sz w:val="20"/>
          <w:szCs w:val="20"/>
          <w:color w:val="auto"/>
        </w:rPr>
      </w:pPr>
      <w:r>
        <w:rPr>
          <w:rFonts w:ascii="Times New Roman" w:cs="Times New Roman" w:eastAsia="Times New Roman" w:hAnsi="Times New Roman"/>
          <w:sz w:val="14"/>
          <w:szCs w:val="14"/>
          <w:color w:val="231F20"/>
        </w:rPr>
        <w:t>amounts. During such period, each party shall be responsible for the cost of after hours HVAC incurred by such party. Following the Sublease Full Commencement Date, Subtenant shall assume sole responsibility for one-hundred percent (100%) of the Operating Expenses and Additional Rentals for the Subleased Premises.</w:t>
      </w:r>
    </w:p>
    <w:p>
      <w:pPr>
        <w:spacing w:after="0" w:line="44" w:lineRule="exact"/>
        <w:rPr>
          <w:sz w:val="20"/>
          <w:szCs w:val="20"/>
          <w:color w:val="auto"/>
        </w:rPr>
      </w:pPr>
    </w:p>
    <w:tbl>
      <w:tblPr>
        <w:tblLayout w:type="fixed"/>
        <w:tblInd w:w="860" w:type="dxa"/>
        <w:tblCellMar>
          <w:top w:w="0" w:type="dxa"/>
          <w:left w:w="0" w:type="dxa"/>
          <w:bottom w:w="0" w:type="dxa"/>
          <w:right w:w="0" w:type="dxa"/>
        </w:tblCellMar>
      </w:tblPr>
      <w:tr>
        <w:trPr>
          <w:trHeight w:val="188"/>
        </w:trPr>
        <w:tc>
          <w:tcPr>
            <w:tcW w:w="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231F20"/>
                <w:w w:val="91"/>
              </w:rPr>
              <w:t>6.6</w:t>
            </w:r>
          </w:p>
        </w:tc>
        <w:tc>
          <w:tcPr>
            <w:tcW w:w="1240" w:type="dxa"/>
            <w:vAlign w:val="bottom"/>
          </w:tcPr>
          <w:p>
            <w:pPr>
              <w:ind w:left="200"/>
              <w:spacing w:after="0"/>
              <w:rPr>
                <w:sz w:val="20"/>
                <w:szCs w:val="20"/>
                <w:color w:val="auto"/>
              </w:rPr>
            </w:pPr>
            <w:r>
              <w:rPr>
                <w:rFonts w:ascii="Times New Roman" w:cs="Times New Roman" w:eastAsia="Times New Roman" w:hAnsi="Times New Roman"/>
                <w:sz w:val="14"/>
                <w:szCs w:val="14"/>
                <w:color w:val="231F20"/>
              </w:rPr>
              <w:t>Reserved.</w:t>
            </w: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24"/>
        </w:trPr>
        <w:tc>
          <w:tcPr>
            <w:tcW w:w="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231F20"/>
                <w:w w:val="91"/>
              </w:rPr>
              <w:t>6.7</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231F20"/>
              </w:rPr>
              <w:t>So</w:t>
            </w:r>
          </w:p>
        </w:tc>
        <w:tc>
          <w:tcPr>
            <w:tcW w:w="54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long</w:t>
            </w:r>
          </w:p>
        </w:tc>
        <w:tc>
          <w:tcPr>
            <w:tcW w:w="42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as</w:t>
            </w:r>
          </w:p>
        </w:tc>
        <w:tc>
          <w:tcPr>
            <w:tcW w:w="86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Subtenant</w:t>
            </w:r>
          </w:p>
        </w:tc>
        <w:tc>
          <w:tcPr>
            <w:tcW w:w="40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is</w:t>
            </w:r>
          </w:p>
        </w:tc>
        <w:tc>
          <w:tcPr>
            <w:tcW w:w="46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not</w:t>
            </w:r>
          </w:p>
        </w:tc>
        <w:tc>
          <w:tcPr>
            <w:tcW w:w="54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then</w:t>
            </w:r>
          </w:p>
        </w:tc>
        <w:tc>
          <w:tcPr>
            <w:tcW w:w="42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in</w:t>
            </w:r>
          </w:p>
        </w:tc>
        <w:tc>
          <w:tcPr>
            <w:tcW w:w="68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default</w:t>
            </w:r>
          </w:p>
        </w:tc>
        <w:tc>
          <w:tcPr>
            <w:tcW w:w="42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of</w:t>
            </w:r>
          </w:p>
        </w:tc>
        <w:tc>
          <w:tcPr>
            <w:tcW w:w="42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its</w:t>
            </w:r>
          </w:p>
        </w:tc>
        <w:tc>
          <w:tcPr>
            <w:tcW w:w="94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obligations</w:t>
            </w:r>
          </w:p>
        </w:tc>
        <w:tc>
          <w:tcPr>
            <w:tcW w:w="62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under</w:t>
            </w:r>
          </w:p>
        </w:tc>
        <w:tc>
          <w:tcPr>
            <w:tcW w:w="360" w:type="dxa"/>
            <w:vAlign w:val="bottom"/>
          </w:tcPr>
          <w:p>
            <w:pPr>
              <w:ind w:left="140"/>
              <w:spacing w:after="0"/>
              <w:rPr>
                <w:sz w:val="20"/>
                <w:szCs w:val="20"/>
                <w:color w:val="auto"/>
              </w:rPr>
            </w:pPr>
            <w:r>
              <w:rPr>
                <w:rFonts w:ascii="Times New Roman" w:cs="Times New Roman" w:eastAsia="Times New Roman" w:hAnsi="Times New Roman"/>
                <w:sz w:val="14"/>
                <w:szCs w:val="14"/>
                <w:color w:val="231F20"/>
                <w:w w:val="98"/>
              </w:rPr>
              <w:t>this</w:t>
            </w:r>
          </w:p>
        </w:tc>
      </w:tr>
    </w:tbl>
    <w:p>
      <w:pPr>
        <w:spacing w:after="0" w:line="187" w:lineRule="auto"/>
        <w:rPr>
          <w:sz w:val="20"/>
          <w:szCs w:val="20"/>
          <w:color w:val="auto"/>
        </w:rPr>
      </w:pPr>
      <w:r>
        <w:rPr>
          <w:rFonts w:ascii="Times New Roman" w:cs="Times New Roman" w:eastAsia="Times New Roman" w:hAnsi="Times New Roman"/>
          <w:sz w:val="9"/>
          <w:szCs w:val="9"/>
          <w:color w:val="231F20"/>
        </w:rPr>
        <w:t xml:space="preserve">Sublease beyond any applicable notice and cure periods, the monthly Base Rent (but not Additional Rent, Operating Expenses or any other amounts payable by Subtenant hereunder) abated during the approximate periods </w:t>
      </w:r>
      <w:r>
        <w:rPr>
          <w:rFonts w:ascii="Times New Roman" w:cs="Times New Roman" w:eastAsia="Times New Roman" w:hAnsi="Times New Roman"/>
          <w:sz w:val="9"/>
          <w:szCs w:val="9"/>
          <w:b w:val="1"/>
          <w:bCs w:val="1"/>
          <w:color w:val="000000"/>
        </w:rPr>
        <w:t>[***]</w:t>
      </w:r>
      <w:r>
        <w:rPr>
          <w:rFonts w:ascii="Times New Roman" w:cs="Times New Roman" w:eastAsia="Times New Roman" w:hAnsi="Times New Roman"/>
          <w:sz w:val="9"/>
          <w:szCs w:val="9"/>
          <w:color w:val="231F20"/>
        </w:rPr>
        <w:t xml:space="preserve"> through </w:t>
      </w:r>
      <w:r>
        <w:rPr>
          <w:rFonts w:ascii="Times New Roman" w:cs="Times New Roman" w:eastAsia="Times New Roman" w:hAnsi="Times New Roman"/>
          <w:sz w:val="9"/>
          <w:szCs w:val="9"/>
          <w:b w:val="1"/>
          <w:bCs w:val="1"/>
          <w:color w:val="000000"/>
        </w:rPr>
        <w:t>[***]</w:t>
      </w:r>
      <w:r>
        <w:rPr>
          <w:rFonts w:ascii="Times New Roman" w:cs="Times New Roman" w:eastAsia="Times New Roman" w:hAnsi="Times New Roman"/>
          <w:sz w:val="9"/>
          <w:szCs w:val="9"/>
          <w:color w:val="231F20"/>
        </w:rPr>
        <w:t xml:space="preserve"> and </w:t>
      </w:r>
      <w:r>
        <w:rPr>
          <w:rFonts w:ascii="Times New Roman" w:cs="Times New Roman" w:eastAsia="Times New Roman" w:hAnsi="Times New Roman"/>
          <w:sz w:val="9"/>
          <w:szCs w:val="9"/>
          <w:b w:val="1"/>
          <w:bCs w:val="1"/>
          <w:color w:val="000000"/>
        </w:rPr>
        <w:t>[***]</w:t>
      </w:r>
      <w:r>
        <w:rPr>
          <w:rFonts w:ascii="Times New Roman" w:cs="Times New Roman" w:eastAsia="Times New Roman" w:hAnsi="Times New Roman"/>
          <w:sz w:val="9"/>
          <w:szCs w:val="9"/>
          <w:color w:val="231F20"/>
        </w:rPr>
        <w:t xml:space="preserve"> through </w:t>
      </w:r>
      <w:r>
        <w:rPr>
          <w:rFonts w:ascii="Times New Roman" w:cs="Times New Roman" w:eastAsia="Times New Roman" w:hAnsi="Times New Roman"/>
          <w:sz w:val="9"/>
          <w:szCs w:val="9"/>
          <w:b w:val="1"/>
          <w:bCs w:val="1"/>
          <w:color w:val="000000"/>
        </w:rPr>
        <w:t>[***]</w:t>
      </w:r>
      <w:r>
        <w:rPr>
          <w:rFonts w:ascii="Times New Roman" w:cs="Times New Roman" w:eastAsia="Times New Roman" w:hAnsi="Times New Roman"/>
          <w:sz w:val="9"/>
          <w:szCs w:val="9"/>
          <w:color w:val="231F20"/>
        </w:rPr>
        <w:t xml:space="preserve"> (collectively, the “</w:t>
      </w:r>
      <w:r>
        <w:rPr>
          <w:rFonts w:ascii="Times New Roman" w:cs="Times New Roman" w:eastAsia="Times New Roman" w:hAnsi="Times New Roman"/>
          <w:sz w:val="9"/>
          <w:szCs w:val="9"/>
          <w:b w:val="1"/>
          <w:bCs w:val="1"/>
          <w:color w:val="231F20"/>
        </w:rPr>
        <w:t>Abatement Period</w:t>
      </w:r>
      <w:r>
        <w:rPr>
          <w:rFonts w:ascii="Times New Roman" w:cs="Times New Roman" w:eastAsia="Times New Roman" w:hAnsi="Times New Roman"/>
          <w:sz w:val="9"/>
          <w:szCs w:val="9"/>
          <w:color w:val="231F20"/>
        </w:rPr>
        <w:t>”). Notwithstanding anything to the</w:t>
      </w:r>
    </w:p>
    <w:p>
      <w:pPr>
        <w:spacing w:after="0" w:line="200" w:lineRule="exact"/>
        <w:rPr>
          <w:sz w:val="20"/>
          <w:szCs w:val="20"/>
          <w:color w:val="auto"/>
        </w:rPr>
      </w:pPr>
    </w:p>
    <w:p>
      <w:pPr>
        <w:spacing w:after="0" w:line="269" w:lineRule="exact"/>
        <w:rPr>
          <w:sz w:val="20"/>
          <w:szCs w:val="20"/>
          <w:color w:val="auto"/>
        </w:rPr>
      </w:pPr>
    </w:p>
    <w:p>
      <w:pPr>
        <w:ind w:right="880"/>
        <w:spacing w:after="0" w:line="253" w:lineRule="auto"/>
        <w:rPr>
          <w:sz w:val="20"/>
          <w:szCs w:val="20"/>
          <w:color w:val="auto"/>
        </w:rPr>
      </w:pPr>
      <w:r>
        <w:rPr>
          <w:rFonts w:ascii="Times New Roman" w:cs="Times New Roman" w:eastAsia="Times New Roman" w:hAnsi="Times New Roman"/>
          <w:sz w:val="14"/>
          <w:szCs w:val="14"/>
          <w:color w:val="231F20"/>
        </w:rPr>
        <w:t>contrary in the Master Lease, Subtenant shall be entitled to the full benefit of the Abatement Period irrespective of whether, when, or in what amount Sublandlord actually receives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any corresponding rent abatement under the Master Lease with respect to the Subleased Premises, provided that any such failure by Sublandlord to receive abatement</w:t>
      </w:r>
    </w:p>
    <w:tbl>
      <w:tblPr>
        <w:tblLayout w:type="fixed"/>
        <w:tblInd w:w="0" w:type="dxa"/>
        <w:tblCellMar>
          <w:top w:w="0" w:type="dxa"/>
          <w:left w:w="0" w:type="dxa"/>
          <w:bottom w:w="0" w:type="dxa"/>
          <w:right w:w="0" w:type="dxa"/>
        </w:tblCellMar>
      </w:tblPr>
      <w:tr>
        <w:trPr>
          <w:trHeight w:val="147"/>
        </w:trPr>
        <w:tc>
          <w:tcPr>
            <w:tcW w:w="15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231F20"/>
              </w:rPr>
              <w:t>is  not  caused  by  a</w:t>
            </w:r>
          </w:p>
        </w:tc>
        <w:tc>
          <w:tcPr>
            <w:tcW w:w="3120" w:type="dxa"/>
            <w:vAlign w:val="bottom"/>
            <w:gridSpan w:val="3"/>
          </w:tcPr>
          <w:p>
            <w:pPr>
              <w:ind w:left="160"/>
              <w:spacing w:after="0" w:line="147" w:lineRule="exact"/>
              <w:rPr>
                <w:sz w:val="20"/>
                <w:szCs w:val="20"/>
                <w:color w:val="auto"/>
              </w:rPr>
            </w:pPr>
            <w:r>
              <w:rPr>
                <w:rFonts w:ascii="Times New Roman" w:cs="Times New Roman" w:eastAsia="Times New Roman" w:hAnsi="Times New Roman"/>
                <w:sz w:val="14"/>
                <w:szCs w:val="14"/>
                <w:color w:val="231F20"/>
              </w:rPr>
              <w:t>default  of  Subtenant  under  this  Sublease</w:t>
            </w:r>
          </w:p>
        </w:tc>
        <w:tc>
          <w:tcPr>
            <w:tcW w:w="196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231F20"/>
              </w:rPr>
              <w:t>or  the  Master  Lease  (as</w:t>
            </w:r>
          </w:p>
        </w:tc>
        <w:tc>
          <w:tcPr>
            <w:tcW w:w="236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231F20"/>
              </w:rPr>
              <w:t>incorporated  herein).  Except  as</w:t>
            </w: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231F20"/>
              </w:rPr>
              <w:t>expressly</w:t>
            </w:r>
          </w:p>
        </w:tc>
        <w:tc>
          <w:tcPr>
            <w:tcW w:w="0" w:type="dxa"/>
            <w:vAlign w:val="bottom"/>
          </w:tcPr>
          <w:p>
            <w:pPr>
              <w:spacing w:after="0"/>
              <w:rPr>
                <w:sz w:val="1"/>
                <w:szCs w:val="1"/>
                <w:color w:val="auto"/>
              </w:rPr>
            </w:pPr>
          </w:p>
        </w:tc>
      </w:tr>
      <w:tr>
        <w:trPr>
          <w:trHeight w:val="188"/>
        </w:trPr>
        <w:tc>
          <w:tcPr>
            <w:tcW w:w="6580" w:type="dxa"/>
            <w:vAlign w:val="bottom"/>
            <w:gridSpan w:val="5"/>
          </w:tcPr>
          <w:p>
            <w:pPr>
              <w:spacing w:after="0"/>
              <w:rPr>
                <w:sz w:val="20"/>
                <w:szCs w:val="20"/>
                <w:color w:val="auto"/>
              </w:rPr>
            </w:pPr>
            <w:r>
              <w:rPr>
                <w:rFonts w:ascii="Times New Roman" w:cs="Times New Roman" w:eastAsia="Times New Roman" w:hAnsi="Times New Roman"/>
                <w:sz w:val="14"/>
                <w:szCs w:val="14"/>
                <w:color w:val="231F20"/>
              </w:rPr>
              <w:t>provided in this Section, Subtenant shall not be entitled to any other base rent abatement, credit or offset.</w:t>
            </w:r>
          </w:p>
        </w:tc>
        <w:tc>
          <w:tcPr>
            <w:tcW w:w="2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5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6.8</w:t>
            </w:r>
          </w:p>
        </w:tc>
        <w:tc>
          <w:tcPr>
            <w:tcW w:w="808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231F20"/>
              </w:rPr>
              <w:t>Base Rent and Additional Rent and any other amounts payable by Subtenant to Sublandlord under this Sublease (including without</w:t>
            </w: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rPr>
                <w:sz w:val="20"/>
                <w:szCs w:val="20"/>
                <w:color w:val="auto"/>
              </w:rPr>
            </w:pPr>
            <w:r>
              <w:rPr>
                <w:rFonts w:ascii="Times New Roman" w:cs="Times New Roman" w:eastAsia="Times New Roman" w:hAnsi="Times New Roman"/>
                <w:sz w:val="14"/>
                <w:szCs w:val="14"/>
                <w:color w:val="231F20"/>
              </w:rPr>
              <w:t>limitation,  late  fees)</w:t>
            </w:r>
          </w:p>
        </w:tc>
        <w:tc>
          <w:tcPr>
            <w:tcW w:w="1840" w:type="dxa"/>
            <w:vAlign w:val="bottom"/>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10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231F20"/>
              </w:rPr>
              <w:t>referred  to</w:t>
            </w:r>
          </w:p>
        </w:tc>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231F20"/>
              </w:rPr>
              <w:t>as  “</w:t>
            </w:r>
            <w:r>
              <w:rPr>
                <w:rFonts w:ascii="Times New Roman" w:cs="Times New Roman" w:eastAsia="Times New Roman" w:hAnsi="Times New Roman"/>
                <w:sz w:val="14"/>
                <w:szCs w:val="14"/>
                <w:b w:val="1"/>
                <w:bCs w:val="1"/>
                <w:color w:val="231F20"/>
              </w:rPr>
              <w:t>Rent</w:t>
            </w:r>
            <w:r>
              <w:rPr>
                <w:rFonts w:ascii="Times New Roman" w:cs="Times New Roman" w:eastAsia="Times New Roman" w:hAnsi="Times New Roman"/>
                <w:sz w:val="14"/>
                <w:szCs w:val="14"/>
                <w:color w:val="231F20"/>
              </w:rPr>
              <w:t>.”  Notwithstanding</w:t>
            </w:r>
          </w:p>
        </w:tc>
        <w:tc>
          <w:tcPr>
            <w:tcW w:w="2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231F20"/>
              </w:rPr>
              <w:t>anything  herein  to  the  contrary,</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Subtenant</w:t>
            </w:r>
          </w:p>
        </w:tc>
        <w:tc>
          <w:tcPr>
            <w:tcW w:w="0" w:type="dxa"/>
            <w:vAlign w:val="bottom"/>
          </w:tcPr>
          <w:p>
            <w:pPr>
              <w:spacing w:after="0" w:line="20" w:lineRule="exact"/>
              <w:rPr>
                <w:sz w:val="1"/>
                <w:szCs w:val="1"/>
                <w:color w:val="auto"/>
              </w:rPr>
            </w:pPr>
          </w:p>
        </w:tc>
      </w:tr>
      <w:tr>
        <w:trPr>
          <w:trHeight w:val="167"/>
        </w:trPr>
        <w:tc>
          <w:tcPr>
            <w:tcW w:w="1500" w:type="dxa"/>
            <w:vAlign w:val="bottom"/>
            <w:vMerge w:val="continue"/>
          </w:tcPr>
          <w:p>
            <w:pPr>
              <w:spacing w:after="0"/>
              <w:rPr>
                <w:sz w:val="14"/>
                <w:szCs w:val="14"/>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231F20"/>
              </w:rPr>
              <w:t>shall  hereinafter  be  collectively</w:t>
            </w:r>
          </w:p>
        </w:tc>
        <w:tc>
          <w:tcPr>
            <w:tcW w:w="1020" w:type="dxa"/>
            <w:vAlign w:val="bottom"/>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23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ind w:left="4540" w:right="5040" w:hanging="4538"/>
        <w:spacing w:after="0" w:line="346" w:lineRule="auto"/>
        <w:rPr>
          <w:sz w:val="20"/>
          <w:szCs w:val="20"/>
          <w:color w:val="auto"/>
        </w:rPr>
      </w:pPr>
      <w:r>
        <w:rPr>
          <w:rFonts w:ascii="Times New Roman" w:cs="Times New Roman" w:eastAsia="Times New Roman" w:hAnsi="Times New Roman"/>
          <w:sz w:val="14"/>
          <w:szCs w:val="14"/>
          <w:color w:val="231F20"/>
        </w:rPr>
        <w:t xml:space="preserve">shall be obligated to pay Rent hereunder only to the extent Sublandlord is obligated to pay the </w:t>
      </w:r>
      <w:r>
        <w:rPr>
          <w:rFonts w:ascii="Times New Roman" w:cs="Times New Roman" w:eastAsia="Times New Roman" w:hAnsi="Times New Roman"/>
          <w:sz w:val="13"/>
          <w:szCs w:val="13"/>
          <w:color w:val="00000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275590</wp:posOffset>
            </wp:positionV>
            <wp:extent cx="694055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940550" cy="42545"/>
                    </a:xfrm>
                    <a:prstGeom prst="rect">
                      <a:avLst/>
                    </a:prstGeom>
                    <a:noFill/>
                  </pic:spPr>
                </pic:pic>
              </a:graphicData>
            </a:graphic>
          </wp:anchor>
        </w:drawing>
      </w:r>
    </w:p>
    <w:p>
      <w:pPr>
        <w:sectPr>
          <w:pgSz w:w="11900" w:h="16838" w:orient="portrait"/>
          <w:cols w:equalWidth="0" w:num="1">
            <w:col w:w="10460"/>
          </w:cols>
          <w:pgMar w:left="1160" w:top="751" w:right="279" w:bottom="1440" w:gutter="0" w:footer="0" w:header="0"/>
          <w:type w:val="continuous"/>
        </w:sectPr>
      </w:pPr>
    </w:p>
    <w:bookmarkStart w:id="55" w:name="page56"/>
    <w:bookmarkEnd w:id="55"/>
    <w:p>
      <w:pPr>
        <w:jc w:val="both"/>
        <w:spacing w:after="0" w:line="261" w:lineRule="auto"/>
        <w:rPr>
          <w:sz w:val="20"/>
          <w:szCs w:val="20"/>
          <w:color w:val="auto"/>
        </w:rPr>
      </w:pPr>
      <w:r>
        <w:rPr>
          <w:rFonts w:ascii="Times New Roman" w:cs="Times New Roman" w:eastAsia="Times New Roman" w:hAnsi="Times New Roman"/>
          <w:sz w:val="14"/>
          <w:szCs w:val="14"/>
          <w:color w:val="231F20"/>
        </w:rPr>
        <w:t>same with regard to the Subleased Premises under the Master Lease; and, if at any time after the expiration of the Abatement Period, Sublandlord receives an abatement, reduction or other similar benefit with regard to rent due under the Master Lease with regard to the Subleased Premises, Subtenant shall have the same abatement, reduction or benefit hereunder.</w:t>
      </w:r>
    </w:p>
    <w:p>
      <w:pPr>
        <w:spacing w:after="0" w:line="33" w:lineRule="exact"/>
        <w:rPr>
          <w:sz w:val="20"/>
          <w:szCs w:val="20"/>
          <w:color w:val="auto"/>
        </w:rPr>
      </w:pPr>
    </w:p>
    <w:p>
      <w:pPr>
        <w:jc w:val="both"/>
        <w:ind w:firstLine="864"/>
        <w:spacing w:after="0" w:line="251" w:lineRule="auto"/>
        <w:rPr>
          <w:sz w:val="20"/>
          <w:szCs w:val="20"/>
          <w:color w:val="auto"/>
        </w:rPr>
      </w:pPr>
      <w:r>
        <w:rPr>
          <w:rFonts w:ascii="Times New Roman" w:cs="Times New Roman" w:eastAsia="Times New Roman" w:hAnsi="Times New Roman"/>
          <w:sz w:val="14"/>
          <w:szCs w:val="14"/>
          <w:color w:val="auto"/>
        </w:rPr>
        <w:t xml:space="preserve">6.9 </w:t>
      </w:r>
      <w:r>
        <w:rPr>
          <w:rFonts w:ascii="Times New Roman" w:cs="Times New Roman" w:eastAsia="Times New Roman" w:hAnsi="Times New Roman"/>
          <w:sz w:val="14"/>
          <w:szCs w:val="14"/>
          <w:color w:val="231F20"/>
        </w:rPr>
        <w:t>Subtenant shall be responsible pursuant to Section 22 of the Master Lease, as incorporated herein by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231F20"/>
        </w:rPr>
        <w:t>Section 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of this Sublease, for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 xml:space="preserve">the payment of any utilities or services charged or attributable to the Subleased Premises. In the event Sublandlord is charged for any such utilities or services, Subtenant shall reimburse Sublandlord for such amounts within </w:t>
      </w:r>
      <w:r>
        <w:rPr>
          <w:rFonts w:ascii="Times New Roman" w:cs="Times New Roman" w:eastAsia="Times New Roman" w:hAnsi="Times New Roman"/>
          <w:sz w:val="14"/>
          <w:szCs w:val="14"/>
          <w:u w:val="single" w:color="auto"/>
          <w:color w:val="231F20"/>
        </w:rPr>
        <w:t>thirty (30</w:t>
      </w:r>
      <w:r>
        <w:rPr>
          <w:rFonts w:ascii="Times New Roman" w:cs="Times New Roman" w:eastAsia="Times New Roman" w:hAnsi="Times New Roman"/>
          <w:sz w:val="14"/>
          <w:szCs w:val="14"/>
          <w:color w:val="231F20"/>
        </w:rPr>
        <w:t>) days after written notice thereof by Sublandlord to Subtenant. Sublandlord shall provide to Subtenant reasonable documentation (to the extent available), including without limitation a statement or invoice reflecting a charge or payment attributable to the Subleased Premises to substantiate such reimbursement claim.</w:t>
      </w:r>
    </w:p>
    <w:p>
      <w:pPr>
        <w:spacing w:after="0" w:line="40" w:lineRule="exact"/>
        <w:rPr>
          <w:sz w:val="20"/>
          <w:szCs w:val="20"/>
          <w:color w:val="auto"/>
        </w:rPr>
      </w:pPr>
    </w:p>
    <w:p>
      <w:pPr>
        <w:jc w:val="both"/>
        <w:ind w:firstLine="864"/>
        <w:spacing w:after="0" w:line="261" w:lineRule="auto"/>
        <w:rPr>
          <w:sz w:val="20"/>
          <w:szCs w:val="20"/>
          <w:color w:val="auto"/>
        </w:rPr>
      </w:pPr>
      <w:r>
        <w:rPr>
          <w:rFonts w:ascii="Times New Roman" w:cs="Times New Roman" w:eastAsia="Times New Roman" w:hAnsi="Times New Roman"/>
          <w:sz w:val="14"/>
          <w:szCs w:val="14"/>
          <w:color w:val="231F20"/>
        </w:rPr>
        <w:t xml:space="preserve">6.10 All Base Rent and Additional </w:t>
      </w:r>
      <w:r>
        <w:rPr>
          <w:rFonts w:ascii="Times New Roman" w:cs="Times New Roman" w:eastAsia="Times New Roman" w:hAnsi="Times New Roman"/>
          <w:sz w:val="14"/>
          <w:szCs w:val="14"/>
          <w:u w:val="single" w:color="auto"/>
          <w:color w:val="231F20"/>
        </w:rPr>
        <w:t>Rent</w:t>
      </w:r>
      <w:r>
        <w:rPr>
          <w:rFonts w:ascii="Times New Roman" w:cs="Times New Roman" w:eastAsia="Times New Roman" w:hAnsi="Times New Roman"/>
          <w:sz w:val="14"/>
          <w:szCs w:val="14"/>
          <w:color w:val="231F20"/>
        </w:rPr>
        <w:t xml:space="preserve"> shall be due and payable without demand therefore and, except as otherwise expressly set forth herein, without any deduction, offset, abatement, counterclaim, or defense. The monthly installments of Base Rent and Additional </w:t>
      </w:r>
      <w:r>
        <w:rPr>
          <w:rFonts w:ascii="Times New Roman" w:cs="Times New Roman" w:eastAsia="Times New Roman" w:hAnsi="Times New Roman"/>
          <w:sz w:val="14"/>
          <w:szCs w:val="14"/>
          <w:u w:val="single" w:color="auto"/>
          <w:color w:val="231F20"/>
        </w:rPr>
        <w:t>Rent</w:t>
      </w:r>
      <w:r>
        <w:rPr>
          <w:rFonts w:ascii="Times New Roman" w:cs="Times New Roman" w:eastAsia="Times New Roman" w:hAnsi="Times New Roman"/>
          <w:sz w:val="14"/>
          <w:szCs w:val="14"/>
          <w:color w:val="231F20"/>
        </w:rPr>
        <w:t xml:space="preserve"> payable on account of any partial calendar month during the Term of this Sublease, if any, shall be prorated.</w:t>
      </w:r>
    </w:p>
    <w:p>
      <w:pPr>
        <w:spacing w:after="0" w:line="33"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14"/>
          <w:szCs w:val="14"/>
          <w:color w:val="231F20"/>
        </w:rPr>
        <w:t>6.11 Subtenant shall be responsible for payment of all taxes, assessments, and similar governmental charges that relate to the Subleased Premises, including any portion of such charges allocated under the Master Lease, to the extent such obligations are passed through under the Master Lease with respect to the Subleased Premises and this Sublease. Sublandlord shall promptly deliver to Subtenant all statements, invoices, bills, or notices of such charges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231F20"/>
        </w:rPr>
        <w:t>received from Landlord or any governmental authority. Subtenant shall pay such charges directly to Landlord, the applicable authority, or as otherwise instructed, and Sublandlord shall reasonably cooperate to ensure timely payment.</w:t>
      </w:r>
    </w:p>
    <w:p>
      <w:pPr>
        <w:spacing w:after="0" w:line="34" w:lineRule="exact"/>
        <w:rPr>
          <w:sz w:val="20"/>
          <w:szCs w:val="20"/>
          <w:color w:val="auto"/>
        </w:rPr>
      </w:pPr>
    </w:p>
    <w:p>
      <w:pPr>
        <w:ind w:left="860"/>
        <w:spacing w:after="0"/>
        <w:tabs>
          <w:tab w:leader="none" w:pos="2060" w:val="left"/>
          <w:tab w:leader="none" w:pos="2960" w:val="left"/>
          <w:tab w:leader="none" w:pos="3560" w:val="left"/>
          <w:tab w:leader="none" w:pos="4080" w:val="left"/>
          <w:tab w:leader="none" w:pos="4560" w:val="left"/>
          <w:tab w:leader="none" w:pos="5540" w:val="left"/>
          <w:tab w:leader="none" w:pos="6060" w:val="left"/>
          <w:tab w:leader="none" w:pos="6600" w:val="left"/>
          <w:tab w:leader="none" w:pos="7260" w:val="left"/>
          <w:tab w:leader="none" w:pos="8060" w:val="left"/>
          <w:tab w:leader="none" w:pos="8520" w:val="left"/>
          <w:tab w:leader="none" w:pos="9340" w:val="left"/>
        </w:tabs>
        <w:rPr>
          <w:sz w:val="20"/>
          <w:szCs w:val="20"/>
          <w:color w:val="auto"/>
        </w:rPr>
      </w:pPr>
      <w:r>
        <w:rPr>
          <w:rFonts w:ascii="Times New Roman" w:cs="Times New Roman" w:eastAsia="Times New Roman" w:hAnsi="Times New Roman"/>
          <w:sz w:val="14"/>
          <w:szCs w:val="14"/>
          <w:color w:val="231F20"/>
        </w:rPr>
        <w:t>6.12</w:t>
      </w:r>
      <w:r>
        <w:rPr>
          <w:sz w:val="20"/>
          <w:szCs w:val="20"/>
          <w:color w:val="auto"/>
        </w:rPr>
        <w:tab/>
      </w:r>
      <w:r>
        <w:rPr>
          <w:rFonts w:ascii="Times New Roman" w:cs="Times New Roman" w:eastAsia="Times New Roman" w:hAnsi="Times New Roman"/>
          <w:sz w:val="14"/>
          <w:szCs w:val="14"/>
          <w:color w:val="231F20"/>
        </w:rPr>
        <w:t>Subtenant</w:t>
      </w:r>
      <w:r>
        <w:rPr>
          <w:sz w:val="20"/>
          <w:szCs w:val="20"/>
          <w:color w:val="auto"/>
        </w:rPr>
        <w:tab/>
      </w:r>
      <w:r>
        <w:rPr>
          <w:rFonts w:ascii="Times New Roman" w:cs="Times New Roman" w:eastAsia="Times New Roman" w:hAnsi="Times New Roman"/>
          <w:sz w:val="14"/>
          <w:szCs w:val="14"/>
          <w:color w:val="231F20"/>
        </w:rPr>
        <w:t>shall</w:t>
      </w:r>
      <w:r>
        <w:rPr>
          <w:sz w:val="20"/>
          <w:szCs w:val="20"/>
          <w:color w:val="auto"/>
        </w:rPr>
        <w:tab/>
      </w:r>
      <w:r>
        <w:rPr>
          <w:rFonts w:ascii="Times New Roman" w:cs="Times New Roman" w:eastAsia="Times New Roman" w:hAnsi="Times New Roman"/>
          <w:sz w:val="14"/>
          <w:szCs w:val="14"/>
          <w:color w:val="231F20"/>
        </w:rPr>
        <w:t>not</w:t>
      </w:r>
      <w:r>
        <w:rPr>
          <w:sz w:val="20"/>
          <w:szCs w:val="20"/>
          <w:color w:val="auto"/>
        </w:rPr>
        <w:tab/>
      </w:r>
      <w:r>
        <w:rPr>
          <w:rFonts w:ascii="Times New Roman" w:cs="Times New Roman" w:eastAsia="Times New Roman" w:hAnsi="Times New Roman"/>
          <w:sz w:val="14"/>
          <w:szCs w:val="14"/>
          <w:color w:val="231F20"/>
        </w:rPr>
        <w:t>be</w:t>
      </w:r>
      <w:r>
        <w:rPr>
          <w:sz w:val="20"/>
          <w:szCs w:val="20"/>
          <w:color w:val="auto"/>
        </w:rPr>
        <w:tab/>
      </w:r>
      <w:r>
        <w:rPr>
          <w:rFonts w:ascii="Times New Roman" w:cs="Times New Roman" w:eastAsia="Times New Roman" w:hAnsi="Times New Roman"/>
          <w:sz w:val="14"/>
          <w:szCs w:val="14"/>
          <w:color w:val="231F20"/>
        </w:rPr>
        <w:t>responsible</w:t>
      </w:r>
      <w:r>
        <w:rPr>
          <w:sz w:val="20"/>
          <w:szCs w:val="20"/>
          <w:color w:val="auto"/>
        </w:rPr>
        <w:tab/>
      </w:r>
      <w:r>
        <w:rPr>
          <w:rFonts w:ascii="Times New Roman" w:cs="Times New Roman" w:eastAsia="Times New Roman" w:hAnsi="Times New Roman"/>
          <w:sz w:val="14"/>
          <w:szCs w:val="14"/>
          <w:color w:val="231F20"/>
        </w:rPr>
        <w:t>for</w:t>
      </w:r>
      <w:r>
        <w:rPr>
          <w:sz w:val="20"/>
          <w:szCs w:val="20"/>
          <w:color w:val="auto"/>
        </w:rPr>
        <w:tab/>
      </w:r>
      <w:r>
        <w:rPr>
          <w:rFonts w:ascii="Times New Roman" w:cs="Times New Roman" w:eastAsia="Times New Roman" w:hAnsi="Times New Roman"/>
          <w:sz w:val="14"/>
          <w:szCs w:val="14"/>
          <w:color w:val="231F20"/>
        </w:rPr>
        <w:t>any</w:t>
      </w:r>
      <w:r>
        <w:rPr>
          <w:sz w:val="20"/>
          <w:szCs w:val="20"/>
          <w:color w:val="auto"/>
        </w:rPr>
        <w:tab/>
      </w:r>
      <w:r>
        <w:rPr>
          <w:rFonts w:ascii="Times New Roman" w:cs="Times New Roman" w:eastAsia="Times New Roman" w:hAnsi="Times New Roman"/>
          <w:sz w:val="14"/>
          <w:szCs w:val="14"/>
          <w:color w:val="231F20"/>
        </w:rPr>
        <w:t>costs,</w:t>
      </w:r>
      <w:r>
        <w:rPr>
          <w:sz w:val="20"/>
          <w:szCs w:val="20"/>
          <w:color w:val="auto"/>
        </w:rPr>
        <w:tab/>
      </w:r>
      <w:r>
        <w:rPr>
          <w:rFonts w:ascii="Times New Roman" w:cs="Times New Roman" w:eastAsia="Times New Roman" w:hAnsi="Times New Roman"/>
          <w:sz w:val="14"/>
          <w:szCs w:val="14"/>
          <w:color w:val="231F20"/>
        </w:rPr>
        <w:t>charges,</w:t>
      </w:r>
      <w:r>
        <w:rPr>
          <w:sz w:val="20"/>
          <w:szCs w:val="20"/>
          <w:color w:val="auto"/>
        </w:rPr>
        <w:tab/>
      </w:r>
      <w:r>
        <w:rPr>
          <w:rFonts w:ascii="Times New Roman" w:cs="Times New Roman" w:eastAsia="Times New Roman" w:hAnsi="Times New Roman"/>
          <w:sz w:val="14"/>
          <w:szCs w:val="14"/>
          <w:color w:val="231F20"/>
        </w:rPr>
        <w:t>or</w:t>
      </w:r>
      <w:r>
        <w:rPr>
          <w:sz w:val="20"/>
          <w:szCs w:val="20"/>
          <w:color w:val="auto"/>
        </w:rPr>
        <w:tab/>
      </w:r>
      <w:r>
        <w:rPr>
          <w:rFonts w:ascii="Times New Roman" w:cs="Times New Roman" w:eastAsia="Times New Roman" w:hAnsi="Times New Roman"/>
          <w:sz w:val="14"/>
          <w:szCs w:val="14"/>
          <w:color w:val="231F20"/>
        </w:rPr>
        <w:t>amounts</w:t>
      </w:r>
      <w:r>
        <w:rPr>
          <w:sz w:val="20"/>
          <w:szCs w:val="20"/>
          <w:color w:val="auto"/>
        </w:rPr>
        <w:tab/>
      </w:r>
      <w:r>
        <w:rPr>
          <w:rFonts w:ascii="Times New Roman" w:cs="Times New Roman" w:eastAsia="Times New Roman" w:hAnsi="Times New Roman"/>
          <w:sz w:val="14"/>
          <w:szCs w:val="14"/>
          <w:color w:val="231F20"/>
        </w:rPr>
        <w:t>that</w:t>
      </w:r>
    </w:p>
    <w:p>
      <w:pPr>
        <w:spacing w:after="0" w:line="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231F20"/>
        </w:rPr>
        <w:t>are not expressly payable by Tenant under the Master Lease with respect to the Subleased Premises or otherwise required to be paid by Subtenant under this Sublease, and in no event shall Sublandlord impose any markup, surcharge, administrative fee, or other add-on in connection with any pass-through of such amounts to Subtenant.</w:t>
      </w:r>
    </w:p>
    <w:p>
      <w:pPr>
        <w:spacing w:after="0" w:line="201" w:lineRule="exact"/>
        <w:rPr>
          <w:sz w:val="20"/>
          <w:szCs w:val="20"/>
          <w:color w:val="auto"/>
        </w:rPr>
      </w:pPr>
    </w:p>
    <w:p>
      <w:pPr>
        <w:ind w:left="860" w:hanging="432"/>
        <w:spacing w:after="0"/>
        <w:tabs>
          <w:tab w:leader="none" w:pos="860" w:val="left"/>
        </w:tabs>
        <w:numPr>
          <w:ilvl w:val="0"/>
          <w:numId w:val="16"/>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b w:val="1"/>
          <w:bCs w:val="1"/>
          <w:u w:val="single" w:color="auto"/>
          <w:color w:val="231F20"/>
        </w:rPr>
        <w:t>LETTER OF CREDIT</w:t>
      </w:r>
    </w:p>
    <w:p>
      <w:pPr>
        <w:spacing w:after="0" w:line="75" w:lineRule="exact"/>
        <w:rPr>
          <w:sz w:val="20"/>
          <w:szCs w:val="20"/>
          <w:color w:val="auto"/>
        </w:rPr>
      </w:pPr>
    </w:p>
    <w:p>
      <w:pPr>
        <w:jc w:val="both"/>
        <w:ind w:right="20" w:firstLine="852"/>
        <w:spacing w:after="0" w:line="253" w:lineRule="auto"/>
        <w:rPr>
          <w:sz w:val="20"/>
          <w:szCs w:val="20"/>
          <w:color w:val="auto"/>
        </w:rPr>
      </w:pPr>
      <w:r>
        <w:rPr>
          <w:rFonts w:ascii="Times New Roman" w:cs="Times New Roman" w:eastAsia="Times New Roman" w:hAnsi="Times New Roman"/>
          <w:sz w:val="14"/>
          <w:szCs w:val="14"/>
          <w:color w:val="231F20"/>
        </w:rPr>
        <w:t>7.1 Within 21 days of Subtenant’s execution and delivery to Sublandlord of this Sublease, Subtenant shall deliver to Sublandlord, as security for the full and faithful performance by Subtenant of all of its covenants and obligations under this Sublease, an</w:t>
      </w:r>
    </w:p>
    <w:p>
      <w:pPr>
        <w:spacing w:after="0" w:line="1" w:lineRule="exact"/>
        <w:rPr>
          <w:sz w:val="20"/>
          <w:szCs w:val="20"/>
          <w:color w:val="auto"/>
        </w:rPr>
      </w:pPr>
    </w:p>
    <w:p>
      <w:pPr>
        <w:jc w:val="both"/>
        <w:spacing w:after="0" w:line="183" w:lineRule="exact"/>
        <w:rPr>
          <w:sz w:val="20"/>
          <w:szCs w:val="20"/>
          <w:color w:val="auto"/>
        </w:rPr>
      </w:pPr>
      <w:r>
        <w:rPr>
          <w:rFonts w:ascii="Times New Roman" w:cs="Times New Roman" w:eastAsia="Times New Roman" w:hAnsi="Times New Roman"/>
          <w:sz w:val="14"/>
          <w:szCs w:val="14"/>
          <w:color w:val="231F20"/>
        </w:rPr>
        <w:t>unconditional, irrevocable, transferable standby letter of credit (the “</w:t>
      </w:r>
      <w:r>
        <w:rPr>
          <w:rFonts w:ascii="Times New Roman" w:cs="Times New Roman" w:eastAsia="Times New Roman" w:hAnsi="Times New Roman"/>
          <w:sz w:val="14"/>
          <w:szCs w:val="14"/>
          <w:b w:val="1"/>
          <w:bCs w:val="1"/>
          <w:color w:val="231F20"/>
        </w:rPr>
        <w:t>Letter of Credit</w:t>
      </w:r>
      <w:r>
        <w:rPr>
          <w:rFonts w:ascii="Times New Roman" w:cs="Times New Roman" w:eastAsia="Times New Roman" w:hAnsi="Times New Roman"/>
          <w:sz w:val="14"/>
          <w:szCs w:val="14"/>
          <w:color w:val="231F20"/>
        </w:rPr>
        <w:t>”) in the face amount of Eight Hundred Six Thousand Eight Hundred Twenty</w:t>
      </w:r>
      <w:r>
        <w:rPr>
          <w:rFonts w:ascii="MS PGothic" w:cs="MS PGothic" w:eastAsia="MS PGothic" w:hAnsi="MS PGothic"/>
          <w:sz w:val="14"/>
          <w:szCs w:val="14"/>
          <w:color w:val="231F20"/>
        </w:rPr>
        <w:t>‑</w:t>
      </w:r>
      <w:r>
        <w:rPr>
          <w:rFonts w:ascii="Times New Roman" w:cs="Times New Roman" w:eastAsia="Times New Roman" w:hAnsi="Times New Roman"/>
          <w:sz w:val="14"/>
          <w:szCs w:val="14"/>
          <w:color w:val="231F20"/>
        </w:rPr>
        <w:t>Seven and 52/100 Dollars ($806,827.52) (the “</w:t>
      </w:r>
      <w:r>
        <w:rPr>
          <w:rFonts w:ascii="Times New Roman" w:cs="Times New Roman" w:eastAsia="Times New Roman" w:hAnsi="Times New Roman"/>
          <w:sz w:val="14"/>
          <w:szCs w:val="14"/>
          <w:b w:val="1"/>
          <w:bCs w:val="1"/>
          <w:color w:val="231F20"/>
        </w:rPr>
        <w:t>Letter of Credit Amount</w:t>
      </w:r>
      <w:r>
        <w:rPr>
          <w:rFonts w:ascii="Times New Roman" w:cs="Times New Roman" w:eastAsia="Times New Roman" w:hAnsi="Times New Roman"/>
          <w:sz w:val="14"/>
          <w:szCs w:val="14"/>
          <w:color w:val="231F20"/>
        </w:rPr>
        <w:t>”).</w:t>
      </w:r>
    </w:p>
    <w:p>
      <w:pPr>
        <w:spacing w:after="0" w:line="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231F20"/>
        </w:rPr>
        <w:t>The Letter of Credit shall:</w:t>
      </w:r>
    </w:p>
    <w:p>
      <w:pPr>
        <w:spacing w:after="0" w:line="73" w:lineRule="exact"/>
        <w:rPr>
          <w:sz w:val="20"/>
          <w:szCs w:val="20"/>
          <w:color w:val="auto"/>
        </w:rPr>
      </w:pPr>
    </w:p>
    <w:p>
      <w:pPr>
        <w:ind w:firstLine="1292"/>
        <w:spacing w:after="0" w:line="191" w:lineRule="exact"/>
        <w:tabs>
          <w:tab w:leader="none" w:pos="2194" w:val="left"/>
        </w:tabs>
        <w:numPr>
          <w:ilvl w:val="0"/>
          <w:numId w:val="17"/>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be issued by a commercial bank (the “Issuing Bank”) that is reasonably acceptable to Sublandlord and that is (i) licensed to do business in the United States, and (ii) either a money</w:t>
      </w:r>
      <w:r>
        <w:rPr>
          <w:rFonts w:ascii="MS PGothic" w:cs="MS PGothic" w:eastAsia="MS PGothic" w:hAnsi="MS PGothic"/>
          <w:sz w:val="14"/>
          <w:szCs w:val="14"/>
          <w:color w:val="231F20"/>
        </w:rPr>
        <w:t>‑</w:t>
      </w:r>
      <w:r>
        <w:rPr>
          <w:rFonts w:ascii="Times New Roman" w:cs="Times New Roman" w:eastAsia="Times New Roman" w:hAnsi="Times New Roman"/>
          <w:sz w:val="14"/>
          <w:szCs w:val="14"/>
          <w:color w:val="231F20"/>
        </w:rPr>
        <w:t>center bank or otherwise reasonably satisfactory to Sublandlord from a creditworthiness standpoint;</w:t>
      </w:r>
    </w:p>
    <w:p>
      <w:pPr>
        <w:spacing w:after="0" w:line="24" w:lineRule="exact"/>
        <w:rPr>
          <w:rFonts w:ascii="Times New Roman" w:cs="Times New Roman" w:eastAsia="Times New Roman" w:hAnsi="Times New Roman"/>
          <w:sz w:val="14"/>
          <w:szCs w:val="14"/>
          <w:color w:val="231F20"/>
        </w:rPr>
      </w:pPr>
    </w:p>
    <w:p>
      <w:pPr>
        <w:ind w:left="1700" w:hanging="408"/>
        <w:spacing w:after="0"/>
        <w:tabs>
          <w:tab w:leader="none" w:pos="1700" w:val="left"/>
        </w:tabs>
        <w:numPr>
          <w:ilvl w:val="0"/>
          <w:numId w:val="17"/>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be in form and substance reasonably satisfactory to Sublandlord;</w:t>
      </w:r>
    </w:p>
    <w:p>
      <w:pPr>
        <w:spacing w:after="0" w:line="14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141605</wp:posOffset>
            </wp:positionV>
            <wp:extent cx="694055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940550" cy="42545"/>
                    </a:xfrm>
                    <a:prstGeom prst="rect">
                      <a:avLst/>
                    </a:prstGeom>
                    <a:noFill/>
                  </pic:spPr>
                </pic:pic>
              </a:graphicData>
            </a:graphic>
          </wp:anchor>
        </w:drawing>
      </w:r>
    </w:p>
    <w:p>
      <w:pPr>
        <w:sectPr>
          <w:pgSz w:w="11900" w:h="16838" w:orient="portrait"/>
          <w:cols w:equalWidth="0" w:num="1">
            <w:col w:w="9580"/>
          </w:cols>
          <w:pgMar w:left="1160" w:top="751" w:right="1159" w:bottom="1440" w:gutter="0" w:footer="0" w:header="0"/>
        </w:sectPr>
      </w:pPr>
    </w:p>
    <w:bookmarkStart w:id="56" w:name="page57"/>
    <w:bookmarkEnd w:id="56"/>
    <w:p>
      <w:pPr>
        <w:ind w:firstLine="1292"/>
        <w:spacing w:after="0" w:line="282" w:lineRule="auto"/>
        <w:tabs>
          <w:tab w:leader="none" w:pos="2189" w:val="left"/>
        </w:tabs>
        <w:numPr>
          <w:ilvl w:val="0"/>
          <w:numId w:val="1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be “callable” at sight and payable upon presentation of a sight draft and a statement by Sublandlord that Subtenant is in Default under this Sublease and that Sublandlord is entitled to draw upon the Letter of Credit pursuant to the terms of this Sublease;</w:t>
      </w:r>
    </w:p>
    <w:p>
      <w:pPr>
        <w:spacing w:after="0" w:line="17" w:lineRule="exact"/>
        <w:rPr>
          <w:rFonts w:ascii="Times New Roman" w:cs="Times New Roman" w:eastAsia="Times New Roman" w:hAnsi="Times New Roman"/>
          <w:sz w:val="14"/>
          <w:szCs w:val="14"/>
          <w:color w:val="231F20"/>
        </w:rPr>
      </w:pPr>
    </w:p>
    <w:p>
      <w:pPr>
        <w:ind w:left="1700" w:hanging="408"/>
        <w:spacing w:after="0"/>
        <w:tabs>
          <w:tab w:leader="none" w:pos="1700" w:val="left"/>
        </w:tabs>
        <w:numPr>
          <w:ilvl w:val="0"/>
          <w:numId w:val="1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permit partial and multiple draws;</w:t>
      </w:r>
    </w:p>
    <w:p>
      <w:pPr>
        <w:spacing w:after="0" w:line="73" w:lineRule="exact"/>
        <w:rPr>
          <w:rFonts w:ascii="Times New Roman" w:cs="Times New Roman" w:eastAsia="Times New Roman" w:hAnsi="Times New Roman"/>
          <w:sz w:val="14"/>
          <w:szCs w:val="14"/>
          <w:color w:val="231F20"/>
        </w:rPr>
      </w:pPr>
    </w:p>
    <w:p>
      <w:pPr>
        <w:ind w:left="2200" w:hanging="908"/>
        <w:spacing w:after="0"/>
        <w:tabs>
          <w:tab w:leader="none" w:pos="2200" w:val="left"/>
        </w:tabs>
        <w:numPr>
          <w:ilvl w:val="0"/>
          <w:numId w:val="1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name Sublandlord (and its successors and assigns, including any successor landlord under the Master Lease in the event of</w:t>
      </w:r>
    </w:p>
    <w:p>
      <w:pPr>
        <w:spacing w:after="0" w:line="17" w:lineRule="exact"/>
        <w:rPr>
          <w:rFonts w:ascii="Times New Roman" w:cs="Times New Roman" w:eastAsia="Times New Roman" w:hAnsi="Times New Roman"/>
          <w:sz w:val="14"/>
          <w:szCs w:val="14"/>
          <w:color w:val="231F20"/>
        </w:rPr>
      </w:pPr>
    </w:p>
    <w:p>
      <w:pPr>
        <w:spacing w:after="0"/>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attornment) as the beneficiary; and</w:t>
      </w:r>
    </w:p>
    <w:p>
      <w:pPr>
        <w:spacing w:after="0" w:line="57" w:lineRule="exact"/>
        <w:rPr>
          <w:rFonts w:ascii="Times New Roman" w:cs="Times New Roman" w:eastAsia="Times New Roman" w:hAnsi="Times New Roman"/>
          <w:sz w:val="14"/>
          <w:szCs w:val="14"/>
          <w:color w:val="231F20"/>
        </w:rPr>
      </w:pPr>
    </w:p>
    <w:p>
      <w:pPr>
        <w:jc w:val="both"/>
        <w:ind w:right="20" w:firstLine="1292"/>
        <w:spacing w:after="0" w:line="269" w:lineRule="auto"/>
        <w:tabs>
          <w:tab w:leader="none" w:pos="2241" w:val="left"/>
        </w:tabs>
        <w:numPr>
          <w:ilvl w:val="0"/>
          <w:numId w:val="1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be subject to the Uniform Customs and Practice for Documentary Credits (2007 Revision), International Chamber of Commerce Publication No. 600, or the International Standby Practices ISP 98, International Chamber of Commerce Publication No. 590, as elected by the Issuing Bank.</w:t>
      </w:r>
    </w:p>
    <w:p>
      <w:pPr>
        <w:spacing w:after="0" w:line="197" w:lineRule="exact"/>
        <w:rPr>
          <w:sz w:val="20"/>
          <w:szCs w:val="20"/>
          <w:color w:val="auto"/>
        </w:rPr>
      </w:pPr>
    </w:p>
    <w:p>
      <w:pPr>
        <w:ind w:firstLine="1280"/>
        <w:spacing w:after="0" w:line="282" w:lineRule="auto"/>
        <w:tabs>
          <w:tab w:leader="none" w:pos="2207" w:val="left"/>
        </w:tabs>
        <w:numPr>
          <w:ilvl w:val="0"/>
          <w:numId w:val="19"/>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Subtenant shall cause the Letter of Credit to be issued with an initial expiration date not earlier than one (1) year after the Commencement Date and to be renewed or extended as set forth below.</w:t>
      </w:r>
    </w:p>
    <w:p>
      <w:pPr>
        <w:spacing w:after="0" w:line="18" w:lineRule="exact"/>
        <w:rPr>
          <w:sz w:val="20"/>
          <w:szCs w:val="20"/>
          <w:color w:val="auto"/>
        </w:rPr>
      </w:pPr>
    </w:p>
    <w:p>
      <w:pPr>
        <w:ind w:left="860"/>
        <w:spacing w:after="0"/>
        <w:tabs>
          <w:tab w:leader="none" w:pos="1440" w:val="left"/>
        </w:tabs>
        <w:rPr>
          <w:sz w:val="20"/>
          <w:szCs w:val="20"/>
          <w:color w:val="auto"/>
        </w:rPr>
      </w:pPr>
      <w:r>
        <w:rPr>
          <w:rFonts w:ascii="Times New Roman" w:cs="Times New Roman" w:eastAsia="Times New Roman" w:hAnsi="Times New Roman"/>
          <w:sz w:val="14"/>
          <w:szCs w:val="14"/>
          <w:color w:val="231F20"/>
        </w:rPr>
        <w:t>7.2</w:t>
      </w:r>
      <w:r>
        <w:rPr>
          <w:sz w:val="20"/>
          <w:szCs w:val="20"/>
          <w:color w:val="auto"/>
        </w:rPr>
        <w:tab/>
      </w:r>
      <w:r>
        <w:rPr>
          <w:rFonts w:ascii="Times New Roman" w:cs="Times New Roman" w:eastAsia="Times New Roman" w:hAnsi="Times New Roman"/>
          <w:sz w:val="14"/>
          <w:szCs w:val="14"/>
          <w:color w:val="231F20"/>
        </w:rPr>
        <w:t>Renewal; Replacement Letters of Credit.</w:t>
      </w:r>
    </w:p>
    <w:p>
      <w:pPr>
        <w:spacing w:after="0" w:line="73"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4"/>
          <w:szCs w:val="14"/>
          <w:color w:val="231F20"/>
        </w:rPr>
        <w:t>Subtenant shall cause the Letter of Credit to be continuously maintained in effect (whether through renewal, extension, amendment, or the issuance of a replacement letter of credit meeting the requirements of this Section 7 (a “</w:t>
      </w:r>
      <w:r>
        <w:rPr>
          <w:rFonts w:ascii="Times New Roman" w:cs="Times New Roman" w:eastAsia="Times New Roman" w:hAnsi="Times New Roman"/>
          <w:sz w:val="14"/>
          <w:szCs w:val="14"/>
          <w:b w:val="1"/>
          <w:bCs w:val="1"/>
          <w:color w:val="231F20"/>
        </w:rPr>
        <w:t>Replacement Letter of Credit</w:t>
      </w:r>
      <w:r>
        <w:rPr>
          <w:rFonts w:ascii="Times New Roman" w:cs="Times New Roman" w:eastAsia="Times New Roman" w:hAnsi="Times New Roman"/>
          <w:sz w:val="14"/>
          <w:szCs w:val="14"/>
          <w:color w:val="231F20"/>
        </w:rPr>
        <w:t>”)) from the date of its initial issuance through the date (the “</w:t>
      </w:r>
      <w:r>
        <w:rPr>
          <w:rFonts w:ascii="Times New Roman" w:cs="Times New Roman" w:eastAsia="Times New Roman" w:hAnsi="Times New Roman"/>
          <w:sz w:val="14"/>
          <w:szCs w:val="14"/>
          <w:b w:val="1"/>
          <w:bCs w:val="1"/>
          <w:color w:val="231F20"/>
        </w:rPr>
        <w:t>Final Letter of Credit Expiration Date</w:t>
      </w:r>
      <w:r>
        <w:rPr>
          <w:rFonts w:ascii="Times New Roman" w:cs="Times New Roman" w:eastAsia="Times New Roman" w:hAnsi="Times New Roman"/>
          <w:sz w:val="14"/>
          <w:szCs w:val="14"/>
          <w:color w:val="231F20"/>
        </w:rPr>
        <w:t>”) that is sixty (60) days after the scheduled (or, if earlier, actual) Expiration Date of the Term. Without limiting the generality of the foregoing:</w:t>
      </w:r>
    </w:p>
    <w:p>
      <w:pPr>
        <w:spacing w:after="0" w:line="36" w:lineRule="exact"/>
        <w:rPr>
          <w:sz w:val="20"/>
          <w:szCs w:val="20"/>
          <w:color w:val="auto"/>
        </w:rPr>
      </w:pPr>
    </w:p>
    <w:p>
      <w:pPr>
        <w:jc w:val="both"/>
        <w:ind w:right="20" w:firstLine="432"/>
        <w:spacing w:after="0" w:line="187" w:lineRule="exact"/>
        <w:rPr>
          <w:sz w:val="20"/>
          <w:szCs w:val="20"/>
          <w:color w:val="auto"/>
        </w:rPr>
      </w:pPr>
      <w:r>
        <w:rPr>
          <w:rFonts w:ascii="Times New Roman" w:cs="Times New Roman" w:eastAsia="Times New Roman" w:hAnsi="Times New Roman"/>
          <w:sz w:val="14"/>
          <w:szCs w:val="14"/>
          <w:color w:val="231F20"/>
        </w:rPr>
        <w:t>If the Issuing Bank notifies Sublandlord that it will not renew or extend the Letter of Credit beyond its then</w:t>
      </w:r>
      <w:r>
        <w:rPr>
          <w:rFonts w:ascii="MS PGothic" w:cs="MS PGothic" w:eastAsia="MS PGothic" w:hAnsi="MS PGothic"/>
          <w:sz w:val="14"/>
          <w:szCs w:val="14"/>
          <w:color w:val="231F20"/>
        </w:rPr>
        <w:t>‑</w:t>
      </w:r>
      <w:r>
        <w:rPr>
          <w:rFonts w:ascii="Times New Roman" w:cs="Times New Roman" w:eastAsia="Times New Roman" w:hAnsi="Times New Roman"/>
          <w:sz w:val="14"/>
          <w:szCs w:val="14"/>
          <w:color w:val="231F20"/>
        </w:rPr>
        <w:t>current expiration date, Subtenant shall, not later than thirty (30) days prior to such expiration date, deliver to Sublandlord a Replacement Letter of Credit that satisfies the requirements of this Section 7.</w:t>
      </w:r>
    </w:p>
    <w:p>
      <w:pPr>
        <w:spacing w:after="0" w:line="194" w:lineRule="exact"/>
        <w:rPr>
          <w:sz w:val="20"/>
          <w:szCs w:val="20"/>
          <w:color w:val="auto"/>
        </w:rPr>
      </w:pPr>
    </w:p>
    <w:p>
      <w:pPr>
        <w:jc w:val="both"/>
        <w:ind w:firstLine="432"/>
        <w:spacing w:after="0" w:line="174" w:lineRule="exact"/>
        <w:rPr>
          <w:sz w:val="20"/>
          <w:szCs w:val="20"/>
          <w:color w:val="auto"/>
        </w:rPr>
      </w:pPr>
      <w:r>
        <w:rPr>
          <w:rFonts w:ascii="Times New Roman" w:cs="Times New Roman" w:eastAsia="Times New Roman" w:hAnsi="Times New Roman"/>
          <w:sz w:val="14"/>
          <w:szCs w:val="14"/>
          <w:color w:val="231F20"/>
        </w:rPr>
        <w:t>If Subtenant fails to timely deliver a Replacement Letter of Credit as required herein, Sublandlord shall have the right, in addition to any other rights and remedies hereunder, to draw upon the full, then</w:t>
      </w:r>
      <w:r>
        <w:rPr>
          <w:rFonts w:ascii="MS PGothic" w:cs="MS PGothic" w:eastAsia="MS PGothic" w:hAnsi="MS PGothic"/>
          <w:sz w:val="14"/>
          <w:szCs w:val="14"/>
          <w:color w:val="231F20"/>
        </w:rPr>
        <w:t>‑</w:t>
      </w:r>
      <w:r>
        <w:rPr>
          <w:rFonts w:ascii="Times New Roman" w:cs="Times New Roman" w:eastAsia="Times New Roman" w:hAnsi="Times New Roman"/>
          <w:sz w:val="14"/>
          <w:szCs w:val="14"/>
          <w:color w:val="231F20"/>
        </w:rPr>
        <w:t>remaining Letter of Credit Amount and to hold the proceeds as a cash security deposit, which shall thereafter be governed by the provisions of this Section 7 applicable to cash security deposits (mutatis mutandis).</w:t>
      </w:r>
    </w:p>
    <w:p>
      <w:pPr>
        <w:spacing w:after="0" w:line="4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4"/>
          <w:szCs w:val="14"/>
          <w:color w:val="231F20"/>
        </w:rPr>
        <w:t>Any Replacement Letter of Credit shall be in the Letter of Credit Amount, shall name Sublandlord (or such other beneficiary as Sublandlord may reasonably designate) as the beneficiary, and shall otherwise comply with all of the terms and conditions of this Section 7. Upon Sublandlord’s receipt of any Replacement Letter of Credit that complies with this Section 7, Sublandlord shall promptly surrender the replaced Letter of Credit (or the remaining portion thereof then held by Sublandlord and not previously drawn) to the Issuing Bank for cancellation.</w:t>
      </w:r>
    </w:p>
    <w:p>
      <w:pPr>
        <w:sectPr>
          <w:pgSz w:w="11900" w:h="16838" w:orient="portrait"/>
          <w:cols w:equalWidth="0" w:num="1">
            <w:col w:w="9580"/>
          </w:cols>
          <w:pgMar w:left="1160" w:top="751" w:right="1159" w:bottom="1440" w:gutter="0" w:footer="0" w:header="0"/>
        </w:sectPr>
      </w:pPr>
    </w:p>
    <w:p>
      <w:pPr>
        <w:spacing w:after="0" w:line="3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231F20"/>
        </w:rPr>
        <w:t>7.3</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Sublandlord’s Rights to Draw; Application of Proceeds.</w:t>
      </w:r>
    </w:p>
    <w:p>
      <w:pPr>
        <w:spacing w:after="0" w:line="73" w:lineRule="exact"/>
        <w:rPr>
          <w:sz w:val="20"/>
          <w:szCs w:val="20"/>
          <w:color w:val="auto"/>
        </w:rPr>
      </w:pPr>
    </w:p>
    <w:p>
      <w:pPr>
        <w:sectPr>
          <w:pgSz w:w="11900" w:h="16838" w:orient="portrait"/>
          <w:cols w:equalWidth="0" w:num="2">
            <w:col w:w="1040" w:space="600"/>
            <w:col w:w="7940"/>
          </w:cols>
          <w:pgMar w:left="1160" w:top="751" w:right="1159" w:bottom="1440" w:gutter="0" w:footer="0" w:header="0"/>
          <w:type w:val="continuous"/>
        </w:sectPr>
      </w:pPr>
    </w:p>
    <w:p>
      <w:pPr>
        <w:ind w:left="420"/>
        <w:spacing w:after="0"/>
        <w:tabs>
          <w:tab w:leader="none" w:pos="900" w:val="left"/>
          <w:tab w:leader="none" w:pos="1500" w:val="left"/>
          <w:tab w:leader="none" w:pos="1880" w:val="left"/>
          <w:tab w:leader="none" w:pos="2500" w:val="left"/>
          <w:tab w:leader="none" w:pos="3020" w:val="left"/>
          <w:tab w:leader="none" w:pos="3480" w:val="left"/>
          <w:tab w:leader="none" w:pos="4260" w:val="left"/>
          <w:tab w:leader="none" w:pos="4980" w:val="left"/>
          <w:tab w:leader="none" w:pos="5500" w:val="left"/>
          <w:tab w:leader="none" w:pos="5960" w:val="left"/>
          <w:tab w:leader="none" w:pos="6400" w:val="left"/>
          <w:tab w:leader="none" w:pos="6880" w:val="left"/>
          <w:tab w:leader="none" w:pos="7420" w:val="left"/>
          <w:tab w:leader="none" w:pos="7880" w:val="left"/>
          <w:tab w:leader="none" w:pos="8280" w:val="left"/>
          <w:tab w:leader="none" w:pos="9000" w:val="left"/>
          <w:tab w:leader="none" w:pos="9380" w:val="left"/>
        </w:tabs>
        <w:rPr>
          <w:sz w:val="20"/>
          <w:szCs w:val="20"/>
          <w:color w:val="auto"/>
        </w:rPr>
      </w:pPr>
      <w:r>
        <w:rPr>
          <w:rFonts w:ascii="Times New Roman" w:cs="Times New Roman" w:eastAsia="Times New Roman" w:hAnsi="Times New Roman"/>
          <w:sz w:val="14"/>
          <w:szCs w:val="14"/>
          <w:color w:val="231F20"/>
        </w:rPr>
        <w:t>The</w:t>
      </w:r>
      <w:r>
        <w:rPr>
          <w:sz w:val="20"/>
          <w:szCs w:val="20"/>
          <w:color w:val="auto"/>
        </w:rPr>
        <w:tab/>
      </w:r>
      <w:r>
        <w:rPr>
          <w:rFonts w:ascii="Times New Roman" w:cs="Times New Roman" w:eastAsia="Times New Roman" w:hAnsi="Times New Roman"/>
          <w:sz w:val="14"/>
          <w:szCs w:val="14"/>
          <w:color w:val="231F20"/>
        </w:rPr>
        <w:t>Letter</w:t>
      </w:r>
      <w:r>
        <w:rPr>
          <w:sz w:val="20"/>
          <w:szCs w:val="20"/>
          <w:color w:val="auto"/>
        </w:rPr>
        <w:tab/>
      </w:r>
      <w:r>
        <w:rPr>
          <w:rFonts w:ascii="Times New Roman" w:cs="Times New Roman" w:eastAsia="Times New Roman" w:hAnsi="Times New Roman"/>
          <w:sz w:val="14"/>
          <w:szCs w:val="14"/>
          <w:color w:val="231F20"/>
        </w:rPr>
        <w:t>of</w:t>
      </w:r>
      <w:r>
        <w:rPr>
          <w:sz w:val="20"/>
          <w:szCs w:val="20"/>
          <w:color w:val="auto"/>
        </w:rPr>
        <w:tab/>
      </w:r>
      <w:r>
        <w:rPr>
          <w:rFonts w:ascii="Times New Roman" w:cs="Times New Roman" w:eastAsia="Times New Roman" w:hAnsi="Times New Roman"/>
          <w:sz w:val="14"/>
          <w:szCs w:val="14"/>
          <w:color w:val="231F20"/>
        </w:rPr>
        <w:t>Credit</w:t>
      </w:r>
      <w:r>
        <w:rPr>
          <w:sz w:val="20"/>
          <w:szCs w:val="20"/>
          <w:color w:val="auto"/>
        </w:rPr>
        <w:tab/>
      </w:r>
      <w:r>
        <w:rPr>
          <w:rFonts w:ascii="Times New Roman" w:cs="Times New Roman" w:eastAsia="Times New Roman" w:hAnsi="Times New Roman"/>
          <w:sz w:val="14"/>
          <w:szCs w:val="14"/>
          <w:color w:val="231F20"/>
        </w:rPr>
        <w:t>(and</w:t>
      </w:r>
      <w:r>
        <w:rPr>
          <w:sz w:val="20"/>
          <w:szCs w:val="20"/>
          <w:color w:val="auto"/>
        </w:rPr>
        <w:tab/>
      </w:r>
      <w:r>
        <w:rPr>
          <w:rFonts w:ascii="Times New Roman" w:cs="Times New Roman" w:eastAsia="Times New Roman" w:hAnsi="Times New Roman"/>
          <w:sz w:val="14"/>
          <w:szCs w:val="14"/>
          <w:color w:val="231F20"/>
        </w:rPr>
        <w:t>any</w:t>
      </w:r>
      <w:r>
        <w:rPr>
          <w:sz w:val="20"/>
          <w:szCs w:val="20"/>
          <w:color w:val="auto"/>
        </w:rPr>
        <w:tab/>
      </w:r>
      <w:r>
        <w:rPr>
          <w:rFonts w:ascii="Times New Roman" w:cs="Times New Roman" w:eastAsia="Times New Roman" w:hAnsi="Times New Roman"/>
          <w:sz w:val="14"/>
          <w:szCs w:val="14"/>
          <w:color w:val="231F20"/>
        </w:rPr>
        <w:t>proceeds</w:t>
      </w:r>
      <w:r>
        <w:rPr>
          <w:sz w:val="20"/>
          <w:szCs w:val="20"/>
          <w:color w:val="auto"/>
        </w:rPr>
        <w:tab/>
      </w:r>
      <w:r>
        <w:rPr>
          <w:rFonts w:ascii="Times New Roman" w:cs="Times New Roman" w:eastAsia="Times New Roman" w:hAnsi="Times New Roman"/>
          <w:sz w:val="14"/>
          <w:szCs w:val="14"/>
          <w:color w:val="231F20"/>
        </w:rPr>
        <w:t>thereof)</w:t>
      </w:r>
      <w:r>
        <w:rPr>
          <w:sz w:val="20"/>
          <w:szCs w:val="20"/>
          <w:color w:val="auto"/>
        </w:rPr>
        <w:tab/>
      </w:r>
      <w:r>
        <w:rPr>
          <w:rFonts w:ascii="Times New Roman" w:cs="Times New Roman" w:eastAsia="Times New Roman" w:hAnsi="Times New Roman"/>
          <w:sz w:val="14"/>
          <w:szCs w:val="14"/>
          <w:color w:val="231F20"/>
        </w:rPr>
        <w:t>shall</w:t>
      </w:r>
      <w:r>
        <w:rPr>
          <w:sz w:val="20"/>
          <w:szCs w:val="20"/>
          <w:color w:val="auto"/>
        </w:rPr>
        <w:tab/>
      </w:r>
      <w:r>
        <w:rPr>
          <w:rFonts w:ascii="Times New Roman" w:cs="Times New Roman" w:eastAsia="Times New Roman" w:hAnsi="Times New Roman"/>
          <w:sz w:val="14"/>
          <w:szCs w:val="14"/>
          <w:color w:val="231F20"/>
        </w:rPr>
        <w:t>not</w:t>
      </w:r>
      <w:r>
        <w:rPr>
          <w:sz w:val="20"/>
          <w:szCs w:val="20"/>
          <w:color w:val="auto"/>
        </w:rPr>
        <w:tab/>
      </w:r>
      <w:r>
        <w:rPr>
          <w:rFonts w:ascii="Times New Roman" w:cs="Times New Roman" w:eastAsia="Times New Roman" w:hAnsi="Times New Roman"/>
          <w:sz w:val="14"/>
          <w:szCs w:val="14"/>
          <w:color w:val="231F20"/>
        </w:rPr>
        <w:t>be,</w:t>
      </w:r>
      <w:r>
        <w:rPr>
          <w:sz w:val="20"/>
          <w:szCs w:val="20"/>
          <w:color w:val="auto"/>
        </w:rPr>
        <w:tab/>
      </w:r>
      <w:r>
        <w:rPr>
          <w:rFonts w:ascii="Times New Roman" w:cs="Times New Roman" w:eastAsia="Times New Roman" w:hAnsi="Times New Roman"/>
          <w:sz w:val="14"/>
          <w:szCs w:val="14"/>
          <w:color w:val="231F20"/>
        </w:rPr>
        <w:t>and</w:t>
      </w:r>
      <w:r>
        <w:rPr>
          <w:sz w:val="20"/>
          <w:szCs w:val="20"/>
          <w:color w:val="auto"/>
        </w:rPr>
        <w:tab/>
      </w:r>
      <w:r>
        <w:rPr>
          <w:rFonts w:ascii="Times New Roman" w:cs="Times New Roman" w:eastAsia="Times New Roman" w:hAnsi="Times New Roman"/>
          <w:sz w:val="14"/>
          <w:szCs w:val="14"/>
          <w:color w:val="231F20"/>
        </w:rPr>
        <w:t>shall</w:t>
      </w:r>
      <w:r>
        <w:rPr>
          <w:sz w:val="20"/>
          <w:szCs w:val="20"/>
          <w:color w:val="auto"/>
        </w:rPr>
        <w:tab/>
      </w:r>
      <w:r>
        <w:rPr>
          <w:rFonts w:ascii="Times New Roman" w:cs="Times New Roman" w:eastAsia="Times New Roman" w:hAnsi="Times New Roman"/>
          <w:sz w:val="14"/>
          <w:szCs w:val="14"/>
          <w:color w:val="231F20"/>
        </w:rPr>
        <w:t>not</w:t>
      </w:r>
      <w:r>
        <w:rPr>
          <w:sz w:val="20"/>
          <w:szCs w:val="20"/>
          <w:color w:val="auto"/>
        </w:rPr>
        <w:tab/>
      </w:r>
      <w:r>
        <w:rPr>
          <w:rFonts w:ascii="Times New Roman" w:cs="Times New Roman" w:eastAsia="Times New Roman" w:hAnsi="Times New Roman"/>
          <w:sz w:val="14"/>
          <w:szCs w:val="14"/>
          <w:color w:val="231F20"/>
        </w:rPr>
        <w:t>be</w:t>
      </w:r>
      <w:r>
        <w:rPr>
          <w:sz w:val="20"/>
          <w:szCs w:val="20"/>
          <w:color w:val="auto"/>
        </w:rPr>
        <w:tab/>
      </w:r>
      <w:r>
        <w:rPr>
          <w:rFonts w:ascii="Times New Roman" w:cs="Times New Roman" w:eastAsia="Times New Roman" w:hAnsi="Times New Roman"/>
          <w:sz w:val="14"/>
          <w:szCs w:val="14"/>
          <w:color w:val="231F20"/>
        </w:rPr>
        <w:t>deemed</w:t>
      </w:r>
      <w:r>
        <w:rPr>
          <w:sz w:val="20"/>
          <w:szCs w:val="20"/>
          <w:color w:val="auto"/>
        </w:rPr>
        <w:tab/>
      </w:r>
      <w:r>
        <w:rPr>
          <w:rFonts w:ascii="Times New Roman" w:cs="Times New Roman" w:eastAsia="Times New Roman" w:hAnsi="Times New Roman"/>
          <w:sz w:val="14"/>
          <w:szCs w:val="14"/>
          <w:color w:val="231F20"/>
        </w:rPr>
        <w:t>to</w:t>
      </w:r>
      <w:r>
        <w:rPr>
          <w:sz w:val="20"/>
          <w:szCs w:val="20"/>
          <w:color w:val="auto"/>
        </w:rPr>
        <w:tab/>
      </w:r>
      <w:r>
        <w:rPr>
          <w:rFonts w:ascii="Times New Roman" w:cs="Times New Roman" w:eastAsia="Times New Roman" w:hAnsi="Times New Roman"/>
          <w:sz w:val="14"/>
          <w:szCs w:val="14"/>
          <w:color w:val="231F20"/>
        </w:rPr>
        <w:t>be,</w:t>
      </w:r>
    </w:p>
    <w:p>
      <w:pPr>
        <w:sectPr>
          <w:pgSz w:w="11900" w:h="16838" w:orient="portrait"/>
          <w:cols w:equalWidth="0" w:num="1">
            <w:col w:w="9580"/>
          </w:cols>
          <w:pgMar w:left="1160" w:top="751" w:right="1159" w:bottom="1440" w:gutter="0" w:footer="0" w:header="0"/>
          <w:type w:val="continuous"/>
        </w:sectPr>
      </w:pPr>
    </w:p>
    <w:p>
      <w:pPr>
        <w:spacing w:after="0" w:line="2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231F20"/>
        </w:rPr>
        <w:t>an advance payment of Rent or a measure or limitation of Sublandlord’s damages for any Default by Subtenant under this Sublease. Sublandlord may draw upon the Letter of Credit, from time to time, without waiving any other remedy available to Sublandlord, in whole or in part, only upon the occurrence and continuance of a Default by Subtenant under this Sublease, and then only to the extent reasonably necessary to:</w:t>
      </w:r>
    </w:p>
    <w:p>
      <w:pPr>
        <w:spacing w:after="0" w:line="28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141605</wp:posOffset>
            </wp:positionV>
            <wp:extent cx="694055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6940550" cy="42545"/>
                    </a:xfrm>
                    <a:prstGeom prst="rect">
                      <a:avLst/>
                    </a:prstGeom>
                    <a:noFill/>
                  </pic:spPr>
                </pic:pic>
              </a:graphicData>
            </a:graphic>
          </wp:anchor>
        </w:drawing>
      </w:r>
    </w:p>
    <w:p>
      <w:pPr>
        <w:sectPr>
          <w:pgSz w:w="11900" w:h="16838" w:orient="portrait"/>
          <w:cols w:equalWidth="0" w:num="1">
            <w:col w:w="9580"/>
          </w:cols>
          <w:pgMar w:left="1160" w:top="751" w:right="1159" w:bottom="1440" w:gutter="0" w:footer="0" w:header="0"/>
          <w:type w:val="continuous"/>
        </w:sectPr>
      </w:pPr>
    </w:p>
    <w:bookmarkStart w:id="57" w:name="page58"/>
    <w:bookmarkEnd w:id="57"/>
    <w:p>
      <w:pPr>
        <w:ind w:left="2180" w:hanging="888"/>
        <w:spacing w:after="0"/>
        <w:tabs>
          <w:tab w:leader="none" w:pos="2180" w:val="left"/>
        </w:tabs>
        <w:numPr>
          <w:ilvl w:val="0"/>
          <w:numId w:val="2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pay any Rent or other sums then due and payable by Subtenant under this Sublease and not timely paid;</w:t>
      </w:r>
    </w:p>
    <w:p>
      <w:pPr>
        <w:spacing w:after="0" w:line="50" w:lineRule="exact"/>
        <w:rPr>
          <w:rFonts w:ascii="Times New Roman" w:cs="Times New Roman" w:eastAsia="Times New Roman" w:hAnsi="Times New Roman"/>
          <w:sz w:val="14"/>
          <w:szCs w:val="14"/>
          <w:color w:val="231F20"/>
        </w:rPr>
      </w:pPr>
    </w:p>
    <w:p>
      <w:pPr>
        <w:ind w:left="2220" w:hanging="940"/>
        <w:spacing w:after="0" w:line="161" w:lineRule="exact"/>
        <w:tabs>
          <w:tab w:leader="none" w:pos="2220" w:val="left"/>
        </w:tabs>
        <w:numPr>
          <w:ilvl w:val="0"/>
          <w:numId w:val="2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cure, on Subtenant’s behalf, any non</w:t>
      </w:r>
      <w:r>
        <w:rPr>
          <w:rFonts w:ascii="MS PGothic" w:cs="MS PGothic" w:eastAsia="MS PGothic" w:hAnsi="MS PGothic"/>
          <w:sz w:val="14"/>
          <w:szCs w:val="14"/>
          <w:color w:val="231F20"/>
        </w:rPr>
        <w:t>‑</w:t>
      </w:r>
      <w:r>
        <w:rPr>
          <w:rFonts w:ascii="Times New Roman" w:cs="Times New Roman" w:eastAsia="Times New Roman" w:hAnsi="Times New Roman"/>
          <w:sz w:val="14"/>
          <w:szCs w:val="14"/>
          <w:color w:val="231F20"/>
        </w:rPr>
        <w:t>monetary Default of Subtenant under this Sublease that Subtenant has failed to cure</w:t>
      </w:r>
    </w:p>
    <w:p>
      <w:pPr>
        <w:spacing w:after="0" w:line="48" w:lineRule="exact"/>
        <w:rPr>
          <w:rFonts w:ascii="Times New Roman" w:cs="Times New Roman" w:eastAsia="Times New Roman" w:hAnsi="Times New Roman"/>
          <w:sz w:val="14"/>
          <w:szCs w:val="14"/>
          <w:color w:val="231F20"/>
        </w:rPr>
      </w:pPr>
    </w:p>
    <w:p>
      <w:pPr>
        <w:spacing w:after="0"/>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within the applicable cure period;</w:t>
      </w:r>
    </w:p>
    <w:p>
      <w:pPr>
        <w:spacing w:after="0" w:line="57" w:lineRule="exact"/>
        <w:rPr>
          <w:rFonts w:ascii="Times New Roman" w:cs="Times New Roman" w:eastAsia="Times New Roman" w:hAnsi="Times New Roman"/>
          <w:sz w:val="14"/>
          <w:szCs w:val="14"/>
          <w:color w:val="231F20"/>
        </w:rPr>
      </w:pPr>
    </w:p>
    <w:p>
      <w:pPr>
        <w:ind w:right="20" w:firstLine="1292"/>
        <w:spacing w:after="0" w:line="282" w:lineRule="auto"/>
        <w:tabs>
          <w:tab w:leader="none" w:pos="2221" w:val="left"/>
        </w:tabs>
        <w:numPr>
          <w:ilvl w:val="0"/>
          <w:numId w:val="2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reimburse Sublandlord for any loss, cost, damage, expense or liability (including reasonable attorneys’ fees) incurred by Sublandlord as a result of Subtenant’s Default; and/or</w:t>
      </w:r>
    </w:p>
    <w:p>
      <w:pPr>
        <w:spacing w:after="0" w:line="18" w:lineRule="exact"/>
        <w:rPr>
          <w:sz w:val="20"/>
          <w:szCs w:val="20"/>
          <w:color w:val="auto"/>
        </w:rPr>
      </w:pPr>
    </w:p>
    <w:p>
      <w:pPr>
        <w:jc w:val="both"/>
        <w:ind w:right="20" w:firstLine="1284"/>
        <w:spacing w:after="0" w:line="191" w:lineRule="exact"/>
        <w:rPr>
          <w:sz w:val="20"/>
          <w:szCs w:val="20"/>
          <w:color w:val="auto"/>
        </w:rPr>
      </w:pPr>
      <w:r>
        <w:rPr>
          <w:rFonts w:ascii="Times New Roman" w:cs="Times New Roman" w:eastAsia="Times New Roman" w:hAnsi="Times New Roman"/>
          <w:sz w:val="14"/>
          <w:szCs w:val="14"/>
          <w:color w:val="231F20"/>
        </w:rPr>
        <w:t>(d) compensate Sublandlord for any other damages or amounts for which Subtenant is liable under this Sublease, including, without limitation, any post</w:t>
      </w:r>
      <w:r>
        <w:rPr>
          <w:rFonts w:ascii="MS PGothic" w:cs="MS PGothic" w:eastAsia="MS PGothic" w:hAnsi="MS PGothic"/>
          <w:sz w:val="14"/>
          <w:szCs w:val="14"/>
          <w:color w:val="231F20"/>
        </w:rPr>
        <w:t>‑</w:t>
      </w:r>
      <w:r>
        <w:rPr>
          <w:rFonts w:ascii="Times New Roman" w:cs="Times New Roman" w:eastAsia="Times New Roman" w:hAnsi="Times New Roman"/>
          <w:sz w:val="14"/>
          <w:szCs w:val="14"/>
          <w:color w:val="231F20"/>
        </w:rPr>
        <w:t>termination damages recoverable under California Civil Code Section 1951.2.</w:t>
      </w:r>
    </w:p>
    <w:p>
      <w:pPr>
        <w:spacing w:after="0" w:line="2" w:lineRule="exact"/>
        <w:rPr>
          <w:sz w:val="20"/>
          <w:szCs w:val="20"/>
          <w:color w:val="auto"/>
        </w:rPr>
      </w:pPr>
    </w:p>
    <w:p>
      <w:pPr>
        <w:jc w:val="both"/>
        <w:ind w:right="20" w:firstLine="432"/>
        <w:spacing w:after="0" w:line="191" w:lineRule="exact"/>
        <w:rPr>
          <w:sz w:val="20"/>
          <w:szCs w:val="20"/>
          <w:color w:val="auto"/>
        </w:rPr>
      </w:pPr>
      <w:r>
        <w:rPr>
          <w:rFonts w:ascii="Times New Roman" w:cs="Times New Roman" w:eastAsia="Times New Roman" w:hAnsi="Times New Roman"/>
          <w:sz w:val="14"/>
          <w:szCs w:val="14"/>
          <w:color w:val="231F20"/>
        </w:rPr>
        <w:t>Nothing herein shall limit Sublandlord’s right to draw upon the Letter of Credit to the extent necessary to avoid its expiration or non</w:t>
      </w:r>
      <w:r>
        <w:rPr>
          <w:rFonts w:ascii="MS PGothic" w:cs="MS PGothic" w:eastAsia="MS PGothic" w:hAnsi="MS PGothic"/>
          <w:sz w:val="14"/>
          <w:szCs w:val="14"/>
          <w:color w:val="231F20"/>
        </w:rPr>
        <w:t>‑</w:t>
      </w:r>
      <w:r>
        <w:rPr>
          <w:rFonts w:ascii="Times New Roman" w:cs="Times New Roman" w:eastAsia="Times New Roman" w:hAnsi="Times New Roman"/>
          <w:sz w:val="14"/>
          <w:szCs w:val="14"/>
          <w:color w:val="231F20"/>
        </w:rPr>
        <w:t>renewal in circumstances where Subtenant has failed to deliver a Replacement Letter of Credit as required by this Section 7.2.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9240" w:type="dxa"/>
            <w:vAlign w:val="bottom"/>
            <w:gridSpan w:val="21"/>
          </w:tcPr>
          <w:p>
            <w:pPr>
              <w:jc w:val="right"/>
              <w:spacing w:after="0"/>
              <w:rPr>
                <w:sz w:val="20"/>
                <w:szCs w:val="20"/>
                <w:color w:val="auto"/>
              </w:rPr>
            </w:pPr>
            <w:r>
              <w:rPr>
                <w:rFonts w:ascii="Times New Roman" w:cs="Times New Roman" w:eastAsia="Times New Roman" w:hAnsi="Times New Roman"/>
                <w:sz w:val="14"/>
                <w:szCs w:val="14"/>
                <w:color w:val="231F20"/>
              </w:rPr>
              <w:t>Any amounts drawn by Sublandlord under the Letter of Credit and not applied by Sublandlord at the time of such draw to the payment of sums then due to</w:t>
            </w:r>
          </w:p>
        </w:tc>
      </w:tr>
      <w:tr>
        <w:trPr>
          <w:trHeight w:val="162"/>
        </w:trPr>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color w:val="231F20"/>
              </w:rPr>
              <w:t>Sublandlord</w:t>
            </w:r>
          </w:p>
        </w:tc>
        <w:tc>
          <w:tcPr>
            <w:tcW w:w="16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231F20"/>
              </w:rPr>
              <w:t>hereunder   may   be</w:t>
            </w:r>
          </w:p>
        </w:tc>
        <w:tc>
          <w:tcPr>
            <w:tcW w:w="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231F20"/>
                <w:w w:val="99"/>
              </w:rPr>
              <w:t>held</w:t>
            </w: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231F20"/>
              </w:rPr>
              <w:t>by</w:t>
            </w:r>
          </w:p>
        </w:tc>
        <w:tc>
          <w:tcPr>
            <w:tcW w:w="76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Sublandlord</w:t>
            </w:r>
          </w:p>
        </w:tc>
        <w:tc>
          <w:tcPr>
            <w:tcW w:w="6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231F20"/>
              </w:rPr>
              <w:t>(without</w:t>
            </w:r>
          </w:p>
        </w:tc>
        <w:tc>
          <w:tcPr>
            <w:tcW w:w="66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231F20"/>
              </w:rPr>
              <w:t>interest)</w:t>
            </w:r>
          </w:p>
        </w:tc>
        <w:tc>
          <w:tcPr>
            <w:tcW w:w="160" w:type="dxa"/>
            <w:vAlign w:val="bottom"/>
          </w:tcPr>
          <w:p>
            <w:pPr>
              <w:spacing w:after="0"/>
              <w:rPr>
                <w:sz w:val="14"/>
                <w:szCs w:val="14"/>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as</w:t>
            </w: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231F20"/>
              </w:rPr>
              <w:t>a</w:t>
            </w:r>
          </w:p>
        </w:tc>
        <w:tc>
          <w:tcPr>
            <w:tcW w:w="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231F20"/>
              </w:rPr>
              <w:t>cash</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231F20"/>
              </w:rPr>
              <w:t>security</w:t>
            </w:r>
          </w:p>
        </w:tc>
        <w:tc>
          <w:tcPr>
            <w:tcW w:w="94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231F20"/>
              </w:rPr>
              <w:t>deposit   and</w:t>
            </w: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231F20"/>
              </w:rPr>
              <w:t>applied   from   time   to</w:t>
            </w:r>
          </w:p>
        </w:tc>
      </w:tr>
      <w:tr>
        <w:trPr>
          <w:trHeight w:val="162"/>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231F20"/>
              </w:rPr>
              <w:t>time</w:t>
            </w:r>
          </w:p>
        </w:tc>
        <w:tc>
          <w:tcPr>
            <w:tcW w:w="420" w:type="dxa"/>
            <w:vAlign w:val="bottom"/>
          </w:tcPr>
          <w:p>
            <w:pPr>
              <w:ind w:left="180"/>
              <w:spacing w:after="0"/>
              <w:rPr>
                <w:sz w:val="20"/>
                <w:szCs w:val="20"/>
                <w:color w:val="auto"/>
              </w:rPr>
            </w:pPr>
            <w:r>
              <w:rPr>
                <w:rFonts w:ascii="Times New Roman" w:cs="Times New Roman" w:eastAsia="Times New Roman" w:hAnsi="Times New Roman"/>
                <w:sz w:val="14"/>
                <w:szCs w:val="14"/>
                <w:color w:val="231F20"/>
              </w:rPr>
              <w:t>in</w:t>
            </w:r>
          </w:p>
        </w:tc>
        <w:tc>
          <w:tcPr>
            <w:tcW w:w="480" w:type="dxa"/>
            <w:vAlign w:val="bottom"/>
          </w:tcPr>
          <w:p>
            <w:pPr>
              <w:ind w:left="120"/>
              <w:spacing w:after="0"/>
              <w:rPr>
                <w:sz w:val="20"/>
                <w:szCs w:val="20"/>
                <w:color w:val="auto"/>
              </w:rPr>
            </w:pPr>
            <w:r>
              <w:rPr>
                <w:rFonts w:ascii="Times New Roman" w:cs="Times New Roman" w:eastAsia="Times New Roman" w:hAnsi="Times New Roman"/>
                <w:sz w:val="14"/>
                <w:szCs w:val="14"/>
                <w:color w:val="231F20"/>
              </w:rPr>
              <w:t>the</w:t>
            </w:r>
          </w:p>
        </w:tc>
        <w:tc>
          <w:tcPr>
            <w:tcW w:w="560" w:type="dxa"/>
            <w:vAlign w:val="bottom"/>
          </w:tcPr>
          <w:p>
            <w:pPr>
              <w:ind w:left="80"/>
              <w:spacing w:after="0"/>
              <w:rPr>
                <w:sz w:val="20"/>
                <w:szCs w:val="20"/>
                <w:color w:val="auto"/>
              </w:rPr>
            </w:pPr>
            <w:r>
              <w:rPr>
                <w:rFonts w:ascii="Times New Roman" w:cs="Times New Roman" w:eastAsia="Times New Roman" w:hAnsi="Times New Roman"/>
                <w:sz w:val="14"/>
                <w:szCs w:val="14"/>
                <w:color w:val="231F20"/>
              </w:rPr>
              <w:t>same</w:t>
            </w:r>
          </w:p>
        </w:tc>
        <w:tc>
          <w:tcPr>
            <w:tcW w:w="560" w:type="dxa"/>
            <w:vAlign w:val="bottom"/>
          </w:tcPr>
          <w:p>
            <w:pPr>
              <w:ind w:left="80"/>
              <w:spacing w:after="0"/>
              <w:rPr>
                <w:sz w:val="20"/>
                <w:szCs w:val="20"/>
                <w:color w:val="auto"/>
              </w:rPr>
            </w:pPr>
            <w:r>
              <w:rPr>
                <w:rFonts w:ascii="Times New Roman" w:cs="Times New Roman" w:eastAsia="Times New Roman" w:hAnsi="Times New Roman"/>
                <w:sz w:val="14"/>
                <w:szCs w:val="14"/>
                <w:color w:val="231F20"/>
              </w:rPr>
              <w:t>manner</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as</w:t>
            </w:r>
          </w:p>
        </w:tc>
        <w:tc>
          <w:tcPr>
            <w:tcW w:w="420" w:type="dxa"/>
            <w:vAlign w:val="bottom"/>
          </w:tcPr>
          <w:p>
            <w:pPr>
              <w:ind w:left="260"/>
              <w:spacing w:after="0"/>
              <w:rPr>
                <w:sz w:val="20"/>
                <w:szCs w:val="20"/>
                <w:color w:val="auto"/>
              </w:rPr>
            </w:pPr>
            <w:r>
              <w:rPr>
                <w:rFonts w:ascii="Times New Roman" w:cs="Times New Roman" w:eastAsia="Times New Roman" w:hAnsi="Times New Roman"/>
                <w:sz w:val="14"/>
                <w:szCs w:val="14"/>
                <w:color w:val="231F20"/>
                <w:w w:val="89"/>
              </w:rPr>
              <w:t>set</w:t>
            </w:r>
          </w:p>
        </w:tc>
        <w:tc>
          <w:tcPr>
            <w:tcW w:w="760" w:type="dxa"/>
            <w:vAlign w:val="bottom"/>
          </w:tcPr>
          <w:p>
            <w:pPr>
              <w:ind w:left="260"/>
              <w:spacing w:after="0"/>
              <w:rPr>
                <w:sz w:val="20"/>
                <w:szCs w:val="20"/>
                <w:color w:val="auto"/>
              </w:rPr>
            </w:pPr>
            <w:r>
              <w:rPr>
                <w:rFonts w:ascii="Times New Roman" w:cs="Times New Roman" w:eastAsia="Times New Roman" w:hAnsi="Times New Roman"/>
                <w:sz w:val="14"/>
                <w:szCs w:val="14"/>
                <w:color w:val="231F20"/>
              </w:rPr>
              <w:t>forth</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above.</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231F20"/>
              </w:rPr>
              <w:t>Sublandlord</w:t>
            </w: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231F20"/>
              </w:rPr>
              <w:t>shall</w:t>
            </w: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231F20"/>
                <w:w w:val="98"/>
              </w:rPr>
              <w:t>have</w:t>
            </w:r>
          </w:p>
        </w:tc>
        <w:tc>
          <w:tcPr>
            <w:tcW w:w="440" w:type="dxa"/>
            <w:vAlign w:val="bottom"/>
          </w:tcPr>
          <w:p>
            <w:pPr>
              <w:ind w:left="260"/>
              <w:spacing w:after="0"/>
              <w:rPr>
                <w:sz w:val="20"/>
                <w:szCs w:val="20"/>
                <w:color w:val="auto"/>
              </w:rPr>
            </w:pPr>
            <w:r>
              <w:rPr>
                <w:rFonts w:ascii="Times New Roman" w:cs="Times New Roman" w:eastAsia="Times New Roman" w:hAnsi="Times New Roman"/>
                <w:sz w:val="14"/>
                <w:szCs w:val="14"/>
                <w:color w:val="231F20"/>
              </w:rPr>
              <w:t>no</w:t>
            </w:r>
          </w:p>
        </w:tc>
        <w:tc>
          <w:tcPr>
            <w:tcW w:w="200" w:type="dxa"/>
            <w:vAlign w:val="bottom"/>
          </w:tcPr>
          <w:p>
            <w:pPr>
              <w:spacing w:after="0"/>
              <w:rPr>
                <w:sz w:val="14"/>
                <w:szCs w:val="14"/>
                <w:color w:val="auto"/>
              </w:rPr>
            </w:pPr>
          </w:p>
        </w:tc>
        <w:tc>
          <w:tcPr>
            <w:tcW w:w="7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231F20"/>
              </w:rPr>
              <w:t>obligation</w:t>
            </w:r>
          </w:p>
        </w:tc>
        <w:tc>
          <w:tcPr>
            <w:tcW w:w="52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to</w:t>
            </w: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keep</w:t>
            </w:r>
          </w:p>
        </w:tc>
        <w:tc>
          <w:tcPr>
            <w:tcW w:w="480" w:type="dxa"/>
            <w:vAlign w:val="bottom"/>
          </w:tcPr>
          <w:p>
            <w:pPr>
              <w:ind w:left="220"/>
              <w:spacing w:after="0"/>
              <w:rPr>
                <w:sz w:val="20"/>
                <w:szCs w:val="20"/>
                <w:color w:val="auto"/>
              </w:rPr>
            </w:pPr>
            <w:r>
              <w:rPr>
                <w:rFonts w:ascii="Times New Roman" w:cs="Times New Roman" w:eastAsia="Times New Roman" w:hAnsi="Times New Roman"/>
                <w:sz w:val="14"/>
                <w:szCs w:val="14"/>
                <w:color w:val="231F20"/>
              </w:rPr>
              <w:t>any</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such</w:t>
            </w:r>
          </w:p>
        </w:tc>
      </w:tr>
      <w:tr>
        <w:trPr>
          <w:trHeight w:val="188"/>
        </w:trPr>
        <w:tc>
          <w:tcPr>
            <w:tcW w:w="6240" w:type="dxa"/>
            <w:vAlign w:val="bottom"/>
            <w:gridSpan w:val="14"/>
          </w:tcPr>
          <w:p>
            <w:pPr>
              <w:spacing w:after="0"/>
              <w:rPr>
                <w:sz w:val="20"/>
                <w:szCs w:val="20"/>
                <w:color w:val="auto"/>
              </w:rPr>
            </w:pPr>
            <w:r>
              <w:rPr>
                <w:rFonts w:ascii="Times New Roman" w:cs="Times New Roman" w:eastAsia="Times New Roman" w:hAnsi="Times New Roman"/>
                <w:sz w:val="14"/>
                <w:szCs w:val="14"/>
                <w:color w:val="231F20"/>
              </w:rPr>
              <w:t>cash security deposit separate from its general funds, and Subtenant shall not be entitled to interest thereon.</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231F20"/>
              </w:rPr>
              <w:t>7.4</w:t>
            </w:r>
          </w:p>
        </w:tc>
        <w:tc>
          <w:tcPr>
            <w:tcW w:w="188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231F20"/>
              </w:rPr>
              <w:t>Restoration of Letter of Credit.</w:t>
            </w: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08"/>
        </w:trPr>
        <w:tc>
          <w:tcPr>
            <w:tcW w:w="34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color w:val="231F20"/>
              </w:rPr>
              <w:t>If</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231F20"/>
              </w:rPr>
              <w:t>Sublandlord</w:t>
            </w:r>
          </w:p>
        </w:tc>
        <w:tc>
          <w:tcPr>
            <w:tcW w:w="56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231F20"/>
              </w:rPr>
              <w:t>draws</w:t>
            </w:r>
          </w:p>
        </w:tc>
        <w:tc>
          <w:tcPr>
            <w:tcW w:w="34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upon</w:t>
            </w:r>
          </w:p>
        </w:tc>
        <w:tc>
          <w:tcPr>
            <w:tcW w:w="760" w:type="dxa"/>
            <w:vAlign w:val="bottom"/>
          </w:tcPr>
          <w:p>
            <w:pPr>
              <w:ind w:left="260"/>
              <w:spacing w:after="0"/>
              <w:rPr>
                <w:sz w:val="20"/>
                <w:szCs w:val="20"/>
                <w:color w:val="auto"/>
              </w:rPr>
            </w:pPr>
            <w:r>
              <w:rPr>
                <w:rFonts w:ascii="Times New Roman" w:cs="Times New Roman" w:eastAsia="Times New Roman" w:hAnsi="Times New Roman"/>
                <w:sz w:val="14"/>
                <w:szCs w:val="14"/>
                <w:color w:val="231F20"/>
              </w:rPr>
              <w:t>the</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Letter</w:t>
            </w:r>
          </w:p>
        </w:tc>
        <w:tc>
          <w:tcPr>
            <w:tcW w:w="66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of</w:t>
            </w:r>
          </w:p>
        </w:tc>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color w:val="231F20"/>
              </w:rPr>
              <w:t>Credit</w:t>
            </w:r>
          </w:p>
        </w:tc>
        <w:tc>
          <w:tcPr>
            <w:tcW w:w="220" w:type="dxa"/>
            <w:vAlign w:val="bottom"/>
          </w:tcPr>
          <w:p>
            <w:pPr>
              <w:spacing w:after="0"/>
              <w:rPr>
                <w:sz w:val="18"/>
                <w:szCs w:val="18"/>
                <w:color w:val="auto"/>
              </w:rPr>
            </w:pP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231F20"/>
              </w:rPr>
              <w:t>or</w:t>
            </w:r>
          </w:p>
        </w:tc>
        <w:tc>
          <w:tcPr>
            <w:tcW w:w="14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applies</w:t>
            </w:r>
          </w:p>
        </w:tc>
        <w:tc>
          <w:tcPr>
            <w:tcW w:w="20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any</w:t>
            </w: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color w:val="231F20"/>
                <w:w w:val="96"/>
              </w:rPr>
              <w:t>proceeds</w:t>
            </w:r>
          </w:p>
        </w:tc>
        <w:tc>
          <w:tcPr>
            <w:tcW w:w="340" w:type="dxa"/>
            <w:vAlign w:val="bottom"/>
          </w:tcPr>
          <w:p>
            <w:pPr>
              <w:spacing w:after="0"/>
              <w:rPr>
                <w:sz w:val="18"/>
                <w:szCs w:val="18"/>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4"/>
                <w:szCs w:val="14"/>
                <w:color w:val="231F20"/>
              </w:rPr>
              <w:t>thereof</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in</w:t>
            </w:r>
          </w:p>
        </w:tc>
      </w:tr>
      <w:tr>
        <w:trPr>
          <w:trHeight w:val="162"/>
        </w:trPr>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color w:val="231F20"/>
              </w:rPr>
              <w:t>accordance</w:t>
            </w:r>
          </w:p>
        </w:tc>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231F20"/>
              </w:rPr>
              <w:t>with</w:t>
            </w:r>
          </w:p>
        </w:tc>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231F20"/>
              </w:rPr>
              <w:t>this</w:t>
            </w: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231F20"/>
              </w:rPr>
              <w:t>Section</w:t>
            </w: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231F20"/>
              </w:rPr>
              <w:t>7,</w:t>
            </w:r>
          </w:p>
        </w:tc>
        <w:tc>
          <w:tcPr>
            <w:tcW w:w="760" w:type="dxa"/>
            <w:vAlign w:val="bottom"/>
          </w:tcPr>
          <w:p>
            <w:pPr>
              <w:ind w:left="100"/>
              <w:spacing w:after="0"/>
              <w:rPr>
                <w:sz w:val="20"/>
                <w:szCs w:val="20"/>
                <w:color w:val="auto"/>
              </w:rPr>
            </w:pPr>
            <w:r>
              <w:rPr>
                <w:rFonts w:ascii="Times New Roman" w:cs="Times New Roman" w:eastAsia="Times New Roman" w:hAnsi="Times New Roman"/>
                <w:sz w:val="14"/>
                <w:szCs w:val="14"/>
                <w:color w:val="231F20"/>
              </w:rPr>
              <w:t>Subtenant</w:t>
            </w:r>
          </w:p>
        </w:tc>
        <w:tc>
          <w:tcPr>
            <w:tcW w:w="6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231F20"/>
              </w:rPr>
              <w:t>shall,</w:t>
            </w:r>
          </w:p>
        </w:tc>
        <w:tc>
          <w:tcPr>
            <w:tcW w:w="66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231F20"/>
              </w:rPr>
              <w:t>within</w:t>
            </w:r>
          </w:p>
        </w:tc>
        <w:tc>
          <w:tcPr>
            <w:tcW w:w="160" w:type="dxa"/>
            <w:vAlign w:val="bottom"/>
          </w:tcPr>
          <w:p>
            <w:pPr>
              <w:spacing w:after="0"/>
              <w:rPr>
                <w:sz w:val="14"/>
                <w:szCs w:val="14"/>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4"/>
                <w:szCs w:val="14"/>
                <w:color w:val="231F20"/>
                <w:w w:val="91"/>
              </w:rPr>
              <w:t>five</w:t>
            </w:r>
          </w:p>
        </w:tc>
        <w:tc>
          <w:tcPr>
            <w:tcW w:w="220" w:type="dxa"/>
            <w:vAlign w:val="bottom"/>
          </w:tcPr>
          <w:p>
            <w:pPr>
              <w:spacing w:after="0"/>
              <w:rPr>
                <w:sz w:val="14"/>
                <w:szCs w:val="14"/>
                <w:color w:val="auto"/>
              </w:rPr>
            </w:pP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231F20"/>
              </w:rPr>
              <w:t>(5)</w:t>
            </w:r>
          </w:p>
        </w:tc>
        <w:tc>
          <w:tcPr>
            <w:tcW w:w="14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231F20"/>
              </w:rPr>
              <w:t>business</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231F20"/>
              </w:rPr>
              <w:t>days</w:t>
            </w:r>
          </w:p>
        </w:tc>
        <w:tc>
          <w:tcPr>
            <w:tcW w:w="5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after</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231F20"/>
              </w:rPr>
              <w:t>written</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demand</w:t>
            </w:r>
          </w:p>
        </w:tc>
      </w:tr>
      <w:tr>
        <w:trPr>
          <w:trHeight w:val="178"/>
        </w:trPr>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color w:val="231F20"/>
              </w:rPr>
              <w:t>therefor,</w:t>
            </w:r>
          </w:p>
        </w:tc>
        <w:tc>
          <w:tcPr>
            <w:tcW w:w="48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deliver</w:t>
            </w:r>
          </w:p>
        </w:tc>
        <w:tc>
          <w:tcPr>
            <w:tcW w:w="560" w:type="dxa"/>
            <w:vAlign w:val="bottom"/>
          </w:tcPr>
          <w:p>
            <w:pPr>
              <w:ind w:left="300"/>
              <w:spacing w:after="0"/>
              <w:rPr>
                <w:sz w:val="20"/>
                <w:szCs w:val="20"/>
                <w:color w:val="auto"/>
              </w:rPr>
            </w:pPr>
            <w:r>
              <w:rPr>
                <w:rFonts w:ascii="Times New Roman" w:cs="Times New Roman" w:eastAsia="Times New Roman" w:hAnsi="Times New Roman"/>
                <w:sz w:val="14"/>
                <w:szCs w:val="14"/>
                <w:color w:val="231F20"/>
              </w:rPr>
              <w:t>to</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Sublandlord</w:t>
            </w:r>
          </w:p>
        </w:tc>
        <w:tc>
          <w:tcPr>
            <w:tcW w:w="420" w:type="dxa"/>
            <w:vAlign w:val="bottom"/>
          </w:tcPr>
          <w:p>
            <w:pPr>
              <w:ind w:left="320"/>
              <w:spacing w:after="0"/>
              <w:rPr>
                <w:sz w:val="20"/>
                <w:szCs w:val="20"/>
                <w:color w:val="auto"/>
              </w:rPr>
            </w:pPr>
            <w:r>
              <w:rPr>
                <w:rFonts w:ascii="Times New Roman" w:cs="Times New Roman" w:eastAsia="Times New Roman" w:hAnsi="Times New Roman"/>
                <w:sz w:val="14"/>
                <w:szCs w:val="14"/>
                <w:color w:val="231F20"/>
              </w:rPr>
              <w:t>a</w:t>
            </w: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231F20"/>
              </w:rPr>
              <w:t>Replacement</w:t>
            </w:r>
          </w:p>
        </w:tc>
        <w:tc>
          <w:tcPr>
            <w:tcW w:w="66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Letter</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of</w:t>
            </w:r>
          </w:p>
        </w:tc>
        <w:tc>
          <w:tcPr>
            <w:tcW w:w="32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color w:val="231F20"/>
              </w:rPr>
              <w:t>Credit</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231F20"/>
              </w:rPr>
              <w:t>(or</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an</w:t>
            </w: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231F20"/>
              </w:rPr>
              <w:t>amendment</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or</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reinstatement</w:t>
            </w:r>
          </w:p>
        </w:tc>
      </w:tr>
    </w:tbl>
    <w:p>
      <w:pPr>
        <w:jc w:val="both"/>
        <w:spacing w:after="0" w:line="168" w:lineRule="exact"/>
        <w:rPr>
          <w:sz w:val="20"/>
          <w:szCs w:val="20"/>
          <w:color w:val="auto"/>
        </w:rPr>
      </w:pPr>
      <w:r>
        <w:rPr>
          <w:rFonts w:ascii="Times New Roman" w:cs="Times New Roman" w:eastAsia="Times New Roman" w:hAnsi="Times New Roman"/>
          <w:sz w:val="14"/>
          <w:szCs w:val="14"/>
          <w:color w:val="231F20"/>
        </w:rPr>
        <w:t>of the existing Letter of Credit) in the Letter of Credit Amount; provided, however, Subtenant shall not be required to restore such amount, contingent that the Letter of Credit does not fall below seventy (70%) of the Letter of Credit Amount, that is then the subject of a good</w:t>
      </w:r>
      <w:r>
        <w:rPr>
          <w:rFonts w:ascii="MS PGothic" w:cs="MS PGothic" w:eastAsia="MS PGothic" w:hAnsi="MS PGothic"/>
          <w:sz w:val="14"/>
          <w:szCs w:val="14"/>
          <w:color w:val="231F20"/>
        </w:rPr>
        <w:t>‑</w:t>
      </w:r>
      <w:r>
        <w:rPr>
          <w:rFonts w:ascii="Times New Roman" w:cs="Times New Roman" w:eastAsia="Times New Roman" w:hAnsi="Times New Roman"/>
          <w:sz w:val="14"/>
          <w:szCs w:val="14"/>
          <w:color w:val="231F20"/>
        </w:rPr>
        <w:t>faith dispute between Sublandlord and Subtenant that has been timely raised by Subtenant in writing, accompanied by reasonable documentation, and is being pursued in good faith by the parties through negotiation, mediation, or other agreed dispute</w:t>
      </w:r>
      <w:r>
        <w:rPr>
          <w:rFonts w:ascii="MS PGothic" w:cs="MS PGothic" w:eastAsia="MS PGothic" w:hAnsi="MS PGothic"/>
          <w:sz w:val="14"/>
          <w:szCs w:val="14"/>
          <w:color w:val="231F20"/>
        </w:rPr>
        <w:t>‑</w:t>
      </w:r>
      <w:r>
        <w:rPr>
          <w:rFonts w:ascii="Times New Roman" w:cs="Times New Roman" w:eastAsia="Times New Roman" w:hAnsi="Times New Roman"/>
          <w:sz w:val="14"/>
          <w:szCs w:val="14"/>
          <w:color w:val="231F20"/>
        </w:rPr>
        <w:t>resolution process. Subtenant’s failure to timely restore the Letter of Credit to the required amount shall constitute an independent Default under this Sublease.</w:t>
      </w:r>
    </w:p>
    <w:p>
      <w:pPr>
        <w:spacing w:after="0" w:line="49" w:lineRule="exact"/>
        <w:rPr>
          <w:sz w:val="20"/>
          <w:szCs w:val="20"/>
          <w:color w:val="auto"/>
        </w:rPr>
      </w:pPr>
    </w:p>
    <w:p>
      <w:pPr>
        <w:ind w:left="860"/>
        <w:spacing w:after="0"/>
        <w:tabs>
          <w:tab w:leader="none" w:pos="1260" w:val="left"/>
        </w:tabs>
        <w:rPr>
          <w:sz w:val="20"/>
          <w:szCs w:val="20"/>
          <w:color w:val="auto"/>
        </w:rPr>
      </w:pPr>
      <w:r>
        <w:rPr>
          <w:rFonts w:ascii="Times New Roman" w:cs="Times New Roman" w:eastAsia="Times New Roman" w:hAnsi="Times New Roman"/>
          <w:sz w:val="14"/>
          <w:szCs w:val="14"/>
          <w:color w:val="231F20"/>
        </w:rPr>
        <w:t>7.5</w:t>
      </w:r>
      <w:r>
        <w:rPr>
          <w:sz w:val="20"/>
          <w:szCs w:val="20"/>
          <w:color w:val="auto"/>
        </w:rPr>
        <w:tab/>
      </w:r>
      <w:r>
        <w:rPr>
          <w:rFonts w:ascii="Times New Roman" w:cs="Times New Roman" w:eastAsia="Times New Roman" w:hAnsi="Times New Roman"/>
          <w:sz w:val="14"/>
          <w:szCs w:val="14"/>
          <w:color w:val="231F20"/>
        </w:rPr>
        <w:t>Transfer; Attornment.</w:t>
      </w:r>
    </w:p>
    <w:p>
      <w:pPr>
        <w:spacing w:after="0" w:line="73" w:lineRule="exact"/>
        <w:rPr>
          <w:sz w:val="20"/>
          <w:szCs w:val="20"/>
          <w:color w:val="auto"/>
        </w:rPr>
      </w:pPr>
    </w:p>
    <w:p>
      <w:pPr>
        <w:ind w:left="420"/>
        <w:spacing w:after="0"/>
        <w:tabs>
          <w:tab w:leader="none" w:pos="840" w:val="left"/>
          <w:tab w:leader="none" w:pos="1240" w:val="left"/>
          <w:tab w:leader="none" w:pos="1740" w:val="left"/>
          <w:tab w:leader="none" w:pos="2300" w:val="left"/>
          <w:tab w:leader="none" w:pos="2960" w:val="left"/>
          <w:tab w:leader="none" w:pos="3440" w:val="left"/>
          <w:tab w:leader="none" w:pos="4080" w:val="left"/>
          <w:tab w:leader="none" w:pos="5180" w:val="left"/>
          <w:tab w:leader="none" w:pos="5900" w:val="left"/>
          <w:tab w:leader="none" w:pos="6300" w:val="left"/>
          <w:tab w:leader="none" w:pos="6800" w:val="left"/>
          <w:tab w:leader="none" w:pos="7620" w:val="left"/>
          <w:tab w:leader="none" w:pos="8040" w:val="left"/>
          <w:tab w:leader="none" w:pos="8500" w:val="left"/>
          <w:tab w:leader="none" w:pos="9220" w:val="left"/>
        </w:tabs>
        <w:rPr>
          <w:sz w:val="20"/>
          <w:szCs w:val="20"/>
          <w:color w:val="auto"/>
        </w:rPr>
      </w:pPr>
      <w:r>
        <w:rPr>
          <w:rFonts w:ascii="Times New Roman" w:cs="Times New Roman" w:eastAsia="Times New Roman" w:hAnsi="Times New Roman"/>
          <w:sz w:val="14"/>
          <w:szCs w:val="14"/>
          <w:color w:val="231F20"/>
        </w:rPr>
        <w:t>If,</w:t>
      </w:r>
      <w:r>
        <w:rPr>
          <w:sz w:val="20"/>
          <w:szCs w:val="20"/>
          <w:color w:val="auto"/>
        </w:rPr>
        <w:tab/>
      </w:r>
      <w:r>
        <w:rPr>
          <w:rFonts w:ascii="Times New Roman" w:cs="Times New Roman" w:eastAsia="Times New Roman" w:hAnsi="Times New Roman"/>
          <w:sz w:val="14"/>
          <w:szCs w:val="14"/>
          <w:color w:val="231F20"/>
        </w:rPr>
        <w:t>at</w:t>
      </w:r>
      <w:r>
        <w:rPr>
          <w:sz w:val="20"/>
          <w:szCs w:val="20"/>
          <w:color w:val="auto"/>
        </w:rPr>
        <w:tab/>
      </w:r>
      <w:r>
        <w:rPr>
          <w:rFonts w:ascii="Times New Roman" w:cs="Times New Roman" w:eastAsia="Times New Roman" w:hAnsi="Times New Roman"/>
          <w:sz w:val="14"/>
          <w:szCs w:val="14"/>
          <w:color w:val="231F20"/>
        </w:rPr>
        <w:t>any</w:t>
      </w:r>
      <w:r>
        <w:rPr>
          <w:sz w:val="20"/>
          <w:szCs w:val="20"/>
          <w:color w:val="auto"/>
        </w:rPr>
        <w:tab/>
      </w:r>
      <w:r>
        <w:rPr>
          <w:rFonts w:ascii="Times New Roman" w:cs="Times New Roman" w:eastAsia="Times New Roman" w:hAnsi="Times New Roman"/>
          <w:sz w:val="14"/>
          <w:szCs w:val="14"/>
          <w:color w:val="231F20"/>
        </w:rPr>
        <w:t>time</w:t>
      </w:r>
      <w:r>
        <w:rPr>
          <w:sz w:val="20"/>
          <w:szCs w:val="20"/>
          <w:color w:val="auto"/>
        </w:rPr>
        <w:tab/>
      </w:r>
      <w:r>
        <w:rPr>
          <w:rFonts w:ascii="Times New Roman" w:cs="Times New Roman" w:eastAsia="Times New Roman" w:hAnsi="Times New Roman"/>
          <w:sz w:val="14"/>
          <w:szCs w:val="14"/>
          <w:color w:val="231F20"/>
        </w:rPr>
        <w:t>during</w:t>
      </w:r>
      <w:r>
        <w:rPr>
          <w:sz w:val="20"/>
          <w:szCs w:val="20"/>
          <w:color w:val="auto"/>
        </w:rPr>
        <w:tab/>
      </w:r>
      <w:r>
        <w:rPr>
          <w:rFonts w:ascii="Times New Roman" w:cs="Times New Roman" w:eastAsia="Times New Roman" w:hAnsi="Times New Roman"/>
          <w:sz w:val="14"/>
          <w:szCs w:val="14"/>
          <w:color w:val="231F20"/>
        </w:rPr>
        <w:t>the</w:t>
      </w:r>
      <w:r>
        <w:rPr>
          <w:sz w:val="20"/>
          <w:szCs w:val="20"/>
          <w:color w:val="auto"/>
        </w:rPr>
        <w:tab/>
      </w:r>
      <w:r>
        <w:rPr>
          <w:rFonts w:ascii="Times New Roman" w:cs="Times New Roman" w:eastAsia="Times New Roman" w:hAnsi="Times New Roman"/>
          <w:sz w:val="14"/>
          <w:szCs w:val="14"/>
          <w:color w:val="231F20"/>
        </w:rPr>
        <w:t>Term,</w:t>
      </w:r>
      <w:r>
        <w:rPr>
          <w:sz w:val="20"/>
          <w:szCs w:val="20"/>
          <w:color w:val="auto"/>
        </w:rPr>
        <w:tab/>
      </w:r>
      <w:r>
        <w:rPr>
          <w:rFonts w:ascii="Times New Roman" w:cs="Times New Roman" w:eastAsia="Times New Roman" w:hAnsi="Times New Roman"/>
          <w:sz w:val="14"/>
          <w:szCs w:val="14"/>
          <w:color w:val="231F20"/>
        </w:rPr>
        <w:t>Sublandlord’s</w:t>
      </w:r>
      <w:r>
        <w:rPr>
          <w:sz w:val="20"/>
          <w:szCs w:val="20"/>
          <w:color w:val="auto"/>
        </w:rPr>
        <w:tab/>
      </w:r>
      <w:r>
        <w:rPr>
          <w:rFonts w:ascii="Times New Roman" w:cs="Times New Roman" w:eastAsia="Times New Roman" w:hAnsi="Times New Roman"/>
          <w:sz w:val="14"/>
          <w:szCs w:val="14"/>
          <w:color w:val="231F20"/>
        </w:rPr>
        <w:t>interest</w:t>
      </w:r>
      <w:r>
        <w:rPr>
          <w:sz w:val="20"/>
          <w:szCs w:val="20"/>
          <w:color w:val="auto"/>
        </w:rPr>
        <w:tab/>
      </w:r>
      <w:r>
        <w:rPr>
          <w:rFonts w:ascii="Times New Roman" w:cs="Times New Roman" w:eastAsia="Times New Roman" w:hAnsi="Times New Roman"/>
          <w:sz w:val="14"/>
          <w:szCs w:val="14"/>
          <w:color w:val="231F20"/>
        </w:rPr>
        <w:t>in</w:t>
      </w:r>
      <w:r>
        <w:rPr>
          <w:sz w:val="20"/>
          <w:szCs w:val="20"/>
          <w:color w:val="auto"/>
        </w:rPr>
        <w:tab/>
      </w:r>
      <w:r>
        <w:rPr>
          <w:rFonts w:ascii="Times New Roman" w:cs="Times New Roman" w:eastAsia="Times New Roman" w:hAnsi="Times New Roman"/>
          <w:sz w:val="14"/>
          <w:szCs w:val="14"/>
          <w:color w:val="231F20"/>
        </w:rPr>
        <w:t>this</w:t>
      </w:r>
      <w:r>
        <w:rPr>
          <w:sz w:val="20"/>
          <w:szCs w:val="20"/>
          <w:color w:val="auto"/>
        </w:rPr>
        <w:tab/>
      </w:r>
      <w:r>
        <w:rPr>
          <w:rFonts w:ascii="Times New Roman" w:cs="Times New Roman" w:eastAsia="Times New Roman" w:hAnsi="Times New Roman"/>
          <w:sz w:val="14"/>
          <w:szCs w:val="14"/>
          <w:color w:val="231F20"/>
        </w:rPr>
        <w:t>Sublease</w:t>
      </w:r>
      <w:r>
        <w:rPr>
          <w:sz w:val="20"/>
          <w:szCs w:val="20"/>
          <w:color w:val="auto"/>
        </w:rPr>
        <w:tab/>
      </w:r>
      <w:r>
        <w:rPr>
          <w:rFonts w:ascii="Times New Roman" w:cs="Times New Roman" w:eastAsia="Times New Roman" w:hAnsi="Times New Roman"/>
          <w:sz w:val="14"/>
          <w:szCs w:val="14"/>
          <w:color w:val="231F20"/>
        </w:rPr>
        <w:t>or</w:t>
      </w:r>
      <w:r>
        <w:rPr>
          <w:sz w:val="20"/>
          <w:szCs w:val="20"/>
          <w:color w:val="auto"/>
        </w:rPr>
        <w:tab/>
      </w:r>
      <w:r>
        <w:rPr>
          <w:rFonts w:ascii="Times New Roman" w:cs="Times New Roman" w:eastAsia="Times New Roman" w:hAnsi="Times New Roman"/>
          <w:sz w:val="14"/>
          <w:szCs w:val="14"/>
          <w:color w:val="231F20"/>
        </w:rPr>
        <w:t>the</w:t>
      </w:r>
      <w:r>
        <w:rPr>
          <w:sz w:val="20"/>
          <w:szCs w:val="20"/>
          <w:color w:val="auto"/>
        </w:rPr>
        <w:tab/>
      </w:r>
      <w:r>
        <w:rPr>
          <w:rFonts w:ascii="Times New Roman" w:cs="Times New Roman" w:eastAsia="Times New Roman" w:hAnsi="Times New Roman"/>
          <w:sz w:val="14"/>
          <w:szCs w:val="14"/>
          <w:color w:val="231F20"/>
        </w:rPr>
        <w:t>Master</w:t>
      </w:r>
      <w:r>
        <w:rPr>
          <w:sz w:val="20"/>
          <w:szCs w:val="20"/>
          <w:color w:val="auto"/>
        </w:rPr>
        <w:tab/>
      </w:r>
      <w:r>
        <w:rPr>
          <w:rFonts w:ascii="Times New Roman" w:cs="Times New Roman" w:eastAsia="Times New Roman" w:hAnsi="Times New Roman"/>
          <w:sz w:val="13"/>
          <w:szCs w:val="13"/>
          <w:color w:val="231F20"/>
        </w:rPr>
        <w:t>Lease</w:t>
      </w:r>
    </w:p>
    <w:p>
      <w:pPr>
        <w:spacing w:after="0" w:line="17" w:lineRule="exact"/>
        <w:rPr>
          <w:sz w:val="20"/>
          <w:szCs w:val="20"/>
          <w:color w:val="auto"/>
        </w:rPr>
      </w:pPr>
    </w:p>
    <w:p>
      <w:pPr>
        <w:jc w:val="both"/>
        <w:spacing w:after="0" w:line="166" w:lineRule="exact"/>
        <w:rPr>
          <w:sz w:val="20"/>
          <w:szCs w:val="20"/>
          <w:color w:val="auto"/>
        </w:rPr>
      </w:pPr>
      <w:r>
        <w:rPr>
          <w:rFonts w:ascii="Times New Roman" w:cs="Times New Roman" w:eastAsia="Times New Roman" w:hAnsi="Times New Roman"/>
          <w:sz w:val="14"/>
          <w:szCs w:val="14"/>
          <w:color w:val="231F20"/>
        </w:rPr>
        <w:t>is transferred, assigned, or otherwise conveyed to any successor, including, without limitation, any successor landlord under the Master Lease following a direct attornment by Subtenant, Sublandlord shall have the right to transfer the Letter of Credit (and any cash security deposit then held in lieu thereof) to such successor, and upon such transfer, Sublandlord shall be released from all liability with respect thereto, provided that such successor assumes in writing Sublandlord’s obligations under this Section 7 accruing from and after the date of such transfer. Subtenant shall cooperate in good faith and at no material out</w:t>
      </w:r>
      <w:r>
        <w:rPr>
          <w:rFonts w:ascii="MS PGothic" w:cs="MS PGothic" w:eastAsia="MS PGothic" w:hAnsi="MS PGothic"/>
          <w:sz w:val="14"/>
          <w:szCs w:val="14"/>
          <w:color w:val="231F20"/>
        </w:rPr>
        <w:t>‑</w:t>
      </w:r>
      <w:r>
        <w:rPr>
          <w:rFonts w:ascii="Times New Roman" w:cs="Times New Roman" w:eastAsia="Times New Roman" w:hAnsi="Times New Roman"/>
          <w:sz w:val="14"/>
          <w:szCs w:val="14"/>
          <w:color w:val="231F20"/>
        </w:rPr>
        <w:t>of</w:t>
      </w:r>
      <w:r>
        <w:rPr>
          <w:rFonts w:ascii="MS PGothic" w:cs="MS PGothic" w:eastAsia="MS PGothic" w:hAnsi="MS PGothic"/>
          <w:sz w:val="14"/>
          <w:szCs w:val="14"/>
          <w:color w:val="231F20"/>
        </w:rPr>
        <w:t>‑</w:t>
      </w:r>
      <w:r>
        <w:rPr>
          <w:rFonts w:ascii="Times New Roman" w:cs="Times New Roman" w:eastAsia="Times New Roman" w:hAnsi="Times New Roman"/>
          <w:sz w:val="14"/>
          <w:szCs w:val="14"/>
          <w:color w:val="231F20"/>
        </w:rPr>
        <w:t>pocket cost to Subtenant with any reasonable request made by Sublandlord or the Issuing Bank in connection with any such transfer (including, without limitation, executing any customary transfer forms required by the Issuing Bank).</w:t>
      </w:r>
    </w:p>
    <w:p>
      <w:pPr>
        <w:spacing w:after="0" w:line="28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141605</wp:posOffset>
            </wp:positionV>
            <wp:extent cx="694055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6940550" cy="42545"/>
                    </a:xfrm>
                    <a:prstGeom prst="rect">
                      <a:avLst/>
                    </a:prstGeom>
                    <a:noFill/>
                  </pic:spPr>
                </pic:pic>
              </a:graphicData>
            </a:graphic>
          </wp:anchor>
        </w:drawing>
      </w:r>
    </w:p>
    <w:p>
      <w:pPr>
        <w:sectPr>
          <w:pgSz w:w="11900" w:h="16838" w:orient="portrait"/>
          <w:cols w:equalWidth="0" w:num="1">
            <w:col w:w="9580"/>
          </w:cols>
          <w:pgMar w:left="1160" w:top="751" w:right="1159" w:bottom="1440" w:gutter="0" w:footer="0" w:header="0"/>
        </w:sectPr>
      </w:pPr>
    </w:p>
    <w:bookmarkStart w:id="58" w:name="page59"/>
    <w:bookmarkEnd w:id="58"/>
    <w:p>
      <w:pPr>
        <w:ind w:firstLine="432"/>
        <w:spacing w:after="0" w:line="269" w:lineRule="auto"/>
        <w:rPr>
          <w:sz w:val="20"/>
          <w:szCs w:val="20"/>
          <w:color w:val="auto"/>
        </w:rPr>
      </w:pPr>
      <w:r>
        <w:rPr>
          <w:rFonts w:ascii="Times New Roman" w:cs="Times New Roman" w:eastAsia="Times New Roman" w:hAnsi="Times New Roman"/>
          <w:sz w:val="14"/>
          <w:szCs w:val="14"/>
          <w:color w:val="231F20"/>
        </w:rPr>
        <w:t>In the event that Subtenant attorns directly to Landlord or any successor landlord Master Lease and such party assumes Sublandlord’s obligations under this Sublease, Sublandlord shall cause Credit (or any Replacement Letter of Credit, or any cash security deposit then held in</w:t>
      </w:r>
    </w:p>
    <w:p>
      <w:pPr>
        <w:spacing w:after="0" w:line="20" w:lineRule="exact"/>
        <w:rPr>
          <w:sz w:val="20"/>
          <w:szCs w:val="20"/>
          <w:color w:val="auto"/>
        </w:rPr>
      </w:pPr>
      <w:r>
        <w:rPr>
          <w:sz w:val="20"/>
          <w:szCs w:val="20"/>
          <w:color w:val="auto"/>
        </w:rPr>
        <w:br w:type="column"/>
      </w:r>
    </w:p>
    <w:p>
      <w:pPr>
        <w:ind w:left="220"/>
        <w:spacing w:after="0"/>
        <w:tabs>
          <w:tab w:leader="none" w:pos="840" w:val="left"/>
        </w:tabs>
        <w:rPr>
          <w:sz w:val="20"/>
          <w:szCs w:val="20"/>
          <w:color w:val="auto"/>
        </w:rPr>
      </w:pPr>
      <w:r>
        <w:rPr>
          <w:rFonts w:ascii="Times New Roman" w:cs="Times New Roman" w:eastAsia="Times New Roman" w:hAnsi="Times New Roman"/>
          <w:sz w:val="14"/>
          <w:szCs w:val="14"/>
          <w:color w:val="231F20"/>
        </w:rPr>
        <w:t>under</w:t>
      </w:r>
      <w:r>
        <w:rPr>
          <w:sz w:val="20"/>
          <w:szCs w:val="20"/>
          <w:color w:val="auto"/>
        </w:rPr>
        <w:tab/>
      </w:r>
      <w:r>
        <w:rPr>
          <w:rFonts w:ascii="Times New Roman" w:cs="Times New Roman" w:eastAsia="Times New Roman" w:hAnsi="Times New Roman"/>
          <w:sz w:val="14"/>
          <w:szCs w:val="14"/>
          <w:color w:val="231F20"/>
        </w:rPr>
        <w:t>the</w:t>
      </w:r>
    </w:p>
    <w:p>
      <w:pPr>
        <w:spacing w:after="0" w:line="17" w:lineRule="exact"/>
        <w:rPr>
          <w:sz w:val="20"/>
          <w:szCs w:val="20"/>
          <w:color w:val="auto"/>
        </w:rPr>
      </w:pPr>
    </w:p>
    <w:p>
      <w:pPr>
        <w:spacing w:after="0"/>
        <w:tabs>
          <w:tab w:leader="none" w:pos="340" w:val="left"/>
          <w:tab w:leader="none" w:pos="900" w:val="left"/>
        </w:tabs>
        <w:rPr>
          <w:sz w:val="20"/>
          <w:szCs w:val="20"/>
          <w:color w:val="auto"/>
        </w:rPr>
      </w:pPr>
      <w:r>
        <w:rPr>
          <w:rFonts w:ascii="Times New Roman" w:cs="Times New Roman" w:eastAsia="Times New Roman" w:hAnsi="Times New Roman"/>
          <w:sz w:val="14"/>
          <w:szCs w:val="14"/>
          <w:color w:val="231F20"/>
        </w:rPr>
        <w:t>the</w:t>
        <w:tab/>
        <w:t>Letter</w:t>
        <w:tab/>
        <w:t>of</w:t>
      </w:r>
    </w:p>
    <w:p>
      <w:pPr>
        <w:spacing w:after="0" w:line="1" w:lineRule="exact"/>
        <w:rPr>
          <w:sz w:val="20"/>
          <w:szCs w:val="20"/>
          <w:color w:val="auto"/>
        </w:rPr>
      </w:pPr>
    </w:p>
    <w:p>
      <w:pPr>
        <w:ind w:left="60"/>
        <w:spacing w:after="0"/>
        <w:tabs>
          <w:tab w:leader="none" w:pos="560" w:val="left"/>
        </w:tabs>
        <w:rPr>
          <w:sz w:val="20"/>
          <w:szCs w:val="20"/>
          <w:color w:val="auto"/>
        </w:rPr>
      </w:pPr>
      <w:r>
        <w:rPr>
          <w:rFonts w:ascii="Times New Roman" w:cs="Times New Roman" w:eastAsia="Times New Roman" w:hAnsi="Times New Roman"/>
          <w:sz w:val="14"/>
          <w:szCs w:val="14"/>
          <w:color w:val="231F20"/>
        </w:rPr>
        <w:t>lieu</w:t>
      </w:r>
      <w:r>
        <w:rPr>
          <w:sz w:val="20"/>
          <w:szCs w:val="20"/>
          <w:color w:val="auto"/>
        </w:rPr>
        <w:tab/>
      </w:r>
      <w:r>
        <w:rPr>
          <w:rFonts w:ascii="Times New Roman" w:cs="Times New Roman" w:eastAsia="Times New Roman" w:hAnsi="Times New Roman"/>
          <w:sz w:val="14"/>
          <w:szCs w:val="14"/>
          <w:color w:val="231F20"/>
        </w:rPr>
        <w:t>thereof)</w:t>
      </w:r>
    </w:p>
    <w:p>
      <w:pPr>
        <w:spacing w:after="0" w:line="11" w:lineRule="exact"/>
        <w:rPr>
          <w:sz w:val="20"/>
          <w:szCs w:val="20"/>
          <w:color w:val="auto"/>
        </w:rPr>
      </w:pPr>
    </w:p>
    <w:p>
      <w:pPr>
        <w:sectPr>
          <w:pgSz w:w="11900" w:h="16838" w:orient="portrait"/>
          <w:cols w:equalWidth="0" w:num="2">
            <w:col w:w="8440" w:space="100"/>
            <w:col w:w="1040"/>
          </w:cols>
          <w:pgMar w:left="1160" w:top="751" w:right="1159" w:bottom="1440" w:gutter="0" w:footer="0" w:header="0"/>
        </w:sectPr>
      </w:pPr>
    </w:p>
    <w:p>
      <w:pPr>
        <w:spacing w:after="0"/>
        <w:rPr>
          <w:sz w:val="20"/>
          <w:szCs w:val="20"/>
          <w:color w:val="auto"/>
        </w:rPr>
      </w:pPr>
      <w:r>
        <w:rPr>
          <w:rFonts w:ascii="Times New Roman" w:cs="Times New Roman" w:eastAsia="Times New Roman" w:hAnsi="Times New Roman"/>
          <w:sz w:val="14"/>
          <w:szCs w:val="14"/>
          <w:color w:val="231F20"/>
        </w:rPr>
        <w:t>to be assigned and delivered to such successor, and such successor shall thereafter be deemed the “Sublandlord” for purposes of this Section 7.</w:t>
      </w:r>
    </w:p>
    <w:p>
      <w:pPr>
        <w:sectPr>
          <w:pgSz w:w="11900" w:h="16838" w:orient="portrait"/>
          <w:cols w:equalWidth="0" w:num="1">
            <w:col w:w="9580"/>
          </w:cols>
          <w:pgMar w:left="1160" w:top="751" w:right="1159" w:bottom="1440" w:gutter="0" w:footer="0" w:header="0"/>
          <w:type w:val="continuous"/>
        </w:sectPr>
      </w:pPr>
    </w:p>
    <w:p>
      <w:pPr>
        <w:spacing w:after="0" w:line="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231F20"/>
        </w:rPr>
        <w:t>7.6</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Return of Letter of Credit / Security Deposit.</w:t>
      </w:r>
    </w:p>
    <w:p>
      <w:pPr>
        <w:spacing w:after="0" w:line="73" w:lineRule="exact"/>
        <w:rPr>
          <w:sz w:val="20"/>
          <w:szCs w:val="20"/>
          <w:color w:val="auto"/>
        </w:rPr>
      </w:pPr>
    </w:p>
    <w:p>
      <w:pPr>
        <w:sectPr>
          <w:pgSz w:w="11900" w:h="16838" w:orient="portrait"/>
          <w:cols w:equalWidth="0" w:num="2">
            <w:col w:w="1040" w:space="600"/>
            <w:col w:w="7940"/>
          </w:cols>
          <w:pgMar w:left="1160" w:top="751" w:right="1159" w:bottom="1440" w:gutter="0" w:footer="0" w:header="0"/>
          <w:type w:val="continuous"/>
        </w:sectPr>
      </w:pPr>
    </w:p>
    <w:p>
      <w:pPr>
        <w:jc w:val="both"/>
        <w:ind w:firstLine="432"/>
        <w:spacing w:after="0" w:line="249" w:lineRule="auto"/>
        <w:rPr>
          <w:sz w:val="20"/>
          <w:szCs w:val="20"/>
          <w:color w:val="auto"/>
        </w:rPr>
      </w:pPr>
      <w:r>
        <w:rPr>
          <w:rFonts w:ascii="Times New Roman" w:cs="Times New Roman" w:eastAsia="Times New Roman" w:hAnsi="Times New Roman"/>
          <w:sz w:val="14"/>
          <w:szCs w:val="14"/>
          <w:color w:val="231F20"/>
        </w:rPr>
        <w:t>Provided that (a) Subtenant is not then in Default under this Sublease beyond any applicable notice and cure period, and (b) no Default then exists for which Sublandlord has given notice and which remains uncured, Sublandlord shall return the Letter of Credit (and any unapplied cash security deposit then held in lieu thereof) to Subtenant (or, at Subtenant’s written direction, to the Issuing Bank for cancellation) within sixty (60) days after the later of (i) the Expiration Date or earlier termination of this Sublease, and (ii) Subtenant’s delivery of vacant possession of the Subleased Premises in the condition required under this Sublease and the Master Lease. If Sublandlord holds a cash security deposit in lieu of a Letter of Credit at the end of the Term, Sublandlord’s obligations with respect to such security deposit shall be those of a debtor and not a trustee, and Subtenant shall not be entitled to interest thereon.</w:t>
      </w:r>
    </w:p>
    <w:p>
      <w:pPr>
        <w:spacing w:after="0" w:line="40" w:lineRule="exact"/>
        <w:rPr>
          <w:sz w:val="20"/>
          <w:szCs w:val="20"/>
          <w:color w:val="auto"/>
        </w:rPr>
      </w:pPr>
    </w:p>
    <w:p>
      <w:pPr>
        <w:ind w:left="860" w:hanging="432"/>
        <w:spacing w:after="0"/>
        <w:tabs>
          <w:tab w:leader="none" w:pos="860" w:val="left"/>
        </w:tabs>
        <w:numPr>
          <w:ilvl w:val="0"/>
          <w:numId w:val="21"/>
        </w:numPr>
        <w:rPr>
          <w:rFonts w:ascii="Times New Roman" w:cs="Times New Roman" w:eastAsia="Times New Roman" w:hAnsi="Times New Roman"/>
          <w:sz w:val="14"/>
          <w:szCs w:val="14"/>
          <w:b w:val="1"/>
          <w:bCs w:val="1"/>
          <w:color w:val="231F20"/>
        </w:rPr>
      </w:pPr>
      <w:r>
        <w:rPr>
          <w:rFonts w:ascii="Times New Roman" w:cs="Times New Roman" w:eastAsia="Times New Roman" w:hAnsi="Times New Roman"/>
          <w:sz w:val="14"/>
          <w:szCs w:val="14"/>
          <w:b w:val="1"/>
          <w:bCs w:val="1"/>
          <w:color w:val="231F20"/>
        </w:rPr>
        <w:t>OCCUPANCY OF PREMISES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231F20"/>
              </w:rPr>
              <w:t>8.1</w:t>
            </w:r>
          </w:p>
        </w:tc>
        <w:tc>
          <w:tcPr>
            <w:tcW w:w="81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Subtenant shall use and occupy the Subleased Premises solely in accordance with, and as permitted under, the terms of the Master</w:t>
            </w:r>
          </w:p>
        </w:tc>
      </w:tr>
      <w:tr>
        <w:trPr>
          <w:trHeight w:val="188"/>
        </w:trPr>
        <w:tc>
          <w:tcPr>
            <w:tcW w:w="9580" w:type="dxa"/>
            <w:vAlign w:val="bottom"/>
            <w:gridSpan w:val="2"/>
          </w:tcPr>
          <w:p>
            <w:pPr>
              <w:jc w:val="right"/>
              <w:ind w:right="3148"/>
              <w:spacing w:after="0"/>
              <w:rPr>
                <w:sz w:val="20"/>
                <w:szCs w:val="20"/>
                <w:color w:val="auto"/>
              </w:rPr>
            </w:pPr>
            <w:r>
              <w:rPr>
                <w:rFonts w:ascii="Times New Roman" w:cs="Times New Roman" w:eastAsia="Times New Roman" w:hAnsi="Times New Roman"/>
                <w:sz w:val="14"/>
                <w:szCs w:val="14"/>
                <w:color w:val="231F20"/>
              </w:rPr>
              <w:t>Lease and for no other purpose and shall strictly adhere to the restrictions on use set forth in the Master Lease.</w:t>
            </w:r>
          </w:p>
        </w:tc>
      </w:tr>
      <w:tr>
        <w:trPr>
          <w:trHeight w:val="224"/>
        </w:trPr>
        <w:tc>
          <w:tcPr>
            <w:tcW w:w="140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231F20"/>
              </w:rPr>
              <w:t>8.2</w:t>
            </w:r>
          </w:p>
        </w:tc>
        <w:tc>
          <w:tcPr>
            <w:tcW w:w="81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Subtenant agrees to conduct its business in a manner consistent with a professional office environment. Subtenant agrees to reasonably</w:t>
            </w:r>
          </w:p>
        </w:tc>
      </w:tr>
    </w:tbl>
    <w:p>
      <w:pPr>
        <w:jc w:val="both"/>
        <w:spacing w:after="0" w:line="249" w:lineRule="auto"/>
        <w:rPr>
          <w:sz w:val="20"/>
          <w:szCs w:val="20"/>
          <w:color w:val="auto"/>
        </w:rPr>
      </w:pPr>
      <w:r>
        <w:rPr>
          <w:rFonts w:ascii="Times New Roman" w:cs="Times New Roman" w:eastAsia="Times New Roman" w:hAnsi="Times New Roman"/>
          <w:sz w:val="14"/>
          <w:szCs w:val="14"/>
          <w:color w:val="231F20"/>
        </w:rPr>
        <w:t>cooperate with Landlord and Sublandlord with respect to the investigation and resolution of any safety or security issues that arise with regard to the Subleased Premises.</w:t>
      </w:r>
    </w:p>
    <w:p>
      <w:pPr>
        <w:spacing w:after="0" w:line="211" w:lineRule="exact"/>
        <w:rPr>
          <w:sz w:val="20"/>
          <w:szCs w:val="20"/>
          <w:color w:val="auto"/>
        </w:rPr>
      </w:pPr>
    </w:p>
    <w:p>
      <w:pPr>
        <w:ind w:left="860" w:hanging="432"/>
        <w:spacing w:after="0"/>
        <w:tabs>
          <w:tab w:leader="none" w:pos="860" w:val="left"/>
        </w:tabs>
        <w:numPr>
          <w:ilvl w:val="0"/>
          <w:numId w:val="22"/>
        </w:numPr>
        <w:rPr>
          <w:rFonts w:ascii="Times New Roman" w:cs="Times New Roman" w:eastAsia="Times New Roman" w:hAnsi="Times New Roman"/>
          <w:sz w:val="14"/>
          <w:szCs w:val="14"/>
          <w:b w:val="1"/>
          <w:bCs w:val="1"/>
          <w:color w:val="231F20"/>
        </w:rPr>
      </w:pPr>
      <w:r>
        <w:rPr>
          <w:rFonts w:ascii="Times New Roman" w:cs="Times New Roman" w:eastAsia="Times New Roman" w:hAnsi="Times New Roman"/>
          <w:sz w:val="14"/>
          <w:szCs w:val="14"/>
          <w:b w:val="1"/>
          <w:bCs w:val="1"/>
          <w:color w:val="231F20"/>
        </w:rPr>
        <w:t>PARKING</w:t>
      </w:r>
    </w:p>
    <w:p>
      <w:pPr>
        <w:spacing w:after="0" w:line="75"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4"/>
          <w:szCs w:val="14"/>
          <w:color w:val="231F20"/>
        </w:rPr>
        <w:t>Subtenant shall have the right (but not the obligation) to exercise Sublandlord’s parking rights under the Master Lease in respect of the Subleased Premises during the Term of this Sublease as set forth in Section 45(q) of the Master Lease, and in accordance with the terms and conditions of the Master Lease, Subtenant may elect to use up to three (3) parking spaces for each</w:t>
      </w:r>
    </w:p>
    <w:p>
      <w:pPr>
        <w:spacing w:after="0" w:line="1" w:lineRule="exact"/>
        <w:rPr>
          <w:sz w:val="20"/>
          <w:szCs w:val="20"/>
          <w:color w:val="auto"/>
        </w:rPr>
      </w:pPr>
    </w:p>
    <w:p>
      <w:pPr>
        <w:jc w:val="both"/>
        <w:spacing w:after="0" w:line="187" w:lineRule="auto"/>
        <w:rPr>
          <w:sz w:val="20"/>
          <w:szCs w:val="20"/>
          <w:color w:val="auto"/>
        </w:rPr>
      </w:pPr>
      <w:r>
        <w:rPr>
          <w:rFonts w:ascii="Times New Roman" w:cs="Times New Roman" w:eastAsia="Times New Roman" w:hAnsi="Times New Roman"/>
          <w:sz w:val="12"/>
          <w:szCs w:val="12"/>
          <w:color w:val="231F20"/>
        </w:rPr>
        <w:t>one thousand (1,000) rentable square feet of the Subleased Premises. For the avoidance of doubt, for the period beginning on the Commencement Date and ending on the Sublease Full Commencement Date, the calculation of Subtenant’s parking rights hereunder shall be based on the square footage of the Phase I Subleased Premises. Beginning on the Sublease Full Commencement Date, the calculation of Subtenant’s parking rights hereunder shall be based on the square footage of the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4"/>
          <w:szCs w:val="14"/>
          <w:color w:val="231F20"/>
        </w:rPr>
        <w:t>full Subleased Premises (including the Phase I Subleased Premises and the Phase II Subleased Premises). Subtenant shall comply with all of Tenant’s obligations related to parking under the Master Lease.</w:t>
      </w:r>
    </w:p>
    <w:p>
      <w:pPr>
        <w:spacing w:after="0" w:line="16" w:lineRule="exact"/>
        <w:rPr>
          <w:sz w:val="20"/>
          <w:szCs w:val="20"/>
          <w:color w:val="auto"/>
        </w:rPr>
      </w:pPr>
    </w:p>
    <w:p>
      <w:pPr>
        <w:ind w:left="860" w:hanging="432"/>
        <w:spacing w:after="0"/>
        <w:tabs>
          <w:tab w:leader="none" w:pos="860" w:val="left"/>
        </w:tabs>
        <w:numPr>
          <w:ilvl w:val="0"/>
          <w:numId w:val="23"/>
        </w:numPr>
        <w:rPr>
          <w:rFonts w:ascii="Times New Roman" w:cs="Times New Roman" w:eastAsia="Times New Roman" w:hAnsi="Times New Roman"/>
          <w:sz w:val="14"/>
          <w:szCs w:val="14"/>
          <w:b w:val="1"/>
          <w:bCs w:val="1"/>
          <w:color w:val="231F20"/>
        </w:rPr>
      </w:pPr>
      <w:r>
        <w:rPr>
          <w:rFonts w:ascii="Times New Roman" w:cs="Times New Roman" w:eastAsia="Times New Roman" w:hAnsi="Times New Roman"/>
          <w:sz w:val="14"/>
          <w:szCs w:val="14"/>
          <w:b w:val="1"/>
          <w:bCs w:val="1"/>
          <w:color w:val="231F20"/>
        </w:rPr>
        <w:t>BROKERS</w:t>
      </w:r>
      <w:r>
        <w:rPr>
          <w:rFonts w:ascii="Times New Roman" w:cs="Times New Roman" w:eastAsia="Times New Roman" w:hAnsi="Times New Roman"/>
          <w:sz w:val="7"/>
          <w:szCs w:val="7"/>
          <w:b w:val="1"/>
          <w:bCs w:val="1"/>
          <w:color w:val="231F20"/>
        </w:rPr>
        <w:t>1</w:t>
      </w:r>
    </w:p>
    <w:p>
      <w:pPr>
        <w:spacing w:after="0" w:line="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4"/>
          <w:szCs w:val="14"/>
          <w:color w:val="231F20"/>
        </w:rPr>
        <w:t>Each party hereto represents and warrants to the other party that it has incurred no liabilities or claims for brokerage commissions or finder’s fees in connection with the execution of this Sublease and it has not dealt with or has any knowledge of any real estate broker, agent 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231F20"/>
        </w:rPr>
        <w:t xml:space="preserve">1 </w:t>
      </w:r>
      <w:r>
        <w:rPr>
          <w:rFonts w:ascii="Times New Roman" w:cs="Times New Roman" w:eastAsia="Times New Roman" w:hAnsi="Times New Roman"/>
          <w:sz w:val="11"/>
          <w:szCs w:val="11"/>
          <w:color w:val="231F20"/>
        </w:rPr>
        <w:t>Subject to update based on payment structure to Brokers.</w:t>
      </w:r>
    </w:p>
    <w:p>
      <w:pPr>
        <w:spacing w:after="0" w:line="31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141605</wp:posOffset>
            </wp:positionV>
            <wp:extent cx="694055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6940550" cy="42545"/>
                    </a:xfrm>
                    <a:prstGeom prst="rect">
                      <a:avLst/>
                    </a:prstGeom>
                    <a:noFill/>
                  </pic:spPr>
                </pic:pic>
              </a:graphicData>
            </a:graphic>
          </wp:anchor>
        </w:drawing>
      </w:r>
    </w:p>
    <w:p>
      <w:pPr>
        <w:sectPr>
          <w:pgSz w:w="11900" w:h="16838" w:orient="portrait"/>
          <w:cols w:equalWidth="0" w:num="1">
            <w:col w:w="9580"/>
          </w:cols>
          <w:pgMar w:left="1160" w:top="751" w:right="1159" w:bottom="1440" w:gutter="0" w:footer="0" w:header="0"/>
          <w:type w:val="continuous"/>
        </w:sectPr>
      </w:pPr>
    </w:p>
    <w:bookmarkStart w:id="59" w:name="page60"/>
    <w:bookmarkEnd w:id="59"/>
    <w:p>
      <w:pPr>
        <w:jc w:val="both"/>
        <w:spacing w:after="0" w:line="250" w:lineRule="auto"/>
        <w:rPr>
          <w:sz w:val="20"/>
          <w:szCs w:val="20"/>
          <w:color w:val="auto"/>
        </w:rPr>
      </w:pPr>
      <w:r>
        <w:rPr>
          <w:rFonts w:ascii="Times New Roman" w:cs="Times New Roman" w:eastAsia="Times New Roman" w:hAnsi="Times New Roman"/>
          <w:sz w:val="14"/>
          <w:szCs w:val="14"/>
          <w:color w:val="231F20"/>
        </w:rPr>
        <w:t>salesperson in connection with this Sublease except for CBRE, Inc., who exclusively represents Subtenant (“</w:t>
      </w:r>
      <w:r>
        <w:rPr>
          <w:rFonts w:ascii="Times New Roman" w:cs="Times New Roman" w:eastAsia="Times New Roman" w:hAnsi="Times New Roman"/>
          <w:sz w:val="14"/>
          <w:szCs w:val="14"/>
          <w:b w:val="1"/>
          <w:bCs w:val="1"/>
          <w:color w:val="231F20"/>
        </w:rPr>
        <w:t>Subtenant’s Broker</w:t>
      </w:r>
      <w:r>
        <w:rPr>
          <w:rFonts w:ascii="Times New Roman" w:cs="Times New Roman" w:eastAsia="Times New Roman" w:hAnsi="Times New Roman"/>
          <w:sz w:val="14"/>
          <w:szCs w:val="14"/>
          <w:color w:val="231F20"/>
        </w:rPr>
        <w:t>”), and Cushman &amp; Wakefield, who exclusively represents Sublandlord (“</w:t>
      </w:r>
      <w:r>
        <w:rPr>
          <w:rFonts w:ascii="Times New Roman" w:cs="Times New Roman" w:eastAsia="Times New Roman" w:hAnsi="Times New Roman"/>
          <w:sz w:val="14"/>
          <w:szCs w:val="14"/>
          <w:b w:val="1"/>
          <w:bCs w:val="1"/>
          <w:color w:val="231F20"/>
        </w:rPr>
        <w:t>Sublandlord’s Broker</w:t>
      </w:r>
      <w:r>
        <w:rPr>
          <w:rFonts w:ascii="Times New Roman" w:cs="Times New Roman" w:eastAsia="Times New Roman" w:hAnsi="Times New Roman"/>
          <w:sz w:val="14"/>
          <w:szCs w:val="14"/>
          <w:color w:val="231F20"/>
        </w:rPr>
        <w:t>”). Provided a sublease is executed by and between Sublandlord and Subtenant, Sublandlord agrees to pay a broker’s commission to Subtenant’s Broker pursuant to a separate written agreement. Sublandlord shall be responsible for paying the full amount of any</w:t>
      </w:r>
    </w:p>
    <w:tbl>
      <w:tblPr>
        <w:tblLayout w:type="fixed"/>
        <w:tblInd w:w="0" w:type="dxa"/>
        <w:tblCellMar>
          <w:top w:w="0" w:type="dxa"/>
          <w:left w:w="0" w:type="dxa"/>
          <w:bottom w:w="0" w:type="dxa"/>
          <w:right w:w="0" w:type="dxa"/>
        </w:tblCellMar>
      </w:tblPr>
      <w:tr>
        <w:trPr>
          <w:trHeight w:val="147"/>
        </w:trPr>
        <w:tc>
          <w:tcPr>
            <w:tcW w:w="80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231F20"/>
              </w:rPr>
              <w:t>broker’s</w:t>
            </w:r>
          </w:p>
        </w:tc>
        <w:tc>
          <w:tcPr>
            <w:tcW w:w="1120" w:type="dxa"/>
            <w:vAlign w:val="bottom"/>
            <w:gridSpan w:val="2"/>
          </w:tcPr>
          <w:p>
            <w:pPr>
              <w:ind w:left="300"/>
              <w:spacing w:after="0" w:line="147" w:lineRule="exact"/>
              <w:rPr>
                <w:sz w:val="20"/>
                <w:szCs w:val="20"/>
                <w:color w:val="auto"/>
              </w:rPr>
            </w:pPr>
            <w:r>
              <w:rPr>
                <w:rFonts w:ascii="Times New Roman" w:cs="Times New Roman" w:eastAsia="Times New Roman" w:hAnsi="Times New Roman"/>
                <w:sz w:val="14"/>
                <w:szCs w:val="14"/>
                <w:color w:val="231F20"/>
              </w:rPr>
              <w:t>commission</w:t>
            </w:r>
          </w:p>
        </w:tc>
        <w:tc>
          <w:tcPr>
            <w:tcW w:w="460" w:type="dxa"/>
            <w:vAlign w:val="bottom"/>
          </w:tcPr>
          <w:p>
            <w:pPr>
              <w:spacing w:after="0"/>
              <w:rPr>
                <w:sz w:val="12"/>
                <w:szCs w:val="12"/>
                <w:color w:val="auto"/>
              </w:rPr>
            </w:pPr>
          </w:p>
        </w:tc>
        <w:tc>
          <w:tcPr>
            <w:tcW w:w="68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231F20"/>
              </w:rPr>
              <w:t>due</w:t>
            </w:r>
          </w:p>
        </w:tc>
        <w:tc>
          <w:tcPr>
            <w:tcW w:w="500" w:type="dxa"/>
            <w:vAlign w:val="bottom"/>
          </w:tcPr>
          <w:p>
            <w:pPr>
              <w:ind w:left="200"/>
              <w:spacing w:after="0" w:line="147" w:lineRule="exact"/>
              <w:rPr>
                <w:sz w:val="20"/>
                <w:szCs w:val="20"/>
                <w:color w:val="auto"/>
              </w:rPr>
            </w:pPr>
            <w:r>
              <w:rPr>
                <w:rFonts w:ascii="Times New Roman" w:cs="Times New Roman" w:eastAsia="Times New Roman" w:hAnsi="Times New Roman"/>
                <w:sz w:val="14"/>
                <w:szCs w:val="14"/>
                <w:color w:val="231F20"/>
              </w:rPr>
              <w:t>to</w:t>
            </w:r>
          </w:p>
        </w:tc>
        <w:tc>
          <w:tcPr>
            <w:tcW w:w="200" w:type="dxa"/>
            <w:vAlign w:val="bottom"/>
          </w:tcPr>
          <w:p>
            <w:pPr>
              <w:spacing w:after="0"/>
              <w:rPr>
                <w:sz w:val="12"/>
                <w:szCs w:val="12"/>
                <w:color w:val="auto"/>
              </w:rPr>
            </w:pPr>
          </w:p>
        </w:tc>
        <w:tc>
          <w:tcPr>
            <w:tcW w:w="1080" w:type="dxa"/>
            <w:vAlign w:val="bottom"/>
            <w:gridSpan w:val="2"/>
          </w:tcPr>
          <w:p>
            <w:pPr>
              <w:ind w:left="240"/>
              <w:spacing w:after="0" w:line="147" w:lineRule="exact"/>
              <w:rPr>
                <w:sz w:val="20"/>
                <w:szCs w:val="20"/>
                <w:color w:val="auto"/>
              </w:rPr>
            </w:pPr>
            <w:r>
              <w:rPr>
                <w:rFonts w:ascii="Times New Roman" w:cs="Times New Roman" w:eastAsia="Times New Roman" w:hAnsi="Times New Roman"/>
                <w:sz w:val="14"/>
                <w:szCs w:val="14"/>
                <w:color w:val="231F20"/>
              </w:rPr>
              <w:t>Sublandlord’s</w:t>
            </w:r>
          </w:p>
        </w:tc>
        <w:tc>
          <w:tcPr>
            <w:tcW w:w="380" w:type="dxa"/>
            <w:vAlign w:val="bottom"/>
          </w:tcPr>
          <w:p>
            <w:pPr>
              <w:spacing w:after="0"/>
              <w:rPr>
                <w:sz w:val="12"/>
                <w:szCs w:val="12"/>
                <w:color w:val="auto"/>
              </w:rPr>
            </w:pPr>
          </w:p>
        </w:tc>
        <w:tc>
          <w:tcPr>
            <w:tcW w:w="620" w:type="dxa"/>
            <w:vAlign w:val="bottom"/>
          </w:tcPr>
          <w:p>
            <w:pPr>
              <w:ind w:left="220"/>
              <w:spacing w:after="0" w:line="147" w:lineRule="exact"/>
              <w:rPr>
                <w:sz w:val="20"/>
                <w:szCs w:val="20"/>
                <w:color w:val="auto"/>
              </w:rPr>
            </w:pPr>
            <w:r>
              <w:rPr>
                <w:rFonts w:ascii="Times New Roman" w:cs="Times New Roman" w:eastAsia="Times New Roman" w:hAnsi="Times New Roman"/>
                <w:sz w:val="14"/>
                <w:szCs w:val="14"/>
                <w:color w:val="231F20"/>
                <w:w w:val="97"/>
              </w:rPr>
              <w:t>Broker</w:t>
            </w:r>
          </w:p>
        </w:tc>
        <w:tc>
          <w:tcPr>
            <w:tcW w:w="520" w:type="dxa"/>
            <w:vAlign w:val="bottom"/>
          </w:tcPr>
          <w:p>
            <w:pPr>
              <w:spacing w:after="0"/>
              <w:rPr>
                <w:sz w:val="12"/>
                <w:szCs w:val="12"/>
                <w:color w:val="auto"/>
              </w:rPr>
            </w:pPr>
          </w:p>
        </w:tc>
        <w:tc>
          <w:tcPr>
            <w:tcW w:w="440" w:type="dxa"/>
            <w:vAlign w:val="bottom"/>
          </w:tcPr>
          <w:p>
            <w:pPr>
              <w:ind w:left="100"/>
              <w:spacing w:after="0" w:line="147" w:lineRule="exact"/>
              <w:rPr>
                <w:sz w:val="20"/>
                <w:szCs w:val="20"/>
                <w:color w:val="auto"/>
              </w:rPr>
            </w:pPr>
            <w:r>
              <w:rPr>
                <w:rFonts w:ascii="Times New Roman" w:cs="Times New Roman" w:eastAsia="Times New Roman" w:hAnsi="Times New Roman"/>
                <w:sz w:val="14"/>
                <w:szCs w:val="14"/>
                <w:color w:val="231F20"/>
              </w:rPr>
              <w:t>in</w:t>
            </w:r>
          </w:p>
        </w:tc>
        <w:tc>
          <w:tcPr>
            <w:tcW w:w="1240" w:type="dxa"/>
            <w:vAlign w:val="bottom"/>
            <w:gridSpan w:val="2"/>
          </w:tcPr>
          <w:p>
            <w:pPr>
              <w:ind w:left="420"/>
              <w:spacing w:after="0" w:line="147" w:lineRule="exact"/>
              <w:rPr>
                <w:sz w:val="20"/>
                <w:szCs w:val="20"/>
                <w:color w:val="auto"/>
              </w:rPr>
            </w:pPr>
            <w:r>
              <w:rPr>
                <w:rFonts w:ascii="Times New Roman" w:cs="Times New Roman" w:eastAsia="Times New Roman" w:hAnsi="Times New Roman"/>
                <w:sz w:val="14"/>
                <w:szCs w:val="14"/>
                <w:color w:val="231F20"/>
              </w:rPr>
              <w:t>connection</w:t>
            </w:r>
          </w:p>
        </w:tc>
        <w:tc>
          <w:tcPr>
            <w:tcW w:w="420" w:type="dxa"/>
            <w:vAlign w:val="bottom"/>
          </w:tcPr>
          <w:p>
            <w:pPr>
              <w:spacing w:after="0"/>
              <w:rPr>
                <w:sz w:val="12"/>
                <w:szCs w:val="12"/>
                <w:color w:val="auto"/>
              </w:rPr>
            </w:pPr>
          </w:p>
        </w:tc>
        <w:tc>
          <w:tcPr>
            <w:tcW w:w="58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231F20"/>
              </w:rPr>
              <w:t>with</w:t>
            </w:r>
          </w:p>
        </w:tc>
        <w:tc>
          <w:tcPr>
            <w:tcW w:w="5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231F20"/>
              </w:rPr>
              <w:t>this</w:t>
            </w:r>
          </w:p>
        </w:tc>
      </w:tr>
      <w:tr>
        <w:trPr>
          <w:trHeight w:val="162"/>
        </w:trPr>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color w:val="231F20"/>
              </w:rPr>
              <w:t>Sublease.</w:t>
            </w:r>
          </w:p>
        </w:tc>
        <w:tc>
          <w:tcPr>
            <w:tcW w:w="58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Each</w:t>
            </w:r>
          </w:p>
        </w:tc>
        <w:tc>
          <w:tcPr>
            <w:tcW w:w="540" w:type="dxa"/>
            <w:vAlign w:val="bottom"/>
          </w:tcPr>
          <w:p>
            <w:pPr>
              <w:spacing w:after="0"/>
              <w:rPr>
                <w:sz w:val="20"/>
                <w:szCs w:val="20"/>
                <w:color w:val="auto"/>
              </w:rPr>
            </w:pPr>
            <w:r>
              <w:rPr>
                <w:rFonts w:ascii="Times New Roman" w:cs="Times New Roman" w:eastAsia="Times New Roman" w:hAnsi="Times New Roman"/>
                <w:sz w:val="14"/>
                <w:szCs w:val="14"/>
                <w:color w:val="231F20"/>
              </w:rPr>
              <w:t>party</w:t>
            </w:r>
          </w:p>
        </w:tc>
        <w:tc>
          <w:tcPr>
            <w:tcW w:w="460" w:type="dxa"/>
            <w:vAlign w:val="bottom"/>
          </w:tcPr>
          <w:p>
            <w:pPr>
              <w:ind w:left="40"/>
              <w:spacing w:after="0"/>
              <w:rPr>
                <w:sz w:val="20"/>
                <w:szCs w:val="20"/>
                <w:color w:val="auto"/>
              </w:rPr>
            </w:pPr>
            <w:r>
              <w:rPr>
                <w:rFonts w:ascii="Times New Roman" w:cs="Times New Roman" w:eastAsia="Times New Roman" w:hAnsi="Times New Roman"/>
                <w:sz w:val="14"/>
                <w:szCs w:val="14"/>
                <w:color w:val="231F20"/>
              </w:rPr>
              <w:t>agrees</w:t>
            </w:r>
          </w:p>
        </w:tc>
        <w:tc>
          <w:tcPr>
            <w:tcW w:w="680" w:type="dxa"/>
            <w:vAlign w:val="bottom"/>
          </w:tcPr>
          <w:p>
            <w:pPr>
              <w:ind w:left="240"/>
              <w:spacing w:after="0"/>
              <w:rPr>
                <w:sz w:val="20"/>
                <w:szCs w:val="20"/>
                <w:color w:val="auto"/>
              </w:rPr>
            </w:pPr>
            <w:r>
              <w:rPr>
                <w:rFonts w:ascii="Times New Roman" w:cs="Times New Roman" w:eastAsia="Times New Roman" w:hAnsi="Times New Roman"/>
                <w:sz w:val="14"/>
                <w:szCs w:val="14"/>
                <w:color w:val="231F20"/>
              </w:rPr>
              <w:t>that</w:t>
            </w:r>
          </w:p>
        </w:tc>
        <w:tc>
          <w:tcPr>
            <w:tcW w:w="500" w:type="dxa"/>
            <w:vAlign w:val="bottom"/>
          </w:tcPr>
          <w:p>
            <w:pPr>
              <w:ind w:left="40"/>
              <w:spacing w:after="0"/>
              <w:rPr>
                <w:sz w:val="20"/>
                <w:szCs w:val="20"/>
                <w:color w:val="auto"/>
              </w:rPr>
            </w:pPr>
            <w:r>
              <w:rPr>
                <w:rFonts w:ascii="Times New Roman" w:cs="Times New Roman" w:eastAsia="Times New Roman" w:hAnsi="Times New Roman"/>
                <w:sz w:val="14"/>
                <w:szCs w:val="14"/>
                <w:color w:val="231F20"/>
              </w:rPr>
              <w:t>should</w:t>
            </w:r>
          </w:p>
        </w:tc>
        <w:tc>
          <w:tcPr>
            <w:tcW w:w="2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color w:val="231F20"/>
              </w:rPr>
              <w:t>any</w:t>
            </w: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claim</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be</w:t>
            </w:r>
          </w:p>
        </w:tc>
        <w:tc>
          <w:tcPr>
            <w:tcW w:w="620" w:type="dxa"/>
            <w:vAlign w:val="bottom"/>
          </w:tcPr>
          <w:p>
            <w:pPr>
              <w:ind w:left="40"/>
              <w:spacing w:after="0"/>
              <w:rPr>
                <w:sz w:val="20"/>
                <w:szCs w:val="20"/>
                <w:color w:val="auto"/>
              </w:rPr>
            </w:pPr>
            <w:r>
              <w:rPr>
                <w:rFonts w:ascii="Times New Roman" w:cs="Times New Roman" w:eastAsia="Times New Roman" w:hAnsi="Times New Roman"/>
                <w:sz w:val="14"/>
                <w:szCs w:val="14"/>
                <w:color w:val="231F20"/>
              </w:rPr>
              <w:t>made</w:t>
            </w: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against</w:t>
            </w:r>
          </w:p>
        </w:tc>
        <w:tc>
          <w:tcPr>
            <w:tcW w:w="440" w:type="dxa"/>
            <w:vAlign w:val="bottom"/>
          </w:tcPr>
          <w:p>
            <w:pPr>
              <w:ind w:left="180"/>
              <w:spacing w:after="0"/>
              <w:rPr>
                <w:sz w:val="20"/>
                <w:szCs w:val="20"/>
                <w:color w:val="auto"/>
              </w:rPr>
            </w:pPr>
            <w:r>
              <w:rPr>
                <w:rFonts w:ascii="Times New Roman" w:cs="Times New Roman" w:eastAsia="Times New Roman" w:hAnsi="Times New Roman"/>
                <w:sz w:val="14"/>
                <w:szCs w:val="14"/>
                <w:color w:val="231F20"/>
              </w:rPr>
              <w:t>the</w:t>
            </w:r>
          </w:p>
        </w:tc>
        <w:tc>
          <w:tcPr>
            <w:tcW w:w="620" w:type="dxa"/>
            <w:vAlign w:val="bottom"/>
          </w:tcPr>
          <w:p>
            <w:pPr>
              <w:ind w:left="200"/>
              <w:spacing w:after="0"/>
              <w:rPr>
                <w:sz w:val="20"/>
                <w:szCs w:val="20"/>
                <w:color w:val="auto"/>
              </w:rPr>
            </w:pPr>
            <w:r>
              <w:rPr>
                <w:rFonts w:ascii="Times New Roman" w:cs="Times New Roman" w:eastAsia="Times New Roman" w:hAnsi="Times New Roman"/>
                <w:sz w:val="14"/>
                <w:szCs w:val="14"/>
                <w:color w:val="231F20"/>
              </w:rPr>
              <w:t>other</w:t>
            </w:r>
          </w:p>
        </w:tc>
        <w:tc>
          <w:tcPr>
            <w:tcW w:w="62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party</w:t>
            </w:r>
          </w:p>
        </w:tc>
        <w:tc>
          <w:tcPr>
            <w:tcW w:w="420" w:type="dxa"/>
            <w:vAlign w:val="bottom"/>
          </w:tcPr>
          <w:p>
            <w:pPr>
              <w:ind w:left="120"/>
              <w:spacing w:after="0"/>
              <w:rPr>
                <w:sz w:val="20"/>
                <w:szCs w:val="20"/>
                <w:color w:val="auto"/>
              </w:rPr>
            </w:pPr>
            <w:r>
              <w:rPr>
                <w:rFonts w:ascii="Times New Roman" w:cs="Times New Roman" w:eastAsia="Times New Roman" w:hAnsi="Times New Roman"/>
                <w:sz w:val="14"/>
                <w:szCs w:val="14"/>
                <w:color w:val="231F20"/>
              </w:rPr>
              <w:t>for</w:t>
            </w: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any</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broker’s</w:t>
            </w:r>
          </w:p>
        </w:tc>
      </w:tr>
      <w:tr>
        <w:trPr>
          <w:trHeight w:val="162"/>
        </w:trPr>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color w:val="231F20"/>
              </w:rPr>
              <w:t>commissions,</w:t>
            </w:r>
          </w:p>
        </w:tc>
        <w:tc>
          <w:tcPr>
            <w:tcW w:w="580" w:type="dxa"/>
            <w:vAlign w:val="bottom"/>
          </w:tcPr>
          <w:p>
            <w:pPr>
              <w:ind w:left="340"/>
              <w:spacing w:after="0"/>
              <w:rPr>
                <w:sz w:val="20"/>
                <w:szCs w:val="20"/>
                <w:color w:val="auto"/>
              </w:rPr>
            </w:pPr>
            <w:r>
              <w:rPr>
                <w:rFonts w:ascii="Times New Roman" w:cs="Times New Roman" w:eastAsia="Times New Roman" w:hAnsi="Times New Roman"/>
                <w:sz w:val="14"/>
                <w:szCs w:val="14"/>
                <w:color w:val="231F20"/>
                <w:w w:val="97"/>
              </w:rPr>
              <w:t>fees</w:t>
            </w:r>
          </w:p>
        </w:tc>
        <w:tc>
          <w:tcPr>
            <w:tcW w:w="540" w:type="dxa"/>
            <w:vAlign w:val="bottom"/>
          </w:tcPr>
          <w:p>
            <w:pPr>
              <w:ind w:left="360"/>
              <w:spacing w:after="0"/>
              <w:rPr>
                <w:sz w:val="20"/>
                <w:szCs w:val="20"/>
                <w:color w:val="auto"/>
              </w:rPr>
            </w:pPr>
            <w:r>
              <w:rPr>
                <w:rFonts w:ascii="Times New Roman" w:cs="Times New Roman" w:eastAsia="Times New Roman" w:hAnsi="Times New Roman"/>
                <w:sz w:val="14"/>
                <w:szCs w:val="14"/>
                <w:color w:val="231F20"/>
              </w:rPr>
              <w:t>or</w:t>
            </w: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231F20"/>
              </w:rPr>
              <w:t>compensation</w:t>
            </w:r>
          </w:p>
        </w:tc>
        <w:tc>
          <w:tcPr>
            <w:tcW w:w="500" w:type="dxa"/>
            <w:vAlign w:val="bottom"/>
          </w:tcPr>
          <w:p>
            <w:pPr>
              <w:ind w:left="320"/>
              <w:spacing w:after="0"/>
              <w:rPr>
                <w:sz w:val="20"/>
                <w:szCs w:val="20"/>
                <w:color w:val="auto"/>
              </w:rPr>
            </w:pPr>
            <w:r>
              <w:rPr>
                <w:rFonts w:ascii="Times New Roman" w:cs="Times New Roman" w:eastAsia="Times New Roman" w:hAnsi="Times New Roman"/>
                <w:sz w:val="14"/>
                <w:szCs w:val="14"/>
                <w:color w:val="231F20"/>
                <w:w w:val="97"/>
              </w:rPr>
              <w:t>for</w:t>
            </w:r>
          </w:p>
        </w:tc>
        <w:tc>
          <w:tcPr>
            <w:tcW w:w="200" w:type="dxa"/>
            <w:vAlign w:val="bottom"/>
          </w:tcPr>
          <w:p>
            <w:pPr>
              <w:spacing w:after="0"/>
              <w:rPr>
                <w:sz w:val="14"/>
                <w:szCs w:val="14"/>
                <w:color w:val="auto"/>
              </w:rPr>
            </w:pPr>
          </w:p>
        </w:tc>
        <w:tc>
          <w:tcPr>
            <w:tcW w:w="48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this</w:t>
            </w: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231F20"/>
              </w:rPr>
              <w:t>transaction</w:t>
            </w:r>
          </w:p>
        </w:tc>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231F20"/>
              </w:rPr>
              <w:t>(by</w:t>
            </w: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231F20"/>
              </w:rPr>
              <w:t>anyone</w:t>
            </w:r>
          </w:p>
        </w:tc>
        <w:tc>
          <w:tcPr>
            <w:tcW w:w="620" w:type="dxa"/>
            <w:vAlign w:val="bottom"/>
          </w:tcPr>
          <w:p>
            <w:pPr>
              <w:ind w:left="40"/>
              <w:spacing w:after="0"/>
              <w:rPr>
                <w:sz w:val="20"/>
                <w:szCs w:val="20"/>
                <w:color w:val="auto"/>
              </w:rPr>
            </w:pPr>
            <w:r>
              <w:rPr>
                <w:rFonts w:ascii="Times New Roman" w:cs="Times New Roman" w:eastAsia="Times New Roman" w:hAnsi="Times New Roman"/>
                <w:sz w:val="14"/>
                <w:szCs w:val="14"/>
                <w:color w:val="231F20"/>
              </w:rPr>
              <w:t>other</w:t>
            </w:r>
          </w:p>
        </w:tc>
        <w:tc>
          <w:tcPr>
            <w:tcW w:w="620" w:type="dxa"/>
            <w:vAlign w:val="bottom"/>
          </w:tcPr>
          <w:p>
            <w:pPr>
              <w:ind w:left="80"/>
              <w:spacing w:after="0"/>
              <w:rPr>
                <w:sz w:val="20"/>
                <w:szCs w:val="20"/>
                <w:color w:val="auto"/>
              </w:rPr>
            </w:pPr>
            <w:r>
              <w:rPr>
                <w:rFonts w:ascii="Times New Roman" w:cs="Times New Roman" w:eastAsia="Times New Roman" w:hAnsi="Times New Roman"/>
                <w:sz w:val="14"/>
                <w:szCs w:val="14"/>
                <w:color w:val="231F20"/>
              </w:rPr>
              <w:t>than</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231F20"/>
              </w:rPr>
              <w:t>Subtenant’s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Broker</w:t>
            </w:r>
          </w:p>
        </w:tc>
      </w:tr>
      <w:tr>
        <w:trPr>
          <w:trHeight w:val="17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231F20"/>
              </w:rPr>
              <w:t>or</w:t>
            </w: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231F20"/>
              </w:rPr>
              <w:t>Sublandlord’s</w:t>
            </w:r>
          </w:p>
        </w:tc>
        <w:tc>
          <w:tcPr>
            <w:tcW w:w="54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Broker)</w:t>
            </w:r>
          </w:p>
        </w:tc>
        <w:tc>
          <w:tcPr>
            <w:tcW w:w="460" w:type="dxa"/>
            <w:vAlign w:val="bottom"/>
          </w:tcPr>
          <w:p>
            <w:pPr>
              <w:ind w:left="220"/>
              <w:spacing w:after="0"/>
              <w:rPr>
                <w:sz w:val="20"/>
                <w:szCs w:val="20"/>
                <w:color w:val="auto"/>
              </w:rPr>
            </w:pPr>
            <w:r>
              <w:rPr>
                <w:rFonts w:ascii="Times New Roman" w:cs="Times New Roman" w:eastAsia="Times New Roman" w:hAnsi="Times New Roman"/>
                <w:sz w:val="14"/>
                <w:szCs w:val="14"/>
                <w:color w:val="231F20"/>
              </w:rPr>
              <w:t>by</w:t>
            </w:r>
          </w:p>
        </w:tc>
        <w:tc>
          <w:tcPr>
            <w:tcW w:w="680" w:type="dxa"/>
            <w:vAlign w:val="bottom"/>
          </w:tcPr>
          <w:p>
            <w:pPr>
              <w:ind w:left="180"/>
              <w:spacing w:after="0"/>
              <w:rPr>
                <w:sz w:val="20"/>
                <w:szCs w:val="20"/>
                <w:color w:val="auto"/>
              </w:rPr>
            </w:pPr>
            <w:r>
              <w:rPr>
                <w:rFonts w:ascii="Times New Roman" w:cs="Times New Roman" w:eastAsia="Times New Roman" w:hAnsi="Times New Roman"/>
                <w:sz w:val="14"/>
                <w:szCs w:val="14"/>
                <w:color w:val="231F20"/>
              </w:rPr>
              <w:t>reason</w:t>
            </w:r>
          </w:p>
        </w:tc>
        <w:tc>
          <w:tcPr>
            <w:tcW w:w="500" w:type="dxa"/>
            <w:vAlign w:val="bottom"/>
          </w:tcPr>
          <w:p>
            <w:pPr>
              <w:ind w:left="120"/>
              <w:spacing w:after="0"/>
              <w:rPr>
                <w:sz w:val="20"/>
                <w:szCs w:val="20"/>
                <w:color w:val="auto"/>
              </w:rPr>
            </w:pPr>
            <w:r>
              <w:rPr>
                <w:rFonts w:ascii="Times New Roman" w:cs="Times New Roman" w:eastAsia="Times New Roman" w:hAnsi="Times New Roman"/>
                <w:sz w:val="14"/>
                <w:szCs w:val="14"/>
                <w:color w:val="231F20"/>
              </w:rPr>
              <w:t>of</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231F20"/>
              </w:rPr>
              <w:t>the</w:t>
            </w:r>
          </w:p>
        </w:tc>
        <w:tc>
          <w:tcPr>
            <w:tcW w:w="480" w:type="dxa"/>
            <w:vAlign w:val="bottom"/>
          </w:tcPr>
          <w:p>
            <w:pPr>
              <w:ind w:left="240"/>
              <w:spacing w:after="0"/>
              <w:rPr>
                <w:sz w:val="20"/>
                <w:szCs w:val="20"/>
                <w:color w:val="auto"/>
              </w:rPr>
            </w:pPr>
            <w:r>
              <w:rPr>
                <w:rFonts w:ascii="Times New Roman" w:cs="Times New Roman" w:eastAsia="Times New Roman" w:hAnsi="Times New Roman"/>
                <w:sz w:val="14"/>
                <w:szCs w:val="14"/>
                <w:color w:val="231F20"/>
              </w:rPr>
              <w:t>acts</w:t>
            </w:r>
          </w:p>
        </w:tc>
        <w:tc>
          <w:tcPr>
            <w:tcW w:w="600" w:type="dxa"/>
            <w:vAlign w:val="bottom"/>
          </w:tcPr>
          <w:p>
            <w:pPr>
              <w:ind w:left="260"/>
              <w:spacing w:after="0"/>
              <w:rPr>
                <w:sz w:val="20"/>
                <w:szCs w:val="20"/>
                <w:color w:val="auto"/>
              </w:rPr>
            </w:pPr>
            <w:r>
              <w:rPr>
                <w:rFonts w:ascii="Times New Roman" w:cs="Times New Roman" w:eastAsia="Times New Roman" w:hAnsi="Times New Roman"/>
                <w:sz w:val="14"/>
                <w:szCs w:val="14"/>
                <w:color w:val="231F20"/>
              </w:rPr>
              <w:t>of</w:t>
            </w:r>
          </w:p>
        </w:tc>
        <w:tc>
          <w:tcPr>
            <w:tcW w:w="38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such</w:t>
            </w:r>
          </w:p>
        </w:tc>
        <w:tc>
          <w:tcPr>
            <w:tcW w:w="620" w:type="dxa"/>
            <w:vAlign w:val="bottom"/>
          </w:tcPr>
          <w:p>
            <w:pPr>
              <w:ind w:left="200"/>
              <w:spacing w:after="0"/>
              <w:rPr>
                <w:sz w:val="20"/>
                <w:szCs w:val="20"/>
                <w:color w:val="auto"/>
              </w:rPr>
            </w:pPr>
            <w:r>
              <w:rPr>
                <w:rFonts w:ascii="Times New Roman" w:cs="Times New Roman" w:eastAsia="Times New Roman" w:hAnsi="Times New Roman"/>
                <w:sz w:val="14"/>
                <w:szCs w:val="14"/>
                <w:color w:val="231F20"/>
              </w:rPr>
              <w:t>party,</w:t>
            </w:r>
          </w:p>
        </w:tc>
        <w:tc>
          <w:tcPr>
            <w:tcW w:w="520" w:type="dxa"/>
            <w:vAlign w:val="bottom"/>
          </w:tcPr>
          <w:p>
            <w:pPr>
              <w:ind w:left="180"/>
              <w:spacing w:after="0"/>
              <w:rPr>
                <w:sz w:val="20"/>
                <w:szCs w:val="20"/>
                <w:color w:val="auto"/>
              </w:rPr>
            </w:pPr>
            <w:r>
              <w:rPr>
                <w:rFonts w:ascii="Times New Roman" w:cs="Times New Roman" w:eastAsia="Times New Roman" w:hAnsi="Times New Roman"/>
                <w:sz w:val="14"/>
                <w:szCs w:val="14"/>
                <w:color w:val="231F20"/>
              </w:rPr>
              <w:t>the</w:t>
            </w:r>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color w:val="231F20"/>
              </w:rPr>
              <w:t>party</w:t>
            </w:r>
          </w:p>
        </w:tc>
        <w:tc>
          <w:tcPr>
            <w:tcW w:w="620" w:type="dxa"/>
            <w:vAlign w:val="bottom"/>
          </w:tcPr>
          <w:p>
            <w:pPr>
              <w:ind w:left="220"/>
              <w:spacing w:after="0"/>
              <w:rPr>
                <w:sz w:val="20"/>
                <w:szCs w:val="20"/>
                <w:color w:val="auto"/>
              </w:rPr>
            </w:pPr>
            <w:r>
              <w:rPr>
                <w:rFonts w:ascii="Times New Roman" w:cs="Times New Roman" w:eastAsia="Times New Roman" w:hAnsi="Times New Roman"/>
                <w:sz w:val="14"/>
                <w:szCs w:val="14"/>
                <w:color w:val="231F20"/>
              </w:rPr>
              <w:t>upon</w:t>
            </w:r>
          </w:p>
        </w:tc>
        <w:tc>
          <w:tcPr>
            <w:tcW w:w="62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whose</w:t>
            </w:r>
          </w:p>
        </w:tc>
        <w:tc>
          <w:tcPr>
            <w:tcW w:w="420" w:type="dxa"/>
            <w:vAlign w:val="bottom"/>
          </w:tcPr>
          <w:p>
            <w:pPr>
              <w:ind w:left="180"/>
              <w:spacing w:after="0"/>
              <w:rPr>
                <w:sz w:val="20"/>
                <w:szCs w:val="20"/>
                <w:color w:val="auto"/>
              </w:rPr>
            </w:pPr>
            <w:r>
              <w:rPr>
                <w:rFonts w:ascii="Times New Roman" w:cs="Times New Roman" w:eastAsia="Times New Roman" w:hAnsi="Times New Roman"/>
                <w:sz w:val="14"/>
                <w:szCs w:val="14"/>
                <w:color w:val="231F20"/>
              </w:rPr>
              <w:t>acts</w:t>
            </w:r>
          </w:p>
        </w:tc>
        <w:tc>
          <w:tcPr>
            <w:tcW w:w="580" w:type="dxa"/>
            <w:vAlign w:val="bottom"/>
          </w:tcPr>
          <w:p>
            <w:pPr>
              <w:ind w:left="260"/>
              <w:spacing w:after="0"/>
              <w:rPr>
                <w:sz w:val="20"/>
                <w:szCs w:val="20"/>
                <w:color w:val="auto"/>
              </w:rPr>
            </w:pPr>
            <w:r>
              <w:rPr>
                <w:rFonts w:ascii="Times New Roman" w:cs="Times New Roman" w:eastAsia="Times New Roman" w:hAnsi="Times New Roman"/>
                <w:sz w:val="14"/>
                <w:szCs w:val="14"/>
                <w:color w:val="231F20"/>
              </w:rPr>
              <w:t>such</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claim</w:t>
            </w:r>
          </w:p>
        </w:tc>
      </w:tr>
    </w:tbl>
    <w:p>
      <w:pPr>
        <w:jc w:val="both"/>
        <w:spacing w:after="0" w:line="258" w:lineRule="auto"/>
        <w:rPr>
          <w:sz w:val="20"/>
          <w:szCs w:val="20"/>
          <w:color w:val="auto"/>
        </w:rPr>
      </w:pPr>
      <w:r>
        <w:rPr>
          <w:rFonts w:ascii="Times New Roman" w:cs="Times New Roman" w:eastAsia="Times New Roman" w:hAnsi="Times New Roman"/>
          <w:sz w:val="14"/>
          <w:szCs w:val="14"/>
          <w:color w:val="231F20"/>
        </w:rPr>
        <w:t>is predicated shall indemnify, defend and hold the other party harmless from all liabilities or claims (including, without limitation, reasonable attorneys’ fees) arising therefrom. This section shall survive the expiration or termination of this Sublease.</w:t>
      </w:r>
    </w:p>
    <w:p>
      <w:pPr>
        <w:spacing w:after="0" w:line="32" w:lineRule="exact"/>
        <w:rPr>
          <w:sz w:val="20"/>
          <w:szCs w:val="20"/>
          <w:color w:val="auto"/>
        </w:rPr>
      </w:pPr>
    </w:p>
    <w:p>
      <w:pPr>
        <w:ind w:left="860" w:hanging="432"/>
        <w:spacing w:after="0"/>
        <w:tabs>
          <w:tab w:leader="none" w:pos="860" w:val="left"/>
        </w:tabs>
        <w:numPr>
          <w:ilvl w:val="0"/>
          <w:numId w:val="24"/>
        </w:numPr>
        <w:rPr>
          <w:rFonts w:ascii="Times New Roman" w:cs="Times New Roman" w:eastAsia="Times New Roman" w:hAnsi="Times New Roman"/>
          <w:sz w:val="14"/>
          <w:szCs w:val="14"/>
          <w:b w:val="1"/>
          <w:bCs w:val="1"/>
          <w:color w:val="231F20"/>
        </w:rPr>
      </w:pPr>
      <w:r>
        <w:rPr>
          <w:rFonts w:ascii="Times New Roman" w:cs="Times New Roman" w:eastAsia="Times New Roman" w:hAnsi="Times New Roman"/>
          <w:sz w:val="14"/>
          <w:szCs w:val="14"/>
          <w:b w:val="1"/>
          <w:bCs w:val="1"/>
          <w:color w:val="231F20"/>
        </w:rPr>
        <w:t>INCORPORATION OF LEASE BY REFERENCE</w:t>
      </w:r>
    </w:p>
    <w:p>
      <w:pPr>
        <w:spacing w:after="0" w:line="75"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14"/>
          <w:szCs w:val="14"/>
          <w:color w:val="231F20"/>
        </w:rPr>
        <w:t xml:space="preserve">11.1 </w:t>
      </w:r>
      <w:r>
        <w:rPr>
          <w:rFonts w:ascii="Times New Roman" w:cs="Times New Roman" w:eastAsia="Times New Roman" w:hAnsi="Times New Roman"/>
          <w:sz w:val="14"/>
          <w:szCs w:val="14"/>
          <w:u w:val="single" w:color="auto"/>
          <w:color w:val="231F20"/>
        </w:rPr>
        <w:t>Effect of Sublease.</w:t>
      </w:r>
      <w:r>
        <w:rPr>
          <w:rFonts w:ascii="Times New Roman" w:cs="Times New Roman" w:eastAsia="Times New Roman" w:hAnsi="Times New Roman"/>
          <w:sz w:val="14"/>
          <w:szCs w:val="14"/>
          <w:color w:val="231F20"/>
        </w:rPr>
        <w:t xml:space="preserve"> This Sublease is subject and subordinate to the Master Lease. Subject to the modifications set forth in this Sublease, the terms of the Master Lease are incorporated herein by this reference, and shall, as between Sublandlord and Subtenant (as if they were Landlord and Tenant, respectively, under the Master Lease) constitute the terms of this Sublease except to the extent that they are inapplicable to, inconsistent with, or modified by, the terms of this Sublease. In the event of any inconsistencies between the terms and provisions of the Master Lease and the terms and provisions of this Sublease, the terms and provisions of this Sublease shall govern. Subtenant acknowledges that it has reviewed the Master Lease and is familiar with the terms and conditions thereof.</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231F20"/>
              </w:rPr>
              <w:t>11.2</w:t>
            </w:r>
          </w:p>
        </w:tc>
        <w:tc>
          <w:tcPr>
            <w:tcW w:w="400" w:type="dxa"/>
            <w:vAlign w:val="bottom"/>
          </w:tcPr>
          <w:p>
            <w:pPr>
              <w:spacing w:after="0"/>
              <w:rPr>
                <w:sz w:val="13"/>
                <w:szCs w:val="13"/>
                <w:color w:val="auto"/>
              </w:rPr>
            </w:pPr>
          </w:p>
        </w:tc>
        <w:tc>
          <w:tcPr>
            <w:tcW w:w="7940" w:type="dxa"/>
            <w:vAlign w:val="bottom"/>
            <w:gridSpan w:val="24"/>
          </w:tcPr>
          <w:p>
            <w:pPr>
              <w:jc w:val="center"/>
              <w:ind w:left="48"/>
              <w:spacing w:after="0"/>
              <w:rPr>
                <w:sz w:val="20"/>
                <w:szCs w:val="20"/>
                <w:color w:val="auto"/>
              </w:rPr>
            </w:pPr>
            <w:r>
              <w:rPr>
                <w:rFonts w:ascii="Times New Roman" w:cs="Times New Roman" w:eastAsia="Times New Roman" w:hAnsi="Times New Roman"/>
                <w:sz w:val="14"/>
                <w:szCs w:val="14"/>
                <w:color w:val="231F20"/>
              </w:rPr>
              <w:t>Incorporation of Master Lease. For the purposes of incorporation herein, the terms of the Master Lease are subject to the following</w:t>
            </w:r>
          </w:p>
        </w:tc>
        <w:tc>
          <w:tcPr>
            <w:tcW w:w="0" w:type="dxa"/>
            <w:vAlign w:val="bottom"/>
          </w:tcPr>
          <w:p>
            <w:pPr>
              <w:spacing w:after="0"/>
              <w:rPr>
                <w:sz w:val="1"/>
                <w:szCs w:val="1"/>
                <w:color w:val="auto"/>
              </w:rPr>
            </w:pPr>
          </w:p>
        </w:tc>
      </w:tr>
      <w:tr>
        <w:trPr>
          <w:trHeight w:val="20"/>
        </w:trPr>
        <w:tc>
          <w:tcPr>
            <w:tcW w:w="1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231F20"/>
              </w:rPr>
              <w:t>additional modifications:</w:t>
            </w:r>
          </w:p>
        </w:tc>
        <w:tc>
          <w:tcPr>
            <w:tcW w:w="140" w:type="dxa"/>
            <w:vAlign w:val="bottom"/>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520" w:type="dxa"/>
            <w:vAlign w:val="bottom"/>
            <w:shd w:val="clear" w:color="auto" w:fill="231F20"/>
          </w:tcPr>
          <w:p>
            <w:pPr>
              <w:spacing w:after="0" w:line="20" w:lineRule="exact"/>
              <w:rPr>
                <w:sz w:val="1"/>
                <w:szCs w:val="1"/>
                <w:color w:val="auto"/>
              </w:rPr>
            </w:pPr>
          </w:p>
        </w:tc>
        <w:tc>
          <w:tcPr>
            <w:tcW w:w="360" w:type="dxa"/>
            <w:vAlign w:val="bottom"/>
            <w:shd w:val="clear" w:color="auto" w:fill="231F20"/>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640" w:type="dxa"/>
            <w:vAlign w:val="bottom"/>
            <w:gridSpan w:val="3"/>
            <w:vMerge w:val="continue"/>
          </w:tcPr>
          <w:p>
            <w:pPr>
              <w:spacing w:after="0"/>
              <w:rPr>
                <w:sz w:val="15"/>
                <w:szCs w:val="15"/>
                <w:color w:val="auto"/>
              </w:rPr>
            </w:pPr>
          </w:p>
        </w:tc>
        <w:tc>
          <w:tcPr>
            <w:tcW w:w="4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231F20"/>
              </w:rPr>
              <w:t>11.2.1</w:t>
            </w:r>
          </w:p>
        </w:tc>
        <w:tc>
          <w:tcPr>
            <w:tcW w:w="280" w:type="dxa"/>
            <w:vAlign w:val="bottom"/>
          </w:tcPr>
          <w:p>
            <w:pPr>
              <w:spacing w:after="0"/>
              <w:rPr>
                <w:sz w:val="15"/>
                <w:szCs w:val="15"/>
                <w:color w:val="auto"/>
              </w:rPr>
            </w:pPr>
          </w:p>
        </w:tc>
        <w:tc>
          <w:tcPr>
            <w:tcW w:w="7180" w:type="dxa"/>
            <w:vAlign w:val="bottom"/>
            <w:gridSpan w:val="20"/>
            <w:vMerge w:val="restart"/>
          </w:tcPr>
          <w:p>
            <w:pPr>
              <w:jc w:val="right"/>
              <w:spacing w:after="0"/>
              <w:rPr>
                <w:sz w:val="20"/>
                <w:szCs w:val="20"/>
                <w:color w:val="auto"/>
              </w:rPr>
            </w:pPr>
            <w:r>
              <w:rPr>
                <w:rFonts w:ascii="Times New Roman" w:cs="Times New Roman" w:eastAsia="Times New Roman" w:hAnsi="Times New Roman"/>
                <w:sz w:val="14"/>
                <w:szCs w:val="14"/>
                <w:color w:val="231F20"/>
              </w:rPr>
              <w:t>In all provisions of the Master Lease (under the terms thereof and without regard to modifications thereof for purposes</w:t>
            </w:r>
          </w:p>
        </w:tc>
        <w:tc>
          <w:tcPr>
            <w:tcW w:w="0" w:type="dxa"/>
            <w:vAlign w:val="bottom"/>
          </w:tcPr>
          <w:p>
            <w:pPr>
              <w:spacing w:after="0"/>
              <w:rPr>
                <w:sz w:val="1"/>
                <w:szCs w:val="1"/>
                <w:color w:val="auto"/>
              </w:rPr>
            </w:pPr>
          </w:p>
        </w:tc>
      </w:tr>
      <w:tr>
        <w:trPr>
          <w:trHeight w:val="208"/>
        </w:trPr>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7180" w:type="dxa"/>
            <w:vAlign w:val="bottom"/>
            <w:gridSpan w:val="20"/>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40" w:type="dxa"/>
            <w:vAlign w:val="bottom"/>
          </w:tcPr>
          <w:p>
            <w:pPr>
              <w:ind w:left="420"/>
              <w:spacing w:after="0"/>
              <w:rPr>
                <w:sz w:val="20"/>
                <w:szCs w:val="20"/>
                <w:color w:val="auto"/>
              </w:rPr>
            </w:pPr>
            <w:r>
              <w:rPr>
                <w:rFonts w:ascii="Times New Roman" w:cs="Times New Roman" w:eastAsia="Times New Roman" w:hAnsi="Times New Roman"/>
                <w:sz w:val="14"/>
                <w:szCs w:val="14"/>
                <w:color w:val="231F20"/>
              </w:rPr>
              <w:t>of</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231F20"/>
              </w:rPr>
              <w:t>incorporation</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231F20"/>
              </w:rPr>
              <w:t>into</w:t>
            </w:r>
          </w:p>
        </w:tc>
        <w:tc>
          <w:tcPr>
            <w:tcW w:w="100" w:type="dxa"/>
            <w:vAlign w:val="bottom"/>
          </w:tcPr>
          <w:p>
            <w:pPr>
              <w:spacing w:after="0"/>
              <w:rPr>
                <w:sz w:val="14"/>
                <w:szCs w:val="14"/>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4"/>
                <w:szCs w:val="14"/>
                <w:color w:val="231F20"/>
              </w:rPr>
              <w:t>this</w:t>
            </w:r>
          </w:p>
        </w:tc>
        <w:tc>
          <w:tcPr>
            <w:tcW w:w="8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231F20"/>
              </w:rPr>
              <w:t>Sublease)</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231F20"/>
              </w:rPr>
              <w:t>requiring</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231F20"/>
              </w:rPr>
              <w:t>the</w:t>
            </w:r>
          </w:p>
        </w:tc>
        <w:tc>
          <w:tcPr>
            <w:tcW w:w="7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231F20"/>
              </w:rPr>
              <w:t>approval</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231F20"/>
              </w:rPr>
              <w:t>or</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231F20"/>
              </w:rPr>
              <w:t>consent</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of</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231F20"/>
              </w:rPr>
              <w:t>Landlord,</w:t>
            </w:r>
          </w:p>
        </w:tc>
        <w:tc>
          <w:tcPr>
            <w:tcW w:w="600" w:type="dxa"/>
            <w:vAlign w:val="bottom"/>
          </w:tcPr>
          <w:p>
            <w:pPr>
              <w:ind w:left="40"/>
              <w:spacing w:after="0"/>
              <w:rPr>
                <w:sz w:val="20"/>
                <w:szCs w:val="20"/>
                <w:color w:val="auto"/>
              </w:rPr>
            </w:pPr>
            <w:r>
              <w:rPr>
                <w:rFonts w:ascii="Times New Roman" w:cs="Times New Roman" w:eastAsia="Times New Roman" w:hAnsi="Times New Roman"/>
                <w:sz w:val="14"/>
                <w:szCs w:val="14"/>
                <w:color w:val="231F20"/>
                <w:w w:val="96"/>
              </w:rPr>
              <w:t>Subtenant</w:t>
            </w:r>
          </w:p>
        </w:tc>
        <w:tc>
          <w:tcPr>
            <w:tcW w:w="500" w:type="dxa"/>
            <w:vAlign w:val="bottom"/>
          </w:tcPr>
          <w:p>
            <w:pPr>
              <w:ind w:left="200"/>
              <w:spacing w:after="0"/>
              <w:rPr>
                <w:sz w:val="20"/>
                <w:szCs w:val="20"/>
                <w:color w:val="auto"/>
              </w:rPr>
            </w:pPr>
            <w:r>
              <w:rPr>
                <w:rFonts w:ascii="Times New Roman" w:cs="Times New Roman" w:eastAsia="Times New Roman" w:hAnsi="Times New Roman"/>
                <w:sz w:val="14"/>
                <w:szCs w:val="14"/>
                <w:color w:val="231F20"/>
              </w:rPr>
              <w:t>shall</w:t>
            </w:r>
          </w:p>
        </w:tc>
        <w:tc>
          <w:tcPr>
            <w:tcW w:w="460" w:type="dxa"/>
            <w:vAlign w:val="bottom"/>
          </w:tcPr>
          <w:p>
            <w:pPr>
              <w:ind w:left="180"/>
              <w:spacing w:after="0"/>
              <w:rPr>
                <w:sz w:val="20"/>
                <w:szCs w:val="20"/>
                <w:color w:val="auto"/>
              </w:rPr>
            </w:pPr>
            <w:r>
              <w:rPr>
                <w:rFonts w:ascii="Times New Roman" w:cs="Times New Roman" w:eastAsia="Times New Roman" w:hAnsi="Times New Roman"/>
                <w:sz w:val="14"/>
                <w:szCs w:val="14"/>
                <w:color w:val="231F20"/>
              </w:rPr>
              <w:t>be</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231F20"/>
              </w:rPr>
              <w:t>required</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to</w:t>
            </w:r>
          </w:p>
        </w:tc>
        <w:tc>
          <w:tcPr>
            <w:tcW w:w="0" w:type="dxa"/>
            <w:vAlign w:val="bottom"/>
          </w:tcPr>
          <w:p>
            <w:pPr>
              <w:spacing w:after="0"/>
              <w:rPr>
                <w:sz w:val="1"/>
                <w:szCs w:val="1"/>
                <w:color w:val="auto"/>
              </w:rPr>
            </w:pPr>
          </w:p>
        </w:tc>
      </w:tr>
      <w:tr>
        <w:trPr>
          <w:trHeight w:val="188"/>
        </w:trPr>
        <w:tc>
          <w:tcPr>
            <w:tcW w:w="7760" w:type="dxa"/>
            <w:vAlign w:val="bottom"/>
            <w:gridSpan w:val="22"/>
          </w:tcPr>
          <w:p>
            <w:pPr>
              <w:ind w:left="420"/>
              <w:spacing w:after="0"/>
              <w:rPr>
                <w:sz w:val="20"/>
                <w:szCs w:val="20"/>
                <w:color w:val="auto"/>
              </w:rPr>
            </w:pPr>
            <w:r>
              <w:rPr>
                <w:rFonts w:ascii="Times New Roman" w:cs="Times New Roman" w:eastAsia="Times New Roman" w:hAnsi="Times New Roman"/>
                <w:sz w:val="14"/>
                <w:szCs w:val="14"/>
                <w:color w:val="231F20"/>
              </w:rPr>
              <w:t>obtain the approval or consent of both Sublandlord (not to be unreasonably denied, delayed or conditioned) and Landlord.</w:t>
            </w: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231F20"/>
              </w:rPr>
              <w:t>11.2.2</w:t>
            </w:r>
          </w:p>
        </w:tc>
        <w:tc>
          <w:tcPr>
            <w:tcW w:w="280" w:type="dxa"/>
            <w:vAlign w:val="bottom"/>
          </w:tcPr>
          <w:p>
            <w:pPr>
              <w:spacing w:after="0"/>
              <w:rPr>
                <w:sz w:val="17"/>
                <w:szCs w:val="17"/>
                <w:color w:val="auto"/>
              </w:rPr>
            </w:pPr>
          </w:p>
        </w:tc>
        <w:tc>
          <w:tcPr>
            <w:tcW w:w="7180" w:type="dxa"/>
            <w:vAlign w:val="bottom"/>
            <w:gridSpan w:val="20"/>
          </w:tcPr>
          <w:p>
            <w:pPr>
              <w:jc w:val="right"/>
              <w:spacing w:after="0"/>
              <w:rPr>
                <w:sz w:val="20"/>
                <w:szCs w:val="20"/>
                <w:color w:val="auto"/>
              </w:rPr>
            </w:pPr>
            <w:r>
              <w:rPr>
                <w:rFonts w:ascii="Times New Roman" w:cs="Times New Roman" w:eastAsia="Times New Roman" w:hAnsi="Times New Roman"/>
                <w:sz w:val="14"/>
                <w:szCs w:val="14"/>
                <w:color w:val="231F20"/>
              </w:rPr>
              <w:t>Subject to Section 11.2.4 below regarding excluded provisions, in all provisions of the Master Lease requiring Tenant</w:t>
            </w:r>
          </w:p>
        </w:tc>
        <w:tc>
          <w:tcPr>
            <w:tcW w:w="0" w:type="dxa"/>
            <w:vAlign w:val="bottom"/>
          </w:tcPr>
          <w:p>
            <w:pPr>
              <w:spacing w:after="0"/>
              <w:rPr>
                <w:sz w:val="1"/>
                <w:szCs w:val="1"/>
                <w:color w:val="auto"/>
              </w:rPr>
            </w:pPr>
          </w:p>
        </w:tc>
      </w:tr>
      <w:tr>
        <w:trPr>
          <w:trHeight w:val="151"/>
        </w:trPr>
        <w:tc>
          <w:tcPr>
            <w:tcW w:w="640" w:type="dxa"/>
            <w:vAlign w:val="bottom"/>
          </w:tcPr>
          <w:p>
            <w:pPr>
              <w:ind w:left="420"/>
              <w:spacing w:after="0" w:line="151" w:lineRule="exact"/>
              <w:rPr>
                <w:sz w:val="20"/>
                <w:szCs w:val="20"/>
                <w:color w:val="auto"/>
              </w:rPr>
            </w:pPr>
            <w:r>
              <w:rPr>
                <w:rFonts w:ascii="Times New Roman" w:cs="Times New Roman" w:eastAsia="Times New Roman" w:hAnsi="Times New Roman"/>
                <w:sz w:val="14"/>
                <w:szCs w:val="14"/>
                <w:color w:val="231F20"/>
              </w:rPr>
              <w:t>to</w:t>
            </w:r>
          </w:p>
        </w:tc>
        <w:tc>
          <w:tcPr>
            <w:tcW w:w="600" w:type="dxa"/>
            <w:vAlign w:val="bottom"/>
          </w:tcPr>
          <w:p>
            <w:pPr>
              <w:jc w:val="center"/>
              <w:ind w:left="8"/>
              <w:spacing w:after="0" w:line="151" w:lineRule="exact"/>
              <w:rPr>
                <w:sz w:val="20"/>
                <w:szCs w:val="20"/>
                <w:color w:val="auto"/>
              </w:rPr>
            </w:pPr>
            <w:r>
              <w:rPr>
                <w:rFonts w:ascii="Times New Roman" w:cs="Times New Roman" w:eastAsia="Times New Roman" w:hAnsi="Times New Roman"/>
                <w:sz w:val="14"/>
                <w:szCs w:val="14"/>
                <w:color w:val="231F20"/>
              </w:rPr>
              <w:t>submit,</w:t>
            </w:r>
          </w:p>
        </w:tc>
        <w:tc>
          <w:tcPr>
            <w:tcW w:w="780" w:type="dxa"/>
            <w:vAlign w:val="bottom"/>
            <w:gridSpan w:val="3"/>
          </w:tcPr>
          <w:p>
            <w:pPr>
              <w:ind w:left="180"/>
              <w:spacing w:after="0" w:line="151" w:lineRule="exact"/>
              <w:rPr>
                <w:sz w:val="20"/>
                <w:szCs w:val="20"/>
                <w:color w:val="auto"/>
              </w:rPr>
            </w:pPr>
            <w:r>
              <w:rPr>
                <w:rFonts w:ascii="Times New Roman" w:cs="Times New Roman" w:eastAsia="Times New Roman" w:hAnsi="Times New Roman"/>
                <w:sz w:val="14"/>
                <w:szCs w:val="14"/>
                <w:color w:val="231F20"/>
              </w:rPr>
              <w:t>exhibit</w:t>
            </w:r>
          </w:p>
        </w:tc>
        <w:tc>
          <w:tcPr>
            <w:tcW w:w="38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4"/>
                <w:szCs w:val="14"/>
                <w:color w:val="231F20"/>
              </w:rPr>
              <w:t>to,</w:t>
            </w:r>
          </w:p>
        </w:tc>
        <w:tc>
          <w:tcPr>
            <w:tcW w:w="520" w:type="dxa"/>
            <w:vAlign w:val="bottom"/>
          </w:tcPr>
          <w:p>
            <w:pPr>
              <w:ind w:left="40"/>
              <w:spacing w:after="0" w:line="151" w:lineRule="exact"/>
              <w:rPr>
                <w:sz w:val="20"/>
                <w:szCs w:val="20"/>
                <w:color w:val="auto"/>
              </w:rPr>
            </w:pPr>
            <w:r>
              <w:rPr>
                <w:rFonts w:ascii="Times New Roman" w:cs="Times New Roman" w:eastAsia="Times New Roman" w:hAnsi="Times New Roman"/>
                <w:sz w:val="14"/>
                <w:szCs w:val="14"/>
                <w:color w:val="231F20"/>
              </w:rPr>
              <w:t>supply</w:t>
            </w:r>
          </w:p>
        </w:tc>
        <w:tc>
          <w:tcPr>
            <w:tcW w:w="360" w:type="dxa"/>
            <w:vAlign w:val="bottom"/>
          </w:tcPr>
          <w:p>
            <w:pPr>
              <w:jc w:val="right"/>
              <w:ind w:right="48"/>
              <w:spacing w:after="0" w:line="151" w:lineRule="exact"/>
              <w:rPr>
                <w:sz w:val="20"/>
                <w:szCs w:val="20"/>
                <w:color w:val="auto"/>
              </w:rPr>
            </w:pPr>
            <w:r>
              <w:rPr>
                <w:rFonts w:ascii="Times New Roman" w:cs="Times New Roman" w:eastAsia="Times New Roman" w:hAnsi="Times New Roman"/>
                <w:sz w:val="14"/>
                <w:szCs w:val="14"/>
                <w:color w:val="231F20"/>
              </w:rPr>
              <w:t>or</w:t>
            </w:r>
          </w:p>
        </w:tc>
        <w:tc>
          <w:tcPr>
            <w:tcW w:w="680" w:type="dxa"/>
            <w:vAlign w:val="bottom"/>
            <w:tcBorders>
              <w:top w:val="single" w:sz="8" w:color="231F20"/>
            </w:tcBorders>
            <w:gridSpan w:val="2"/>
          </w:tcPr>
          <w:p>
            <w:pPr>
              <w:ind w:left="120"/>
              <w:spacing w:after="0" w:line="151" w:lineRule="exact"/>
              <w:rPr>
                <w:sz w:val="20"/>
                <w:szCs w:val="20"/>
                <w:color w:val="auto"/>
              </w:rPr>
            </w:pPr>
            <w:r>
              <w:rPr>
                <w:rFonts w:ascii="Times New Roman" w:cs="Times New Roman" w:eastAsia="Times New Roman" w:hAnsi="Times New Roman"/>
                <w:sz w:val="14"/>
                <w:szCs w:val="14"/>
                <w:color w:val="231F20"/>
              </w:rPr>
              <w:t>provide</w:t>
            </w:r>
          </w:p>
        </w:tc>
        <w:tc>
          <w:tcPr>
            <w:tcW w:w="160" w:type="dxa"/>
            <w:vAlign w:val="bottom"/>
            <w:tcBorders>
              <w:top w:val="single" w:sz="8" w:color="231F20"/>
            </w:tcBorders>
          </w:tcPr>
          <w:p>
            <w:pPr>
              <w:spacing w:after="0"/>
              <w:rPr>
                <w:sz w:val="13"/>
                <w:szCs w:val="13"/>
                <w:color w:val="auto"/>
              </w:rPr>
            </w:pPr>
          </w:p>
        </w:tc>
        <w:tc>
          <w:tcPr>
            <w:tcW w:w="56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231F20"/>
              </w:rPr>
              <w:t>Landlord</w:t>
            </w:r>
          </w:p>
        </w:tc>
        <w:tc>
          <w:tcPr>
            <w:tcW w:w="4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231F20"/>
              </w:rPr>
              <w:t>with</w:t>
            </w:r>
          </w:p>
        </w:tc>
        <w:tc>
          <w:tcPr>
            <w:tcW w:w="180" w:type="dxa"/>
            <w:vAlign w:val="bottom"/>
          </w:tcPr>
          <w:p>
            <w:pPr>
              <w:spacing w:after="0"/>
              <w:rPr>
                <w:sz w:val="13"/>
                <w:szCs w:val="13"/>
                <w:color w:val="auto"/>
              </w:rPr>
            </w:pPr>
          </w:p>
        </w:tc>
        <w:tc>
          <w:tcPr>
            <w:tcW w:w="58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color w:val="231F20"/>
              </w:rPr>
              <w:t>evidence,</w:t>
            </w:r>
          </w:p>
        </w:tc>
        <w:tc>
          <w:tcPr>
            <w:tcW w:w="180" w:type="dxa"/>
            <w:vAlign w:val="bottom"/>
          </w:tcPr>
          <w:p>
            <w:pPr>
              <w:spacing w:after="0"/>
              <w:rPr>
                <w:sz w:val="13"/>
                <w:szCs w:val="13"/>
                <w:color w:val="auto"/>
              </w:rPr>
            </w:pPr>
          </w:p>
        </w:tc>
        <w:tc>
          <w:tcPr>
            <w:tcW w:w="820" w:type="dxa"/>
            <w:vAlign w:val="bottom"/>
            <w:gridSpan w:val="2"/>
          </w:tcPr>
          <w:p>
            <w:pPr>
              <w:jc w:val="right"/>
              <w:ind w:right="28"/>
              <w:spacing w:after="0" w:line="151" w:lineRule="exact"/>
              <w:rPr>
                <w:sz w:val="20"/>
                <w:szCs w:val="20"/>
                <w:color w:val="auto"/>
              </w:rPr>
            </w:pPr>
            <w:r>
              <w:rPr>
                <w:rFonts w:ascii="Times New Roman" w:cs="Times New Roman" w:eastAsia="Times New Roman" w:hAnsi="Times New Roman"/>
                <w:sz w:val="14"/>
                <w:szCs w:val="14"/>
                <w:color w:val="231F20"/>
              </w:rPr>
              <w:t>certificates,</w:t>
            </w:r>
          </w:p>
        </w:tc>
        <w:tc>
          <w:tcPr>
            <w:tcW w:w="300" w:type="dxa"/>
            <w:vAlign w:val="bottom"/>
          </w:tcPr>
          <w:p>
            <w:pPr>
              <w:ind w:left="120"/>
              <w:spacing w:after="0" w:line="151" w:lineRule="exact"/>
              <w:rPr>
                <w:sz w:val="20"/>
                <w:szCs w:val="20"/>
                <w:color w:val="auto"/>
              </w:rPr>
            </w:pPr>
            <w:r>
              <w:rPr>
                <w:rFonts w:ascii="Times New Roman" w:cs="Times New Roman" w:eastAsia="Times New Roman" w:hAnsi="Times New Roman"/>
                <w:sz w:val="14"/>
                <w:szCs w:val="14"/>
                <w:color w:val="231F20"/>
              </w:rPr>
              <w:t>or</w:t>
            </w:r>
          </w:p>
        </w:tc>
        <w:tc>
          <w:tcPr>
            <w:tcW w:w="600" w:type="dxa"/>
            <w:vAlign w:val="bottom"/>
          </w:tcPr>
          <w:p>
            <w:pPr>
              <w:ind w:left="180"/>
              <w:spacing w:after="0" w:line="151" w:lineRule="exact"/>
              <w:rPr>
                <w:sz w:val="20"/>
                <w:szCs w:val="20"/>
                <w:color w:val="auto"/>
              </w:rPr>
            </w:pPr>
            <w:r>
              <w:rPr>
                <w:rFonts w:ascii="Times New Roman" w:cs="Times New Roman" w:eastAsia="Times New Roman" w:hAnsi="Times New Roman"/>
                <w:sz w:val="14"/>
                <w:szCs w:val="14"/>
                <w:color w:val="231F20"/>
              </w:rPr>
              <w:t>any</w:t>
            </w:r>
          </w:p>
        </w:tc>
        <w:tc>
          <w:tcPr>
            <w:tcW w:w="50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color w:val="231F20"/>
              </w:rPr>
              <w:t>other</w:t>
            </w:r>
          </w:p>
        </w:tc>
        <w:tc>
          <w:tcPr>
            <w:tcW w:w="460" w:type="dxa"/>
            <w:vAlign w:val="bottom"/>
          </w:tcPr>
          <w:p>
            <w:pPr>
              <w:ind w:left="40"/>
              <w:spacing w:after="0" w:line="151" w:lineRule="exact"/>
              <w:rPr>
                <w:sz w:val="20"/>
                <w:szCs w:val="20"/>
                <w:color w:val="auto"/>
              </w:rPr>
            </w:pPr>
            <w:r>
              <w:rPr>
                <w:rFonts w:ascii="Times New Roman" w:cs="Times New Roman" w:eastAsia="Times New Roman" w:hAnsi="Times New Roman"/>
                <w:sz w:val="14"/>
                <w:szCs w:val="14"/>
                <w:color w:val="231F20"/>
              </w:rPr>
              <w:t>matter</w:t>
            </w:r>
          </w:p>
        </w:tc>
        <w:tc>
          <w:tcPr>
            <w:tcW w:w="460" w:type="dxa"/>
            <w:vAlign w:val="bottom"/>
          </w:tcPr>
          <w:p>
            <w:pPr>
              <w:ind w:left="180"/>
              <w:spacing w:after="0" w:line="151" w:lineRule="exact"/>
              <w:rPr>
                <w:sz w:val="20"/>
                <w:szCs w:val="20"/>
                <w:color w:val="auto"/>
              </w:rPr>
            </w:pPr>
            <w:r>
              <w:rPr>
                <w:rFonts w:ascii="Times New Roman" w:cs="Times New Roman" w:eastAsia="Times New Roman" w:hAnsi="Times New Roman"/>
                <w:sz w:val="14"/>
                <w:szCs w:val="14"/>
                <w:color w:val="231F20"/>
              </w:rPr>
              <w:t>or</w:t>
            </w:r>
          </w:p>
        </w:tc>
        <w:tc>
          <w:tcPr>
            <w:tcW w:w="40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231F20"/>
              </w:rPr>
              <w:t>thing,</w:t>
            </w:r>
          </w:p>
        </w:tc>
        <w:tc>
          <w:tcPr>
            <w:tcW w:w="0" w:type="dxa"/>
            <w:vAlign w:val="bottom"/>
          </w:tcPr>
          <w:p>
            <w:pPr>
              <w:spacing w:after="0"/>
              <w:rPr>
                <w:sz w:val="1"/>
                <w:szCs w:val="1"/>
                <w:color w:val="auto"/>
              </w:rPr>
            </w:pPr>
          </w:p>
        </w:tc>
      </w:tr>
      <w:tr>
        <w:trPr>
          <w:trHeight w:val="178"/>
        </w:trPr>
        <w:tc>
          <w:tcPr>
            <w:tcW w:w="12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231F20"/>
              </w:rPr>
              <w:t>Subtenant</w:t>
            </w:r>
          </w:p>
        </w:tc>
        <w:tc>
          <w:tcPr>
            <w:tcW w:w="400" w:type="dxa"/>
            <w:vAlign w:val="bottom"/>
          </w:tcPr>
          <w:p>
            <w:pPr>
              <w:ind w:left="40"/>
              <w:spacing w:after="0"/>
              <w:rPr>
                <w:sz w:val="20"/>
                <w:szCs w:val="20"/>
                <w:color w:val="auto"/>
              </w:rPr>
            </w:pPr>
            <w:r>
              <w:rPr>
                <w:rFonts w:ascii="Times New Roman" w:cs="Times New Roman" w:eastAsia="Times New Roman" w:hAnsi="Times New Roman"/>
                <w:sz w:val="14"/>
                <w:szCs w:val="14"/>
                <w:color w:val="231F20"/>
              </w:rPr>
              <w:t>shall</w:t>
            </w:r>
          </w:p>
        </w:tc>
        <w:tc>
          <w:tcPr>
            <w:tcW w:w="140" w:type="dxa"/>
            <w:vAlign w:val="bottom"/>
          </w:tcPr>
          <w:p>
            <w:pPr>
              <w:spacing w:after="0"/>
              <w:rPr>
                <w:sz w:val="15"/>
                <w:szCs w:val="15"/>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be</w:t>
            </w:r>
          </w:p>
        </w:tc>
        <w:tc>
          <w:tcPr>
            <w:tcW w:w="100" w:type="dxa"/>
            <w:vAlign w:val="bottom"/>
          </w:tcPr>
          <w:p>
            <w:pPr>
              <w:spacing w:after="0"/>
              <w:rPr>
                <w:sz w:val="15"/>
                <w:szCs w:val="15"/>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231F20"/>
              </w:rPr>
              <w:t>required</w:t>
            </w:r>
          </w:p>
        </w:tc>
        <w:tc>
          <w:tcPr>
            <w:tcW w:w="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231F20"/>
              </w:rPr>
              <w:t>to</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231F20"/>
              </w:rPr>
              <w:t>submit,</w:t>
            </w:r>
          </w:p>
        </w:tc>
        <w:tc>
          <w:tcPr>
            <w:tcW w:w="7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231F20"/>
              </w:rPr>
              <w:t>exhibit</w:t>
            </w:r>
          </w:p>
        </w:tc>
        <w:tc>
          <w:tcPr>
            <w:tcW w:w="4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231F20"/>
              </w:rPr>
              <w:t>to,</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231F20"/>
              </w:rPr>
              <w:t>supply</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or</w:t>
            </w:r>
          </w:p>
        </w:tc>
        <w:tc>
          <w:tcPr>
            <w:tcW w:w="20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231F20"/>
              </w:rPr>
              <w:t>provide,</w:t>
            </w:r>
          </w:p>
        </w:tc>
        <w:tc>
          <w:tcPr>
            <w:tcW w:w="30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as</w:t>
            </w:r>
          </w:p>
        </w:tc>
        <w:tc>
          <w:tcPr>
            <w:tcW w:w="600" w:type="dxa"/>
            <w:vAlign w:val="bottom"/>
          </w:tcPr>
          <w:p>
            <w:pPr>
              <w:ind w:left="260"/>
              <w:spacing w:after="0"/>
              <w:rPr>
                <w:sz w:val="20"/>
                <w:szCs w:val="20"/>
                <w:color w:val="auto"/>
              </w:rPr>
            </w:pPr>
            <w:r>
              <w:rPr>
                <w:rFonts w:ascii="Times New Roman" w:cs="Times New Roman" w:eastAsia="Times New Roman" w:hAnsi="Times New Roman"/>
                <w:sz w:val="14"/>
                <w:szCs w:val="14"/>
                <w:color w:val="231F20"/>
              </w:rPr>
              <w:t>the</w:t>
            </w:r>
          </w:p>
        </w:tc>
        <w:tc>
          <w:tcPr>
            <w:tcW w:w="500" w:type="dxa"/>
            <w:vAlign w:val="bottom"/>
          </w:tcPr>
          <w:p>
            <w:pPr>
              <w:ind w:left="120"/>
              <w:spacing w:after="0"/>
              <w:rPr>
                <w:sz w:val="20"/>
                <w:szCs w:val="20"/>
                <w:color w:val="auto"/>
              </w:rPr>
            </w:pPr>
            <w:r>
              <w:rPr>
                <w:rFonts w:ascii="Times New Roman" w:cs="Times New Roman" w:eastAsia="Times New Roman" w:hAnsi="Times New Roman"/>
                <w:sz w:val="14"/>
                <w:szCs w:val="14"/>
                <w:color w:val="231F20"/>
              </w:rPr>
              <w:t>case</w:t>
            </w:r>
          </w:p>
        </w:tc>
        <w:tc>
          <w:tcPr>
            <w:tcW w:w="46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may</w:t>
            </w:r>
          </w:p>
        </w:tc>
        <w:tc>
          <w:tcPr>
            <w:tcW w:w="46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231F20"/>
                <w:w w:val="95"/>
              </w:rPr>
              <w:t>be,</w:t>
            </w:r>
          </w:p>
        </w:tc>
        <w:tc>
          <w:tcPr>
            <w:tcW w:w="1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the</w:t>
            </w:r>
          </w:p>
        </w:tc>
        <w:tc>
          <w:tcPr>
            <w:tcW w:w="0" w:type="dxa"/>
            <w:vAlign w:val="bottom"/>
          </w:tcPr>
          <w:p>
            <w:pPr>
              <w:spacing w:after="0"/>
              <w:rPr>
                <w:sz w:val="1"/>
                <w:szCs w:val="1"/>
                <w:color w:val="auto"/>
              </w:rPr>
            </w:pPr>
          </w:p>
        </w:tc>
      </w:tr>
    </w:tbl>
    <w:p>
      <w:pPr>
        <w:jc w:val="both"/>
        <w:ind w:left="420" w:right="20"/>
        <w:spacing w:after="0" w:line="258" w:lineRule="auto"/>
        <w:rPr>
          <w:sz w:val="20"/>
          <w:szCs w:val="20"/>
          <w:color w:val="auto"/>
        </w:rPr>
      </w:pPr>
      <w:r>
        <w:rPr>
          <w:rFonts w:ascii="Times New Roman" w:cs="Times New Roman" w:eastAsia="Times New Roman" w:hAnsi="Times New Roman"/>
          <w:sz w:val="14"/>
          <w:szCs w:val="14"/>
          <w:color w:val="231F20"/>
        </w:rPr>
        <w:t>same to both Landlord and Sublandlord. In any such instance, Sublandlord shall determine, in its reasonable discretion, if such evidence, certificate or other matter or thing shall be satisfactory.</w:t>
      </w:r>
    </w:p>
    <w:p>
      <w:pPr>
        <w:spacing w:after="0" w:line="34" w:lineRule="exact"/>
        <w:rPr>
          <w:sz w:val="20"/>
          <w:szCs w:val="20"/>
          <w:color w:val="auto"/>
        </w:rPr>
      </w:pPr>
    </w:p>
    <w:p>
      <w:pPr>
        <w:jc w:val="both"/>
        <w:ind w:left="420" w:firstLine="1296"/>
        <w:spacing w:after="0" w:line="252" w:lineRule="auto"/>
        <w:rPr>
          <w:sz w:val="20"/>
          <w:szCs w:val="20"/>
          <w:color w:val="auto"/>
        </w:rPr>
      </w:pPr>
      <w:r>
        <w:rPr>
          <w:rFonts w:ascii="Times New Roman" w:cs="Times New Roman" w:eastAsia="Times New Roman" w:hAnsi="Times New Roman"/>
          <w:sz w:val="14"/>
          <w:szCs w:val="14"/>
          <w:color w:val="231F20"/>
        </w:rPr>
        <w:t>11.2.3 Notwithstanding anything to the contrary contained in this Sublease, Sublandlord does not assume any of the obligations of Landlord under the Master Lease and Sublandlord shall not be deemed to have made any representation made by Landlord in the Master Lease. Without limiting the generality of the foregoing, Sublandlord shall have no obligation to restore or rebuild any portion of the Subleased Premises after any destruction or taking by eminent domain; provided, however, that if such restoration exceeds 270 days, or extends into the last twelve (12) months of the</w:t>
      </w:r>
    </w:p>
    <w:p>
      <w:pPr>
        <w:spacing w:after="0" w:line="28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141605</wp:posOffset>
            </wp:positionV>
            <wp:extent cx="694055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6940550" cy="42545"/>
                    </a:xfrm>
                    <a:prstGeom prst="rect">
                      <a:avLst/>
                    </a:prstGeom>
                    <a:noFill/>
                  </pic:spPr>
                </pic:pic>
              </a:graphicData>
            </a:graphic>
          </wp:anchor>
        </w:drawing>
      </w:r>
    </w:p>
    <w:p>
      <w:pPr>
        <w:sectPr>
          <w:pgSz w:w="11900" w:h="16838" w:orient="portrait"/>
          <w:cols w:equalWidth="0" w:num="1">
            <w:col w:w="9580"/>
          </w:cols>
          <w:pgMar w:left="1160" w:top="749" w:right="1159" w:bottom="1440" w:gutter="0" w:footer="0" w:header="0"/>
        </w:sectPr>
      </w:pPr>
    </w:p>
    <w:bookmarkStart w:id="60" w:name="page61"/>
    <w:bookmarkEnd w:id="60"/>
    <w:p>
      <w:pPr>
        <w:ind w:left="420"/>
        <w:spacing w:after="0"/>
        <w:rPr>
          <w:sz w:val="20"/>
          <w:szCs w:val="20"/>
          <w:color w:val="auto"/>
        </w:rPr>
      </w:pPr>
      <w:r>
        <w:rPr>
          <w:rFonts w:ascii="Times New Roman" w:cs="Times New Roman" w:eastAsia="Times New Roman" w:hAnsi="Times New Roman"/>
          <w:sz w:val="14"/>
          <w:szCs w:val="14"/>
          <w:color w:val="231F20"/>
        </w:rPr>
        <w:t>Sublease Term, Subtenant shall have the concurrent right to terminate this Sublease, whether or not Sublandlord elects to terminate under the Master Lease.</w:t>
      </w:r>
    </w:p>
    <w:p>
      <w:pPr>
        <w:spacing w:after="0" w:line="73" w:lineRule="exact"/>
        <w:rPr>
          <w:sz w:val="20"/>
          <w:szCs w:val="20"/>
          <w:color w:val="auto"/>
        </w:rPr>
      </w:pPr>
    </w:p>
    <w:p>
      <w:pPr>
        <w:jc w:val="both"/>
        <w:ind w:left="420" w:firstLine="1296"/>
        <w:spacing w:after="0" w:line="261" w:lineRule="auto"/>
        <w:rPr>
          <w:sz w:val="20"/>
          <w:szCs w:val="20"/>
          <w:color w:val="auto"/>
        </w:rPr>
      </w:pPr>
      <w:r>
        <w:rPr>
          <w:rFonts w:ascii="Times New Roman" w:cs="Times New Roman" w:eastAsia="Times New Roman" w:hAnsi="Times New Roman"/>
          <w:sz w:val="14"/>
          <w:szCs w:val="14"/>
          <w:color w:val="231F20"/>
        </w:rPr>
        <w:t>11.2.4 Sublandlord shall act in good faith and use commercially reasonable efforts to assist Subtenant to protect Subtenant’s interests under the Master Lease in connection with Subtenant’s rights under this Sublease, including but not limited to notices, approvals, consents, abatements, security deposit transfers, or other matters affecting Subtenant’s rights or obligations hereunder.</w:t>
      </w:r>
    </w:p>
    <w:p>
      <w:pPr>
        <w:spacing w:after="0" w:line="33" w:lineRule="exact"/>
        <w:rPr>
          <w:sz w:val="20"/>
          <w:szCs w:val="20"/>
          <w:color w:val="auto"/>
        </w:rPr>
      </w:pPr>
    </w:p>
    <w:p>
      <w:pPr>
        <w:jc w:val="both"/>
        <w:ind w:left="420" w:firstLine="1296"/>
        <w:spacing w:after="0" w:line="253" w:lineRule="auto"/>
        <w:rPr>
          <w:sz w:val="20"/>
          <w:szCs w:val="20"/>
          <w:color w:val="auto"/>
        </w:rPr>
      </w:pPr>
      <w:r>
        <w:rPr>
          <w:rFonts w:ascii="Times New Roman" w:cs="Times New Roman" w:eastAsia="Times New Roman" w:hAnsi="Times New Roman"/>
          <w:sz w:val="14"/>
          <w:szCs w:val="14"/>
          <w:color w:val="231F20"/>
        </w:rPr>
        <w:t>11.2.5 Any rent abatement available to Tenant under the Master Lease with respect to the Premises shall automatically pass through to Subtenant and shall</w:t>
      </w:r>
    </w:p>
    <w:p>
      <w:pPr>
        <w:spacing w:after="0" w:line="1" w:lineRule="exact"/>
        <w:rPr>
          <w:sz w:val="20"/>
          <w:szCs w:val="20"/>
          <w:color w:val="auto"/>
        </w:rPr>
      </w:pPr>
    </w:p>
    <w:p>
      <w:pPr>
        <w:jc w:val="both"/>
        <w:ind w:left="420" w:right="20"/>
        <w:spacing w:after="0" w:line="258" w:lineRule="auto"/>
        <w:rPr>
          <w:sz w:val="20"/>
          <w:szCs w:val="20"/>
          <w:color w:val="auto"/>
        </w:rPr>
      </w:pPr>
      <w:r>
        <w:rPr>
          <w:rFonts w:ascii="Times New Roman" w:cs="Times New Roman" w:eastAsia="Times New Roman" w:hAnsi="Times New Roman"/>
          <w:sz w:val="14"/>
          <w:szCs w:val="14"/>
          <w:color w:val="231F20"/>
        </w:rPr>
        <w:t>be enforceable as if Subtenant were the direct tenant under the Master Lease. Sublandlord shall not be required to incur any cost or liability beyond what Sublandlord is entitled to under the Master Lease.</w:t>
      </w:r>
    </w:p>
    <w:p>
      <w:pPr>
        <w:spacing w:after="0" w:line="34" w:lineRule="exact"/>
        <w:rPr>
          <w:sz w:val="20"/>
          <w:szCs w:val="20"/>
          <w:color w:val="auto"/>
        </w:rPr>
      </w:pPr>
    </w:p>
    <w:p>
      <w:pPr>
        <w:jc w:val="both"/>
        <w:ind w:left="420" w:firstLine="1296"/>
        <w:spacing w:after="0" w:line="253" w:lineRule="auto"/>
        <w:rPr>
          <w:sz w:val="20"/>
          <w:szCs w:val="20"/>
          <w:color w:val="auto"/>
        </w:rPr>
      </w:pPr>
      <w:r>
        <w:rPr>
          <w:rFonts w:ascii="Times New Roman" w:cs="Times New Roman" w:eastAsia="Times New Roman" w:hAnsi="Times New Roman"/>
          <w:sz w:val="14"/>
          <w:szCs w:val="14"/>
          <w:color w:val="231F20"/>
        </w:rPr>
        <w:t>11.2.6 The following provisions of the Master Lease are specifically excluded from the terms of the Master Lease which are incorporated herein by reference: Section 4 (Rental Payments), Section 5 (Base Rental),</w:t>
      </w:r>
    </w:p>
    <w:tbl>
      <w:tblPr>
        <w:tblLayout w:type="fixed"/>
        <w:tblInd w:w="420" w:type="dxa"/>
        <w:tblCellMar>
          <w:top w:w="0" w:type="dxa"/>
          <w:left w:w="0" w:type="dxa"/>
          <w:bottom w:w="0" w:type="dxa"/>
          <w:right w:w="0" w:type="dxa"/>
        </w:tblCellMar>
      </w:tblPr>
      <w:tr>
        <w:trPr>
          <w:trHeight w:val="147"/>
        </w:trPr>
        <w:tc>
          <w:tcPr>
            <w:tcW w:w="5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231F20"/>
              </w:rPr>
              <w:t>Section</w:t>
            </w:r>
          </w:p>
        </w:tc>
        <w:tc>
          <w:tcPr>
            <w:tcW w:w="420" w:type="dxa"/>
            <w:vAlign w:val="bottom"/>
          </w:tcPr>
          <w:p>
            <w:pPr>
              <w:jc w:val="right"/>
              <w:ind w:right="148"/>
              <w:spacing w:after="0" w:line="147" w:lineRule="exact"/>
              <w:rPr>
                <w:sz w:val="20"/>
                <w:szCs w:val="20"/>
                <w:color w:val="auto"/>
              </w:rPr>
            </w:pPr>
            <w:r>
              <w:rPr>
                <w:rFonts w:ascii="Times New Roman" w:cs="Times New Roman" w:eastAsia="Times New Roman" w:hAnsi="Times New Roman"/>
                <w:sz w:val="14"/>
                <w:szCs w:val="14"/>
                <w:color w:val="231F20"/>
              </w:rPr>
              <w:t>9</w:t>
            </w:r>
          </w:p>
        </w:tc>
        <w:tc>
          <w:tcPr>
            <w:tcW w:w="82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231F20"/>
              </w:rPr>
              <w:t>(Payments),</w:t>
            </w:r>
          </w:p>
        </w:tc>
        <w:tc>
          <w:tcPr>
            <w:tcW w:w="780" w:type="dxa"/>
            <w:vAlign w:val="bottom"/>
          </w:tcPr>
          <w:p>
            <w:pPr>
              <w:ind w:left="160"/>
              <w:spacing w:after="0" w:line="147" w:lineRule="exact"/>
              <w:rPr>
                <w:sz w:val="20"/>
                <w:szCs w:val="20"/>
                <w:color w:val="auto"/>
              </w:rPr>
            </w:pPr>
            <w:r>
              <w:rPr>
                <w:rFonts w:ascii="Times New Roman" w:cs="Times New Roman" w:eastAsia="Times New Roman" w:hAnsi="Times New Roman"/>
                <w:sz w:val="14"/>
                <w:szCs w:val="14"/>
                <w:color w:val="231F20"/>
              </w:rPr>
              <w:t>Section</w:t>
            </w:r>
          </w:p>
        </w:tc>
        <w:tc>
          <w:tcPr>
            <w:tcW w:w="520" w:type="dxa"/>
            <w:vAlign w:val="bottom"/>
          </w:tcPr>
          <w:p>
            <w:pPr>
              <w:ind w:left="80"/>
              <w:spacing w:after="0" w:line="147" w:lineRule="exact"/>
              <w:rPr>
                <w:sz w:val="20"/>
                <w:szCs w:val="20"/>
                <w:color w:val="auto"/>
              </w:rPr>
            </w:pPr>
            <w:r>
              <w:rPr>
                <w:rFonts w:ascii="Times New Roman" w:cs="Times New Roman" w:eastAsia="Times New Roman" w:hAnsi="Times New Roman"/>
                <w:sz w:val="14"/>
                <w:szCs w:val="14"/>
                <w:color w:val="231F20"/>
              </w:rPr>
              <w:t>17(a)</w:t>
            </w:r>
          </w:p>
        </w:tc>
        <w:tc>
          <w:tcPr>
            <w:tcW w:w="54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231F20"/>
              </w:rPr>
              <w:t>(Rent</w:t>
            </w:r>
          </w:p>
        </w:tc>
        <w:tc>
          <w:tcPr>
            <w:tcW w:w="760" w:type="dxa"/>
            <w:vAlign w:val="bottom"/>
          </w:tcPr>
          <w:p>
            <w:pPr>
              <w:ind w:left="160"/>
              <w:spacing w:after="0" w:line="147" w:lineRule="exact"/>
              <w:rPr>
                <w:sz w:val="20"/>
                <w:szCs w:val="20"/>
                <w:color w:val="auto"/>
              </w:rPr>
            </w:pPr>
            <w:r>
              <w:rPr>
                <w:rFonts w:ascii="Times New Roman" w:cs="Times New Roman" w:eastAsia="Times New Roman" w:hAnsi="Times New Roman"/>
                <w:sz w:val="14"/>
                <w:szCs w:val="14"/>
                <w:color w:val="231F20"/>
              </w:rPr>
              <w:t>Defaults),</w:t>
            </w:r>
          </w:p>
        </w:tc>
        <w:tc>
          <w:tcPr>
            <w:tcW w:w="800" w:type="dxa"/>
            <w:vAlign w:val="bottom"/>
          </w:tcPr>
          <w:p>
            <w:pPr>
              <w:ind w:left="240"/>
              <w:spacing w:after="0" w:line="147" w:lineRule="exact"/>
              <w:rPr>
                <w:sz w:val="20"/>
                <w:szCs w:val="20"/>
                <w:color w:val="auto"/>
              </w:rPr>
            </w:pPr>
            <w:r>
              <w:rPr>
                <w:rFonts w:ascii="Times New Roman" w:cs="Times New Roman" w:eastAsia="Times New Roman" w:hAnsi="Times New Roman"/>
                <w:sz w:val="14"/>
                <w:szCs w:val="14"/>
                <w:color w:val="231F20"/>
              </w:rPr>
              <w:t>Section</w:t>
            </w:r>
          </w:p>
        </w:tc>
        <w:tc>
          <w:tcPr>
            <w:tcW w:w="420" w:type="dxa"/>
            <w:vAlign w:val="bottom"/>
          </w:tcPr>
          <w:p>
            <w:pPr>
              <w:jc w:val="right"/>
              <w:ind w:right="88"/>
              <w:spacing w:after="0" w:line="147" w:lineRule="exact"/>
              <w:rPr>
                <w:sz w:val="20"/>
                <w:szCs w:val="20"/>
                <w:color w:val="auto"/>
              </w:rPr>
            </w:pPr>
            <w:r>
              <w:rPr>
                <w:rFonts w:ascii="Times New Roman" w:cs="Times New Roman" w:eastAsia="Times New Roman" w:hAnsi="Times New Roman"/>
                <w:sz w:val="14"/>
                <w:szCs w:val="14"/>
                <w:color w:val="231F20"/>
              </w:rPr>
              <w:t>19</w:t>
            </w:r>
          </w:p>
        </w:tc>
        <w:tc>
          <w:tcPr>
            <w:tcW w:w="9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231F20"/>
              </w:rPr>
              <w:t>(Assignment</w:t>
            </w:r>
          </w:p>
        </w:tc>
        <w:tc>
          <w:tcPr>
            <w:tcW w:w="500" w:type="dxa"/>
            <w:vAlign w:val="bottom"/>
          </w:tcPr>
          <w:p>
            <w:pPr>
              <w:ind w:left="180"/>
              <w:spacing w:after="0" w:line="147" w:lineRule="exact"/>
              <w:rPr>
                <w:sz w:val="20"/>
                <w:szCs w:val="20"/>
                <w:color w:val="auto"/>
              </w:rPr>
            </w:pPr>
            <w:r>
              <w:rPr>
                <w:rFonts w:ascii="Times New Roman" w:cs="Times New Roman" w:eastAsia="Times New Roman" w:hAnsi="Times New Roman"/>
                <w:sz w:val="14"/>
                <w:szCs w:val="14"/>
                <w:color w:val="231F20"/>
              </w:rPr>
              <w:t>and</w:t>
            </w:r>
          </w:p>
        </w:tc>
        <w:tc>
          <w:tcPr>
            <w:tcW w:w="900" w:type="dxa"/>
            <w:vAlign w:val="bottom"/>
          </w:tcPr>
          <w:p>
            <w:pPr>
              <w:ind w:left="160"/>
              <w:spacing w:after="0" w:line="147" w:lineRule="exact"/>
              <w:rPr>
                <w:sz w:val="20"/>
                <w:szCs w:val="20"/>
                <w:color w:val="auto"/>
              </w:rPr>
            </w:pPr>
            <w:r>
              <w:rPr>
                <w:rFonts w:ascii="Times New Roman" w:cs="Times New Roman" w:eastAsia="Times New Roman" w:hAnsi="Times New Roman"/>
                <w:sz w:val="14"/>
                <w:szCs w:val="14"/>
                <w:color w:val="231F20"/>
              </w:rPr>
              <w:t>Subletting),</w:t>
            </w:r>
          </w:p>
        </w:tc>
        <w:tc>
          <w:tcPr>
            <w:tcW w:w="760" w:type="dxa"/>
            <w:vAlign w:val="bottom"/>
          </w:tcPr>
          <w:p>
            <w:pPr>
              <w:ind w:left="200"/>
              <w:spacing w:after="0" w:line="147" w:lineRule="exact"/>
              <w:rPr>
                <w:sz w:val="20"/>
                <w:szCs w:val="20"/>
                <w:color w:val="auto"/>
              </w:rPr>
            </w:pPr>
            <w:r>
              <w:rPr>
                <w:rFonts w:ascii="Times New Roman" w:cs="Times New Roman" w:eastAsia="Times New Roman" w:hAnsi="Times New Roman"/>
                <w:sz w:val="14"/>
                <w:szCs w:val="14"/>
                <w:color w:val="231F20"/>
              </w:rPr>
              <w:t>Section</w:t>
            </w:r>
          </w:p>
        </w:tc>
        <w:tc>
          <w:tcPr>
            <w:tcW w:w="4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231F20"/>
              </w:rPr>
              <w:t>37(b)</w:t>
            </w:r>
          </w:p>
        </w:tc>
      </w:tr>
      <w:tr>
        <w:trPr>
          <w:trHeight w:val="178"/>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231F20"/>
              </w:rPr>
              <w:t>(Indemnification</w:t>
            </w:r>
          </w:p>
        </w:tc>
        <w:tc>
          <w:tcPr>
            <w:tcW w:w="820" w:type="dxa"/>
            <w:vAlign w:val="bottom"/>
          </w:tcPr>
          <w:p>
            <w:pPr>
              <w:ind w:left="380"/>
              <w:spacing w:after="0"/>
              <w:rPr>
                <w:sz w:val="20"/>
                <w:szCs w:val="20"/>
                <w:color w:val="auto"/>
              </w:rPr>
            </w:pPr>
            <w:r>
              <w:rPr>
                <w:rFonts w:ascii="Times New Roman" w:cs="Times New Roman" w:eastAsia="Times New Roman" w:hAnsi="Times New Roman"/>
                <w:sz w:val="14"/>
                <w:szCs w:val="14"/>
                <w:color w:val="231F20"/>
              </w:rPr>
              <w:t>by</w:t>
            </w:r>
          </w:p>
        </w:tc>
        <w:tc>
          <w:tcPr>
            <w:tcW w:w="780" w:type="dxa"/>
            <w:vAlign w:val="bottom"/>
          </w:tcPr>
          <w:p>
            <w:pPr>
              <w:ind w:left="100"/>
              <w:spacing w:after="0"/>
              <w:rPr>
                <w:sz w:val="20"/>
                <w:szCs w:val="20"/>
                <w:color w:val="auto"/>
              </w:rPr>
            </w:pPr>
            <w:r>
              <w:rPr>
                <w:rFonts w:ascii="Times New Roman" w:cs="Times New Roman" w:eastAsia="Times New Roman" w:hAnsi="Times New Roman"/>
                <w:sz w:val="14"/>
                <w:szCs w:val="14"/>
                <w:color w:val="231F20"/>
              </w:rPr>
              <w:t>Landlord),</w:t>
            </w:r>
          </w:p>
        </w:tc>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231F20"/>
              </w:rPr>
              <w:t>Section</w:t>
            </w:r>
          </w:p>
        </w:tc>
        <w:tc>
          <w:tcPr>
            <w:tcW w:w="760" w:type="dxa"/>
            <w:vAlign w:val="bottom"/>
          </w:tcPr>
          <w:p>
            <w:pPr>
              <w:ind w:left="80"/>
              <w:spacing w:after="0"/>
              <w:rPr>
                <w:sz w:val="20"/>
                <w:szCs w:val="20"/>
                <w:color w:val="auto"/>
              </w:rPr>
            </w:pPr>
            <w:r>
              <w:rPr>
                <w:rFonts w:ascii="Times New Roman" w:cs="Times New Roman" w:eastAsia="Times New Roman" w:hAnsi="Times New Roman"/>
                <w:sz w:val="14"/>
                <w:szCs w:val="14"/>
                <w:color w:val="231F20"/>
              </w:rPr>
              <w:t>38(a)</w:t>
            </w:r>
          </w:p>
        </w:tc>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(Delivery</w:t>
            </w: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231F20"/>
              </w:rPr>
              <w:t>of</w:t>
            </w:r>
          </w:p>
        </w:tc>
        <w:tc>
          <w:tcPr>
            <w:tcW w:w="920" w:type="dxa"/>
            <w:vAlign w:val="bottom"/>
          </w:tcPr>
          <w:p>
            <w:pPr>
              <w:ind w:left="280"/>
              <w:spacing w:after="0"/>
              <w:rPr>
                <w:sz w:val="20"/>
                <w:szCs w:val="20"/>
                <w:color w:val="auto"/>
              </w:rPr>
            </w:pPr>
            <w:r>
              <w:rPr>
                <w:rFonts w:ascii="Times New Roman" w:cs="Times New Roman" w:eastAsia="Times New Roman" w:hAnsi="Times New Roman"/>
                <w:sz w:val="14"/>
                <w:szCs w:val="14"/>
                <w:color w:val="231F20"/>
              </w:rPr>
              <w:t>Letter</w:t>
            </w:r>
          </w:p>
        </w:tc>
        <w:tc>
          <w:tcPr>
            <w:tcW w:w="500" w:type="dxa"/>
            <w:vAlign w:val="bottom"/>
          </w:tcPr>
          <w:p>
            <w:pPr>
              <w:ind w:left="100"/>
              <w:spacing w:after="0"/>
              <w:rPr>
                <w:sz w:val="20"/>
                <w:szCs w:val="20"/>
                <w:color w:val="auto"/>
              </w:rPr>
            </w:pPr>
            <w:r>
              <w:rPr>
                <w:rFonts w:ascii="Times New Roman" w:cs="Times New Roman" w:eastAsia="Times New Roman" w:hAnsi="Times New Roman"/>
                <w:sz w:val="14"/>
                <w:szCs w:val="14"/>
                <w:color w:val="231F20"/>
              </w:rPr>
              <w:t>of</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color w:val="231F20"/>
              </w:rPr>
              <w:t>Credit),</w:t>
            </w:r>
          </w:p>
        </w:tc>
        <w:tc>
          <w:tcPr>
            <w:tcW w:w="76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Section</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38(e)</w:t>
            </w:r>
          </w:p>
        </w:tc>
      </w:tr>
    </w:tbl>
    <w:p>
      <w:pPr>
        <w:jc w:val="both"/>
        <w:ind w:left="420"/>
        <w:spacing w:after="0" w:line="258" w:lineRule="auto"/>
        <w:rPr>
          <w:sz w:val="20"/>
          <w:szCs w:val="20"/>
          <w:color w:val="auto"/>
        </w:rPr>
      </w:pPr>
      <w:r>
        <w:rPr>
          <w:rFonts w:ascii="Times New Roman" w:cs="Times New Roman" w:eastAsia="Times New Roman" w:hAnsi="Times New Roman"/>
          <w:sz w:val="14"/>
          <w:szCs w:val="14"/>
          <w:color w:val="231F20"/>
        </w:rPr>
        <w:t>(Security Deposit), Section 40 (Broker), and any other provision of the Master Lease which expressly applies only to any portion of the Premises not part of the Subleased Premises.</w:t>
      </w:r>
    </w:p>
    <w:p>
      <w:pPr>
        <w:spacing w:after="0" w:line="34" w:lineRule="exact"/>
        <w:rPr>
          <w:sz w:val="20"/>
          <w:szCs w:val="20"/>
          <w:color w:val="auto"/>
        </w:rPr>
      </w:pPr>
    </w:p>
    <w:p>
      <w:pPr>
        <w:jc w:val="both"/>
        <w:ind w:firstLine="864"/>
        <w:spacing w:after="0" w:line="166" w:lineRule="exact"/>
        <w:rPr>
          <w:sz w:val="20"/>
          <w:szCs w:val="20"/>
          <w:color w:val="auto"/>
        </w:rPr>
      </w:pPr>
      <w:r>
        <w:rPr>
          <w:rFonts w:ascii="Times New Roman" w:cs="Times New Roman" w:eastAsia="Times New Roman" w:hAnsi="Times New Roman"/>
          <w:sz w:val="14"/>
          <w:szCs w:val="14"/>
          <w:color w:val="231F20"/>
        </w:rPr>
        <w:t xml:space="preserve">11.3 </w:t>
      </w:r>
      <w:r>
        <w:rPr>
          <w:rFonts w:ascii="Times New Roman" w:cs="Times New Roman" w:eastAsia="Times New Roman" w:hAnsi="Times New Roman"/>
          <w:sz w:val="14"/>
          <w:szCs w:val="14"/>
          <w:u w:val="single" w:color="auto"/>
          <w:color w:val="231F20"/>
        </w:rPr>
        <w:t>Performance under Master Lease by Sublandlord and Subtenant</w:t>
      </w:r>
      <w:r>
        <w:rPr>
          <w:rFonts w:ascii="Times New Roman" w:cs="Times New Roman" w:eastAsia="Times New Roman" w:hAnsi="Times New Roman"/>
          <w:sz w:val="14"/>
          <w:szCs w:val="14"/>
          <w:color w:val="231F20"/>
        </w:rPr>
        <w:t>. Subtenant covenants and agrees that all obligations of Sublandlord as Tenant with respect to the Subleased Premises under the Master Lease shall be done or performed by Subtenant, except as otherwise provided by this Sublease, and Subtenant’s obligations shall run to Sublandlord and Landlord as Sublandlord may determine to be appropriate or be required by the respective interests of Sublandlord and Landlord. Sublandlord covenants and agrees with Subtenant that Sublandlord will pay all fixed rent and additional rent payable by Sublandlord pursuant to the Master Lease when due and shall, except for those obligations assumed by Subtenant hereunder, otherwise perform or cause to be performed all duties, obligations and covenants of Tenant under the Master Lease. Notwithstanding the foregoing, commencing on the Sublease Full Commencement Date, Subtenant may, at Sublandlord’s request and with Landlord’s consent, pay all amounts owed by Subtenant hereunder for Base Rent and Operating Expenses directly to Landlord. Subtenant agrees to indemnify and defend Sublandlord, and hold it harmless, from and against any and all claims, damages, losses, expenses and liabilities (including reasonable attorneys’ fees) incurred as a result of the non</w:t>
      </w:r>
      <w:r>
        <w:rPr>
          <w:rFonts w:ascii="MS PGothic" w:cs="MS PGothic" w:eastAsia="MS PGothic" w:hAnsi="MS PGothic"/>
          <w:sz w:val="14"/>
          <w:szCs w:val="14"/>
          <w:color w:val="231F20"/>
        </w:rPr>
        <w:t>‑</w:t>
      </w:r>
      <w:r>
        <w:rPr>
          <w:rFonts w:ascii="Times New Roman" w:cs="Times New Roman" w:eastAsia="Times New Roman" w:hAnsi="Times New Roman"/>
          <w:sz w:val="14"/>
          <w:szCs w:val="14"/>
          <w:color w:val="231F20"/>
        </w:rPr>
        <w:t>performance, non</w:t>
      </w:r>
      <w:r>
        <w:rPr>
          <w:rFonts w:ascii="MS PGothic" w:cs="MS PGothic" w:eastAsia="MS PGothic" w:hAnsi="MS PGothic"/>
          <w:sz w:val="14"/>
          <w:szCs w:val="14"/>
          <w:color w:val="231F20"/>
        </w:rPr>
        <w:t>‑</w:t>
      </w:r>
      <w:r>
        <w:rPr>
          <w:rFonts w:ascii="Times New Roman" w:cs="Times New Roman" w:eastAsia="Times New Roman" w:hAnsi="Times New Roman"/>
          <w:sz w:val="14"/>
          <w:szCs w:val="14"/>
          <w:color w:val="231F20"/>
        </w:rPr>
        <w:t>observance or non</w:t>
      </w:r>
      <w:r>
        <w:rPr>
          <w:rFonts w:ascii="MS PGothic" w:cs="MS PGothic" w:eastAsia="MS PGothic" w:hAnsi="MS PGothic"/>
          <w:sz w:val="14"/>
          <w:szCs w:val="14"/>
          <w:color w:val="231F20"/>
        </w:rPr>
        <w:t>‑</w:t>
      </w:r>
      <w:r>
        <w:rPr>
          <w:rFonts w:ascii="Times New Roman" w:cs="Times New Roman" w:eastAsia="Times New Roman" w:hAnsi="Times New Roman"/>
          <w:sz w:val="14"/>
          <w:szCs w:val="14"/>
          <w:color w:val="231F20"/>
        </w:rPr>
        <w:t>payment of any of Sublandlord’s obligations under the Master Lease which, as a result of this Sublease, became an obligation of Subtenant. Sublandlord and Subtenant each covenant and agree that, during the Term, they shall not do or cause to be done or suffer or permit any act to be done which would or might cause the Master Lease, or the rights of Sublandlord as Tenant under the Master Lease, to be endangered, canceled, terminated, forfeited or surrendered, or which would or might cause Sublandlord to be in default thereunder, or which would constitute a default under this Sublease. The indemnifications set forth in this Section 11.3 shall survive the expiration or earlier termination of this Sublease.</w:t>
      </w:r>
    </w:p>
    <w:p>
      <w:pPr>
        <w:spacing w:after="0" w:line="213" w:lineRule="exact"/>
        <w:rPr>
          <w:sz w:val="20"/>
          <w:szCs w:val="20"/>
          <w:color w:val="auto"/>
        </w:rPr>
      </w:pPr>
    </w:p>
    <w:p>
      <w:pPr>
        <w:jc w:val="both"/>
        <w:ind w:right="20" w:firstLine="864"/>
        <w:spacing w:after="0" w:line="282" w:lineRule="auto"/>
        <w:rPr>
          <w:sz w:val="20"/>
          <w:szCs w:val="20"/>
          <w:color w:val="auto"/>
        </w:rPr>
      </w:pPr>
      <w:r>
        <w:rPr>
          <w:rFonts w:ascii="Times New Roman" w:cs="Times New Roman" w:eastAsia="Times New Roman" w:hAnsi="Times New Roman"/>
          <w:sz w:val="14"/>
          <w:szCs w:val="14"/>
          <w:color w:val="231F20"/>
        </w:rPr>
        <w:t xml:space="preserve">11.4 </w:t>
      </w:r>
      <w:r>
        <w:rPr>
          <w:rFonts w:ascii="Times New Roman" w:cs="Times New Roman" w:eastAsia="Times New Roman" w:hAnsi="Times New Roman"/>
          <w:sz w:val="14"/>
          <w:szCs w:val="14"/>
          <w:u w:val="single" w:color="auto"/>
          <w:color w:val="231F20"/>
        </w:rPr>
        <w:t>Performance by Landlord under Master Lease</w:t>
      </w:r>
      <w:r>
        <w:rPr>
          <w:rFonts w:ascii="Times New Roman" w:cs="Times New Roman" w:eastAsia="Times New Roman" w:hAnsi="Times New Roman"/>
          <w:sz w:val="14"/>
          <w:szCs w:val="14"/>
          <w:color w:val="231F20"/>
        </w:rPr>
        <w:t>. Sublandlord agrees that Subtenant shall be entitled to receive all services and repairs to be provided by Landlord to Sublandlord under the Master Lease in respect of the Subleased Premises and that Subtenant shall</w:t>
      </w:r>
    </w:p>
    <w:p>
      <w:pPr>
        <w:spacing w:after="0" w:line="31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141605</wp:posOffset>
            </wp:positionV>
            <wp:extent cx="694055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6940550" cy="42545"/>
                    </a:xfrm>
                    <a:prstGeom prst="rect">
                      <a:avLst/>
                    </a:prstGeom>
                    <a:noFill/>
                  </pic:spPr>
                </pic:pic>
              </a:graphicData>
            </a:graphic>
          </wp:anchor>
        </w:drawing>
      </w:r>
    </w:p>
    <w:p>
      <w:pPr>
        <w:sectPr>
          <w:pgSz w:w="11900" w:h="16838" w:orient="portrait"/>
          <w:cols w:equalWidth="0" w:num="1">
            <w:col w:w="9580"/>
          </w:cols>
          <w:pgMar w:left="1160" w:top="751" w:right="1159" w:bottom="1440" w:gutter="0" w:footer="0" w:header="0"/>
        </w:sectPr>
      </w:pPr>
    </w:p>
    <w:bookmarkStart w:id="61" w:name="page62"/>
    <w:bookmarkEnd w:id="61"/>
    <w:p>
      <w:pPr>
        <w:jc w:val="both"/>
        <w:spacing w:after="0" w:line="249" w:lineRule="auto"/>
        <w:rPr>
          <w:sz w:val="20"/>
          <w:szCs w:val="20"/>
          <w:color w:val="auto"/>
        </w:rPr>
      </w:pPr>
      <w:r>
        <w:rPr>
          <w:rFonts w:ascii="Times New Roman" w:cs="Times New Roman" w:eastAsia="Times New Roman" w:hAnsi="Times New Roman"/>
          <w:sz w:val="14"/>
          <w:szCs w:val="14"/>
          <w:color w:val="231F20"/>
        </w:rPr>
        <w:t>have the benefit of all Landlord obligations and releases provided for in the Master Lease, except to the extent the same relate to any portion of the Premises not part of the Subleased Premises. Subtenant shall look solely to Landlord for the provision and enforcement of all such obligations and releases, and shall not, under any circumstances, seek nor require Sublandlord to perform any of such services or obligations, nor shall Subtenant make any claim</w:t>
      </w:r>
    </w:p>
    <w:tbl>
      <w:tblPr>
        <w:tblLayout w:type="fixed"/>
        <w:tblInd w:w="0" w:type="dxa"/>
        <w:tblCellMar>
          <w:top w:w="0" w:type="dxa"/>
          <w:left w:w="0" w:type="dxa"/>
          <w:bottom w:w="0" w:type="dxa"/>
          <w:right w:w="0" w:type="dxa"/>
        </w:tblCellMar>
      </w:tblPr>
      <w:tr>
        <w:trPr>
          <w:trHeight w:val="147"/>
        </w:trPr>
        <w:tc>
          <w:tcPr>
            <w:tcW w:w="122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231F20"/>
              </w:rPr>
              <w:t>upon   Sublandlord</w:t>
            </w:r>
          </w:p>
        </w:tc>
        <w:tc>
          <w:tcPr>
            <w:tcW w:w="36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231F20"/>
              </w:rPr>
              <w:t>for</w:t>
            </w:r>
          </w:p>
        </w:tc>
        <w:tc>
          <w:tcPr>
            <w:tcW w:w="112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231F20"/>
              </w:rPr>
              <w:t>any   damages</w:t>
            </w: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231F20"/>
              </w:rPr>
              <w:t>which   may</w:t>
            </w:r>
          </w:p>
        </w:tc>
        <w:tc>
          <w:tcPr>
            <w:tcW w:w="58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231F20"/>
              </w:rPr>
              <w:t>arise</w:t>
            </w: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231F20"/>
              </w:rPr>
              <w:t>by   reason</w:t>
            </w:r>
          </w:p>
        </w:tc>
        <w:tc>
          <w:tcPr>
            <w:tcW w:w="1140" w:type="dxa"/>
            <w:vAlign w:val="bottom"/>
            <w:gridSpan w:val="2"/>
          </w:tcPr>
          <w:p>
            <w:pPr>
              <w:jc w:val="right"/>
              <w:ind w:right="28"/>
              <w:spacing w:after="0" w:line="147" w:lineRule="exact"/>
              <w:rPr>
                <w:sz w:val="20"/>
                <w:szCs w:val="20"/>
                <w:color w:val="auto"/>
              </w:rPr>
            </w:pPr>
            <w:r>
              <w:rPr>
                <w:rFonts w:ascii="Times New Roman" w:cs="Times New Roman" w:eastAsia="Times New Roman" w:hAnsi="Times New Roman"/>
                <w:sz w:val="14"/>
                <w:szCs w:val="14"/>
                <w:color w:val="231F20"/>
              </w:rPr>
              <w:t>of   Landlord’s</w:t>
            </w:r>
          </w:p>
        </w:tc>
        <w:tc>
          <w:tcPr>
            <w:tcW w:w="2500" w:type="dxa"/>
            <w:vAlign w:val="bottom"/>
            <w:gridSpan w:val="4"/>
          </w:tcPr>
          <w:p>
            <w:pPr>
              <w:jc w:val="center"/>
              <w:spacing w:after="0" w:line="147" w:lineRule="exact"/>
              <w:rPr>
                <w:sz w:val="20"/>
                <w:szCs w:val="20"/>
                <w:color w:val="auto"/>
              </w:rPr>
            </w:pPr>
            <w:r>
              <w:rPr>
                <w:rFonts w:ascii="Times New Roman" w:cs="Times New Roman" w:eastAsia="Times New Roman" w:hAnsi="Times New Roman"/>
                <w:sz w:val="14"/>
                <w:szCs w:val="14"/>
                <w:color w:val="231F20"/>
              </w:rPr>
              <w:t>default   under   the   Master   Lease.</w:t>
            </w:r>
          </w:p>
        </w:tc>
        <w:tc>
          <w:tcPr>
            <w:tcW w:w="4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231F20"/>
              </w:rPr>
              <w:t>Any</w:t>
            </w:r>
          </w:p>
        </w:tc>
        <w:tc>
          <w:tcPr>
            <w:tcW w:w="68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231F20"/>
              </w:rPr>
              <w:t>condition</w:t>
            </w:r>
          </w:p>
        </w:tc>
      </w:tr>
      <w:tr>
        <w:trPr>
          <w:trHeight w:val="162"/>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231F20"/>
              </w:rPr>
              <w:t>resulting</w:t>
            </w:r>
          </w:p>
        </w:tc>
        <w:tc>
          <w:tcPr>
            <w:tcW w:w="600" w:type="dxa"/>
            <w:vAlign w:val="bottom"/>
          </w:tcPr>
          <w:p>
            <w:pPr>
              <w:ind w:left="200"/>
              <w:spacing w:after="0"/>
              <w:rPr>
                <w:sz w:val="20"/>
                <w:szCs w:val="20"/>
                <w:color w:val="auto"/>
              </w:rPr>
            </w:pPr>
            <w:r>
              <w:rPr>
                <w:rFonts w:ascii="Times New Roman" w:cs="Times New Roman" w:eastAsia="Times New Roman" w:hAnsi="Times New Roman"/>
                <w:sz w:val="14"/>
                <w:szCs w:val="14"/>
                <w:color w:val="231F20"/>
              </w:rPr>
              <w:t>from</w:t>
            </w:r>
          </w:p>
        </w:tc>
        <w:tc>
          <w:tcPr>
            <w:tcW w:w="360" w:type="dxa"/>
            <w:vAlign w:val="bottom"/>
          </w:tcPr>
          <w:p>
            <w:pPr>
              <w:ind w:left="180"/>
              <w:spacing w:after="0"/>
              <w:rPr>
                <w:sz w:val="20"/>
                <w:szCs w:val="20"/>
                <w:color w:val="auto"/>
              </w:rPr>
            </w:pPr>
            <w:r>
              <w:rPr>
                <w:rFonts w:ascii="Times New Roman" w:cs="Times New Roman" w:eastAsia="Times New Roman" w:hAnsi="Times New Roman"/>
                <w:sz w:val="14"/>
                <w:szCs w:val="14"/>
                <w:color w:val="231F20"/>
              </w:rPr>
              <w:t>a</w:t>
            </w:r>
          </w:p>
        </w:tc>
        <w:tc>
          <w:tcPr>
            <w:tcW w:w="640" w:type="dxa"/>
            <w:vAlign w:val="bottom"/>
          </w:tcPr>
          <w:p>
            <w:pPr>
              <w:ind w:left="200"/>
              <w:spacing w:after="0"/>
              <w:rPr>
                <w:sz w:val="20"/>
                <w:szCs w:val="20"/>
                <w:color w:val="auto"/>
              </w:rPr>
            </w:pPr>
            <w:r>
              <w:rPr>
                <w:rFonts w:ascii="Times New Roman" w:cs="Times New Roman" w:eastAsia="Times New Roman" w:hAnsi="Times New Roman"/>
                <w:sz w:val="14"/>
                <w:szCs w:val="14"/>
                <w:color w:val="231F20"/>
              </w:rPr>
              <w:t>default</w:t>
            </w:r>
          </w:p>
        </w:tc>
        <w:tc>
          <w:tcPr>
            <w:tcW w:w="480" w:type="dxa"/>
            <w:vAlign w:val="bottom"/>
          </w:tcPr>
          <w:p>
            <w:pPr>
              <w:ind w:left="280"/>
              <w:spacing w:after="0"/>
              <w:rPr>
                <w:sz w:val="20"/>
                <w:szCs w:val="20"/>
                <w:color w:val="auto"/>
              </w:rPr>
            </w:pPr>
            <w:r>
              <w:rPr>
                <w:rFonts w:ascii="Times New Roman" w:cs="Times New Roman" w:eastAsia="Times New Roman" w:hAnsi="Times New Roman"/>
                <w:sz w:val="14"/>
                <w:szCs w:val="14"/>
                <w:color w:val="231F20"/>
              </w:rPr>
              <w:t>by</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Landlord</w:t>
            </w:r>
          </w:p>
        </w:tc>
        <w:tc>
          <w:tcPr>
            <w:tcW w:w="580" w:type="dxa"/>
            <w:vAlign w:val="bottom"/>
          </w:tcPr>
          <w:p>
            <w:pPr>
              <w:ind w:left="280"/>
              <w:spacing w:after="0"/>
              <w:rPr>
                <w:sz w:val="20"/>
                <w:szCs w:val="20"/>
                <w:color w:val="auto"/>
              </w:rPr>
            </w:pPr>
            <w:r>
              <w:rPr>
                <w:rFonts w:ascii="Times New Roman" w:cs="Times New Roman" w:eastAsia="Times New Roman" w:hAnsi="Times New Roman"/>
                <w:sz w:val="14"/>
                <w:szCs w:val="14"/>
                <w:color w:val="231F20"/>
              </w:rPr>
              <w:t>shall</w:t>
            </w:r>
          </w:p>
        </w:tc>
        <w:tc>
          <w:tcPr>
            <w:tcW w:w="7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231F20"/>
              </w:rPr>
              <w:t>not</w:t>
            </w: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constitute</w:t>
            </w:r>
          </w:p>
        </w:tc>
        <w:tc>
          <w:tcPr>
            <w:tcW w:w="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231F20"/>
              </w:rPr>
              <w:t>as</w:t>
            </w:r>
          </w:p>
        </w:tc>
        <w:tc>
          <w:tcPr>
            <w:tcW w:w="960" w:type="dxa"/>
            <w:vAlign w:val="bottom"/>
          </w:tcPr>
          <w:p>
            <w:pPr>
              <w:ind w:left="220"/>
              <w:spacing w:after="0"/>
              <w:rPr>
                <w:sz w:val="20"/>
                <w:szCs w:val="20"/>
                <w:color w:val="auto"/>
              </w:rPr>
            </w:pPr>
            <w:r>
              <w:rPr>
                <w:rFonts w:ascii="Times New Roman" w:cs="Times New Roman" w:eastAsia="Times New Roman" w:hAnsi="Times New Roman"/>
                <w:sz w:val="14"/>
                <w:szCs w:val="14"/>
                <w:color w:val="231F20"/>
              </w:rPr>
              <w:t>between</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231F20"/>
              </w:rPr>
              <w:t>Sublandlord</w:t>
            </w:r>
          </w:p>
        </w:tc>
        <w:tc>
          <w:tcPr>
            <w:tcW w:w="62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and</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231F20"/>
              </w:rPr>
              <w:t>Subtenant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an</w:t>
            </w:r>
          </w:p>
        </w:tc>
      </w:tr>
      <w:tr>
        <w:trPr>
          <w:trHeight w:val="17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231F20"/>
              </w:rPr>
              <w:t>eviction</w:t>
            </w: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and</w:t>
            </w:r>
          </w:p>
        </w:tc>
        <w:tc>
          <w:tcPr>
            <w:tcW w:w="360" w:type="dxa"/>
            <w:vAlign w:val="bottom"/>
          </w:tcPr>
          <w:p>
            <w:pPr>
              <w:ind w:left="40"/>
              <w:spacing w:after="0"/>
              <w:rPr>
                <w:sz w:val="20"/>
                <w:szCs w:val="20"/>
                <w:color w:val="auto"/>
              </w:rPr>
            </w:pPr>
            <w:r>
              <w:rPr>
                <w:rFonts w:ascii="Times New Roman" w:cs="Times New Roman" w:eastAsia="Times New Roman" w:hAnsi="Times New Roman"/>
                <w:sz w:val="14"/>
                <w:szCs w:val="14"/>
                <w:color w:val="231F20"/>
              </w:rPr>
              <w:t>no</w:t>
            </w:r>
          </w:p>
        </w:tc>
        <w:tc>
          <w:tcPr>
            <w:tcW w:w="640" w:type="dxa"/>
            <w:vAlign w:val="bottom"/>
          </w:tcPr>
          <w:p>
            <w:pPr>
              <w:ind w:left="120"/>
              <w:spacing w:after="0"/>
              <w:rPr>
                <w:sz w:val="20"/>
                <w:szCs w:val="20"/>
                <w:color w:val="auto"/>
              </w:rPr>
            </w:pPr>
            <w:r>
              <w:rPr>
                <w:rFonts w:ascii="Times New Roman" w:cs="Times New Roman" w:eastAsia="Times New Roman" w:hAnsi="Times New Roman"/>
                <w:sz w:val="14"/>
                <w:szCs w:val="14"/>
                <w:color w:val="231F20"/>
              </w:rPr>
              <w:t>such</w:t>
            </w:r>
          </w:p>
        </w:tc>
        <w:tc>
          <w:tcPr>
            <w:tcW w:w="480" w:type="dxa"/>
            <w:vAlign w:val="bottom"/>
          </w:tcPr>
          <w:p>
            <w:pPr>
              <w:ind w:left="40"/>
              <w:spacing w:after="0"/>
              <w:rPr>
                <w:sz w:val="20"/>
                <w:szCs w:val="20"/>
                <w:color w:val="auto"/>
              </w:rPr>
            </w:pPr>
            <w:r>
              <w:rPr>
                <w:rFonts w:ascii="Times New Roman" w:cs="Times New Roman" w:eastAsia="Times New Roman" w:hAnsi="Times New Roman"/>
                <w:sz w:val="14"/>
                <w:szCs w:val="14"/>
                <w:color w:val="231F20"/>
              </w:rPr>
              <w:t>default</w:t>
            </w:r>
          </w:p>
        </w:tc>
        <w:tc>
          <w:tcPr>
            <w:tcW w:w="8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231F20"/>
              </w:rPr>
              <w:t>shall</w:t>
            </w:r>
          </w:p>
        </w:tc>
        <w:tc>
          <w:tcPr>
            <w:tcW w:w="580" w:type="dxa"/>
            <w:vAlign w:val="bottom"/>
          </w:tcPr>
          <w:p>
            <w:pPr>
              <w:spacing w:after="0"/>
              <w:rPr>
                <w:sz w:val="20"/>
                <w:szCs w:val="20"/>
                <w:color w:val="auto"/>
              </w:rPr>
            </w:pPr>
            <w:r>
              <w:rPr>
                <w:rFonts w:ascii="Times New Roman" w:cs="Times New Roman" w:eastAsia="Times New Roman" w:hAnsi="Times New Roman"/>
                <w:sz w:val="14"/>
                <w:szCs w:val="14"/>
                <w:color w:val="231F20"/>
              </w:rPr>
              <w:t>excuse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Subtenant</w:t>
            </w:r>
          </w:p>
        </w:tc>
        <w:tc>
          <w:tcPr>
            <w:tcW w:w="720" w:type="dxa"/>
            <w:vAlign w:val="bottom"/>
          </w:tcPr>
          <w:p>
            <w:pPr>
              <w:ind w:left="260"/>
              <w:spacing w:after="0"/>
              <w:rPr>
                <w:sz w:val="20"/>
                <w:szCs w:val="20"/>
                <w:color w:val="auto"/>
              </w:rPr>
            </w:pPr>
            <w:r>
              <w:rPr>
                <w:rFonts w:ascii="Times New Roman" w:cs="Times New Roman" w:eastAsia="Times New Roman" w:hAnsi="Times New Roman"/>
                <w:sz w:val="14"/>
                <w:szCs w:val="14"/>
                <w:color w:val="231F20"/>
              </w:rPr>
              <w:t>from</w:t>
            </w:r>
          </w:p>
        </w:tc>
        <w:tc>
          <w:tcPr>
            <w:tcW w:w="4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231F20"/>
              </w:rPr>
              <w:t>the</w:t>
            </w:r>
          </w:p>
        </w:tc>
        <w:tc>
          <w:tcPr>
            <w:tcW w:w="96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performance</w:t>
            </w: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231F20"/>
              </w:rPr>
              <w:t>or</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231F20"/>
              </w:rPr>
              <w:t>observance</w:t>
            </w:r>
          </w:p>
        </w:tc>
        <w:tc>
          <w:tcPr>
            <w:tcW w:w="420" w:type="dxa"/>
            <w:vAlign w:val="bottom"/>
          </w:tcPr>
          <w:p>
            <w:pPr>
              <w:ind w:left="40"/>
              <w:spacing w:after="0"/>
              <w:rPr>
                <w:sz w:val="20"/>
                <w:szCs w:val="20"/>
                <w:color w:val="auto"/>
              </w:rPr>
            </w:pPr>
            <w:r>
              <w:rPr>
                <w:rFonts w:ascii="Times New Roman" w:cs="Times New Roman" w:eastAsia="Times New Roman" w:hAnsi="Times New Roman"/>
                <w:sz w:val="14"/>
                <w:szCs w:val="14"/>
                <w:color w:val="231F20"/>
              </w:rPr>
              <w:t>of</w:t>
            </w:r>
          </w:p>
        </w:tc>
        <w:tc>
          <w:tcPr>
            <w:tcW w:w="400" w:type="dxa"/>
            <w:vAlign w:val="bottom"/>
          </w:tcPr>
          <w:p>
            <w:pPr>
              <w:ind w:left="40"/>
              <w:spacing w:after="0"/>
              <w:rPr>
                <w:sz w:val="20"/>
                <w:szCs w:val="20"/>
                <w:color w:val="auto"/>
              </w:rPr>
            </w:pPr>
            <w:r>
              <w:rPr>
                <w:rFonts w:ascii="Times New Roman" w:cs="Times New Roman" w:eastAsia="Times New Roman" w:hAnsi="Times New Roman"/>
                <w:sz w:val="14"/>
                <w:szCs w:val="14"/>
                <w:color w:val="231F20"/>
              </w:rPr>
              <w:t>any</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of</w:t>
            </w:r>
          </w:p>
        </w:tc>
      </w:tr>
    </w:tbl>
    <w:p>
      <w:pPr>
        <w:jc w:val="both"/>
        <w:spacing w:after="0" w:line="244" w:lineRule="auto"/>
        <w:rPr>
          <w:sz w:val="20"/>
          <w:szCs w:val="20"/>
          <w:color w:val="auto"/>
        </w:rPr>
      </w:pPr>
      <w:r>
        <w:rPr>
          <w:rFonts w:ascii="Times New Roman" w:cs="Times New Roman" w:eastAsia="Times New Roman" w:hAnsi="Times New Roman"/>
          <w:sz w:val="14"/>
          <w:szCs w:val="14"/>
          <w:color w:val="231F20"/>
        </w:rPr>
        <w:t>its obligations to be performed or observed under this Sublease, or entitle Subtenant to receive any reduction in or abatement of the Rent provided for in this Sublease; provided, however, that Sublandlord shall (i) use commercially reasonable efforts to enforce Landlord’s obligations and Tenant’s rights under the Master Lease upon Subtenant’s written request (including forwarding to Subtenant copies of any notices received from Landlord and making written demand upon Landlord to cure), and (ii) reasonably cooperate with Subtenant, at Subtenant’s cost, in pursuing any remedies available to the Tenant under the Master Lease, including executing reasonable documents or notices required to effectuate such enforcement. Any such remedies shall be passed through to Subtenant (including without limitation, abatement of or proportional reductions in rent under the Master Lease). Sublandlord shall promptly deliver to Subtenant copies of all notices received from Landlord that relate to the Subleased Premises.</w:t>
      </w:r>
    </w:p>
    <w:p>
      <w:pPr>
        <w:spacing w:after="0" w:line="44"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4"/>
          <w:szCs w:val="14"/>
          <w:color w:val="231F20"/>
        </w:rPr>
        <w:t>11.5 Notwithstanding anything to the contrary contained in this Sublease, Sublandlord does not assume any of the obligations of Landlord under the Master Lease and Sublandlord shall not be deemed to have made any representation made by Landlord in the Master Lease.</w:t>
      </w:r>
    </w:p>
    <w:p>
      <w:pPr>
        <w:spacing w:after="0" w:line="1" w:lineRule="exact"/>
        <w:rPr>
          <w:sz w:val="20"/>
          <w:szCs w:val="20"/>
          <w:color w:val="auto"/>
        </w:rPr>
      </w:pPr>
    </w:p>
    <w:p>
      <w:pPr>
        <w:jc w:val="both"/>
        <w:ind w:firstLine="36"/>
        <w:spacing w:after="0" w:line="187" w:lineRule="auto"/>
        <w:rPr>
          <w:sz w:val="20"/>
          <w:szCs w:val="20"/>
          <w:color w:val="auto"/>
        </w:rPr>
      </w:pPr>
      <w:r>
        <w:rPr>
          <w:rFonts w:ascii="Times New Roman" w:cs="Times New Roman" w:eastAsia="Times New Roman" w:hAnsi="Times New Roman"/>
          <w:sz w:val="9"/>
          <w:szCs w:val="9"/>
          <w:color w:val="231F20"/>
        </w:rPr>
        <w:t>Sublandlord represents and warrants that: (i) Sublandlord is the Tenant under the Master Lease with Landlord; (ii) Exhibit A attached hereto is a complete copy of the Master Lease; (iii) the Master Lease is, as of the date of this Sublease, in full force and effect; and (iv) Sublandlord has received no written notice of, nor otherwise has actual knowledge of, any existing event of default under the Master Lease and, to Sublandlord’s actual knowledge, no event has occurred and is continuing that would constitute an event of default under the Master Lease, but for the requirement to give notice and provide the applicable time to cure. Sublandlord shall not agree to any modification, amendment, waiver, release or other agreement with respect to the Master Lease, nor exercise any right of Sublandlord thereunder, that would reasonably be expected to have a material adverse effect on Subtenant’s use or occupancy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231F20"/>
        </w:rPr>
        <w:t>Subleased Premises or on Subtenant’s other rights and benefits hereunder. Sublandlord shall promptly provide Subtenant with copies of any such amendments, modifications, waivers, releases, or agreements affecting the Master Lease.</w:t>
      </w:r>
    </w:p>
    <w:p>
      <w:pPr>
        <w:spacing w:after="0" w:line="16"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231F20"/>
        </w:rPr>
        <w:t>12.</w:t>
      </w:r>
      <w:r>
        <w:rPr>
          <w:sz w:val="20"/>
          <w:szCs w:val="20"/>
          <w:color w:val="auto"/>
        </w:rPr>
        <w:tab/>
      </w:r>
      <w:r>
        <w:rPr>
          <w:rFonts w:ascii="Times New Roman" w:cs="Times New Roman" w:eastAsia="Times New Roman" w:hAnsi="Times New Roman"/>
          <w:sz w:val="14"/>
          <w:szCs w:val="14"/>
          <w:b w:val="1"/>
          <w:bCs w:val="1"/>
          <w:color w:val="231F20"/>
        </w:rPr>
        <w:t>CONSENTS</w:t>
      </w:r>
    </w:p>
    <w:p>
      <w:pPr>
        <w:spacing w:after="0" w:line="19" w:lineRule="exact"/>
        <w:rPr>
          <w:sz w:val="20"/>
          <w:szCs w:val="20"/>
          <w:color w:val="auto"/>
        </w:rPr>
      </w:pPr>
    </w:p>
    <w:p>
      <w:pPr>
        <w:ind w:left="420"/>
        <w:spacing w:after="0"/>
        <w:tabs>
          <w:tab w:leader="none" w:pos="1380" w:val="left"/>
          <w:tab w:leader="none" w:pos="1960" w:val="left"/>
          <w:tab w:leader="none" w:pos="2780" w:val="left"/>
          <w:tab w:leader="none" w:pos="3280" w:val="left"/>
          <w:tab w:leader="none" w:pos="4180" w:val="left"/>
          <w:tab w:leader="none" w:pos="4700" w:val="left"/>
          <w:tab w:leader="none" w:pos="5780" w:val="left"/>
          <w:tab w:leader="none" w:pos="6260" w:val="left"/>
          <w:tab w:leader="none" w:pos="7180" w:val="left"/>
          <w:tab w:leader="none" w:pos="8140" w:val="left"/>
          <w:tab w:leader="none" w:pos="8800" w:val="left"/>
          <w:tab w:leader="none" w:pos="9420" w:val="left"/>
        </w:tabs>
        <w:rPr>
          <w:sz w:val="20"/>
          <w:szCs w:val="20"/>
          <w:color w:val="auto"/>
        </w:rPr>
      </w:pPr>
      <w:r>
        <w:rPr>
          <w:rFonts w:ascii="Times New Roman" w:cs="Times New Roman" w:eastAsia="Times New Roman" w:hAnsi="Times New Roman"/>
          <w:sz w:val="14"/>
          <w:szCs w:val="14"/>
          <w:color w:val="231F20"/>
        </w:rPr>
        <w:t>Whenever</w:t>
      </w:r>
      <w:r>
        <w:rPr>
          <w:sz w:val="20"/>
          <w:szCs w:val="20"/>
          <w:color w:val="auto"/>
        </w:rPr>
        <w:tab/>
      </w:r>
      <w:r>
        <w:rPr>
          <w:rFonts w:ascii="Times New Roman" w:cs="Times New Roman" w:eastAsia="Times New Roman" w:hAnsi="Times New Roman"/>
          <w:sz w:val="14"/>
          <w:szCs w:val="14"/>
          <w:color w:val="231F20"/>
        </w:rPr>
        <w:t>the</w:t>
      </w:r>
      <w:r>
        <w:rPr>
          <w:sz w:val="20"/>
          <w:szCs w:val="20"/>
          <w:color w:val="auto"/>
        </w:rPr>
        <w:tab/>
      </w:r>
      <w:r>
        <w:rPr>
          <w:rFonts w:ascii="Times New Roman" w:cs="Times New Roman" w:eastAsia="Times New Roman" w:hAnsi="Times New Roman"/>
          <w:sz w:val="14"/>
          <w:szCs w:val="14"/>
          <w:color w:val="231F20"/>
        </w:rPr>
        <w:t>consent</w:t>
      </w:r>
      <w:r>
        <w:rPr>
          <w:sz w:val="20"/>
          <w:szCs w:val="20"/>
          <w:color w:val="auto"/>
        </w:rPr>
        <w:tab/>
      </w:r>
      <w:r>
        <w:rPr>
          <w:rFonts w:ascii="Times New Roman" w:cs="Times New Roman" w:eastAsia="Times New Roman" w:hAnsi="Times New Roman"/>
          <w:sz w:val="14"/>
          <w:szCs w:val="14"/>
          <w:color w:val="231F20"/>
        </w:rPr>
        <w:t>or</w:t>
      </w:r>
      <w:r>
        <w:rPr>
          <w:sz w:val="20"/>
          <w:szCs w:val="20"/>
          <w:color w:val="auto"/>
        </w:rPr>
        <w:tab/>
      </w:r>
      <w:r>
        <w:rPr>
          <w:rFonts w:ascii="Times New Roman" w:cs="Times New Roman" w:eastAsia="Times New Roman" w:hAnsi="Times New Roman"/>
          <w:sz w:val="14"/>
          <w:szCs w:val="14"/>
          <w:color w:val="231F20"/>
        </w:rPr>
        <w:t>approval</w:t>
      </w:r>
      <w:r>
        <w:rPr>
          <w:sz w:val="20"/>
          <w:szCs w:val="20"/>
          <w:color w:val="auto"/>
        </w:rPr>
        <w:tab/>
      </w:r>
      <w:r>
        <w:rPr>
          <w:rFonts w:ascii="Times New Roman" w:cs="Times New Roman" w:eastAsia="Times New Roman" w:hAnsi="Times New Roman"/>
          <w:sz w:val="14"/>
          <w:szCs w:val="14"/>
          <w:color w:val="231F20"/>
        </w:rPr>
        <w:t>of</w:t>
      </w:r>
      <w:r>
        <w:rPr>
          <w:sz w:val="20"/>
          <w:szCs w:val="20"/>
          <w:color w:val="auto"/>
        </w:rPr>
        <w:tab/>
      </w:r>
      <w:r>
        <w:rPr>
          <w:rFonts w:ascii="Times New Roman" w:cs="Times New Roman" w:eastAsia="Times New Roman" w:hAnsi="Times New Roman"/>
          <w:sz w:val="14"/>
          <w:szCs w:val="14"/>
          <w:color w:val="231F20"/>
        </w:rPr>
        <w:t>Sublandlord</w:t>
      </w:r>
      <w:r>
        <w:rPr>
          <w:sz w:val="20"/>
          <w:szCs w:val="20"/>
          <w:color w:val="auto"/>
        </w:rPr>
        <w:tab/>
      </w:r>
      <w:r>
        <w:rPr>
          <w:rFonts w:ascii="Times New Roman" w:cs="Times New Roman" w:eastAsia="Times New Roman" w:hAnsi="Times New Roman"/>
          <w:sz w:val="14"/>
          <w:szCs w:val="14"/>
          <w:color w:val="231F20"/>
        </w:rPr>
        <w:t>is</w:t>
      </w:r>
      <w:r>
        <w:rPr>
          <w:sz w:val="20"/>
          <w:szCs w:val="20"/>
          <w:color w:val="auto"/>
        </w:rPr>
        <w:tab/>
      </w:r>
      <w:r>
        <w:rPr>
          <w:rFonts w:ascii="Times New Roman" w:cs="Times New Roman" w:eastAsia="Times New Roman" w:hAnsi="Times New Roman"/>
          <w:sz w:val="14"/>
          <w:szCs w:val="14"/>
          <w:color w:val="231F20"/>
        </w:rPr>
        <w:t>required,</w:t>
      </w:r>
      <w:r>
        <w:rPr>
          <w:sz w:val="20"/>
          <w:szCs w:val="20"/>
          <w:color w:val="auto"/>
        </w:rPr>
        <w:tab/>
      </w:r>
      <w:r>
        <w:rPr>
          <w:rFonts w:ascii="Times New Roman" w:cs="Times New Roman" w:eastAsia="Times New Roman" w:hAnsi="Times New Roman"/>
          <w:sz w:val="14"/>
          <w:szCs w:val="14"/>
          <w:color w:val="231F20"/>
        </w:rPr>
        <w:t>Subtenant</w:t>
      </w:r>
      <w:r>
        <w:rPr>
          <w:sz w:val="20"/>
          <w:szCs w:val="20"/>
          <w:color w:val="auto"/>
        </w:rPr>
        <w:tab/>
      </w:r>
      <w:r>
        <w:rPr>
          <w:rFonts w:ascii="Times New Roman" w:cs="Times New Roman" w:eastAsia="Times New Roman" w:hAnsi="Times New Roman"/>
          <w:sz w:val="14"/>
          <w:szCs w:val="14"/>
          <w:color w:val="231F20"/>
        </w:rPr>
        <w:t>shall</w:t>
      </w:r>
      <w:r>
        <w:rPr>
          <w:sz w:val="20"/>
          <w:szCs w:val="20"/>
          <w:color w:val="auto"/>
        </w:rPr>
        <w:tab/>
      </w:r>
      <w:r>
        <w:rPr>
          <w:rFonts w:ascii="Times New Roman" w:cs="Times New Roman" w:eastAsia="Times New Roman" w:hAnsi="Times New Roman"/>
          <w:sz w:val="14"/>
          <w:szCs w:val="14"/>
          <w:color w:val="231F20"/>
        </w:rPr>
        <w:t>also</w:t>
      </w:r>
      <w:r>
        <w:rPr>
          <w:sz w:val="20"/>
          <w:szCs w:val="20"/>
          <w:color w:val="auto"/>
        </w:rPr>
        <w:tab/>
      </w:r>
      <w:r>
        <w:rPr>
          <w:rFonts w:ascii="Times New Roman" w:cs="Times New Roman" w:eastAsia="Times New Roman" w:hAnsi="Times New Roman"/>
          <w:sz w:val="14"/>
          <w:szCs w:val="14"/>
          <w:color w:val="231F20"/>
        </w:rPr>
        <w:t>be</w:t>
      </w:r>
    </w:p>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231F20"/>
        </w:rPr>
        <w:t>obligated to obtain the written consent or approval of Landlord, if required under the terms of the Master Lease. Any consent or approval by Sublandlord required under this Sublease shall not be unreasonably withheld, conditioned or delayed. If Landlord’s consent is required under the Master Lease or Subtenant otherwise desires to seek Landlord’s consent, Subtenant shall notify Sublandlord in writing of Subtenant’s desire to obtain Landlord’s consent and, in such notice,</w:t>
      </w:r>
    </w:p>
    <w:tbl>
      <w:tblPr>
        <w:tblLayout w:type="fixed"/>
        <w:tblInd w:w="0" w:type="dxa"/>
        <w:tblCellMar>
          <w:top w:w="0" w:type="dxa"/>
          <w:left w:w="0" w:type="dxa"/>
          <w:bottom w:w="0" w:type="dxa"/>
          <w:right w:w="0" w:type="dxa"/>
        </w:tblCellMar>
      </w:tblPr>
      <w:tr>
        <w:trPr>
          <w:trHeight w:val="147"/>
        </w:trPr>
        <w:tc>
          <w:tcPr>
            <w:tcW w:w="58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231F20"/>
                <w:w w:val="99"/>
              </w:rPr>
              <w:t>Subtenant</w:t>
            </w:r>
          </w:p>
        </w:tc>
        <w:tc>
          <w:tcPr>
            <w:tcW w:w="700" w:type="dxa"/>
            <w:vAlign w:val="bottom"/>
          </w:tcPr>
          <w:p>
            <w:pPr>
              <w:ind w:left="360"/>
              <w:spacing w:after="0" w:line="147" w:lineRule="exact"/>
              <w:rPr>
                <w:sz w:val="20"/>
                <w:szCs w:val="20"/>
                <w:color w:val="auto"/>
              </w:rPr>
            </w:pPr>
            <w:r>
              <w:rPr>
                <w:rFonts w:ascii="Times New Roman" w:cs="Times New Roman" w:eastAsia="Times New Roman" w:hAnsi="Times New Roman"/>
                <w:sz w:val="14"/>
                <w:szCs w:val="14"/>
                <w:color w:val="231F20"/>
              </w:rPr>
              <w:t>shall</w:t>
            </w:r>
          </w:p>
        </w:tc>
        <w:tc>
          <w:tcPr>
            <w:tcW w:w="260" w:type="dxa"/>
            <w:vAlign w:val="bottom"/>
          </w:tcPr>
          <w:p>
            <w:pPr>
              <w:spacing w:after="0"/>
              <w:rPr>
                <w:sz w:val="12"/>
                <w:szCs w:val="12"/>
                <w:color w:val="auto"/>
              </w:rPr>
            </w:pPr>
          </w:p>
        </w:tc>
        <w:tc>
          <w:tcPr>
            <w:tcW w:w="78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231F20"/>
              </w:rPr>
              <w:t>request</w:t>
            </w:r>
          </w:p>
        </w:tc>
        <w:tc>
          <w:tcPr>
            <w:tcW w:w="50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231F20"/>
              </w:rPr>
              <w:t>that,</w:t>
            </w:r>
          </w:p>
        </w:tc>
        <w:tc>
          <w:tcPr>
            <w:tcW w:w="82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231F20"/>
              </w:rPr>
              <w:t>before</w:t>
            </w:r>
          </w:p>
        </w:tc>
        <w:tc>
          <w:tcPr>
            <w:tcW w:w="980" w:type="dxa"/>
            <w:vAlign w:val="bottom"/>
            <w:gridSpan w:val="2"/>
          </w:tcPr>
          <w:p>
            <w:pPr>
              <w:ind w:left="40"/>
              <w:spacing w:after="0" w:line="147" w:lineRule="exact"/>
              <w:rPr>
                <w:sz w:val="20"/>
                <w:szCs w:val="20"/>
                <w:color w:val="auto"/>
              </w:rPr>
            </w:pPr>
            <w:r>
              <w:rPr>
                <w:rFonts w:ascii="Times New Roman" w:cs="Times New Roman" w:eastAsia="Times New Roman" w:hAnsi="Times New Roman"/>
                <w:sz w:val="14"/>
                <w:szCs w:val="14"/>
                <w:color w:val="231F20"/>
              </w:rPr>
              <w:t>conveying</w:t>
            </w:r>
          </w:p>
        </w:tc>
        <w:tc>
          <w:tcPr>
            <w:tcW w:w="26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231F20"/>
              </w:rPr>
              <w:t>the</w:t>
            </w:r>
          </w:p>
        </w:tc>
        <w:tc>
          <w:tcPr>
            <w:tcW w:w="900" w:type="dxa"/>
            <w:vAlign w:val="bottom"/>
            <w:gridSpan w:val="2"/>
          </w:tcPr>
          <w:p>
            <w:pPr>
              <w:ind w:left="300"/>
              <w:spacing w:after="0" w:line="147" w:lineRule="exact"/>
              <w:rPr>
                <w:sz w:val="20"/>
                <w:szCs w:val="20"/>
                <w:color w:val="auto"/>
              </w:rPr>
            </w:pPr>
            <w:r>
              <w:rPr>
                <w:rFonts w:ascii="Times New Roman" w:cs="Times New Roman" w:eastAsia="Times New Roman" w:hAnsi="Times New Roman"/>
                <w:sz w:val="14"/>
                <w:szCs w:val="14"/>
                <w:color w:val="231F20"/>
              </w:rPr>
              <w:t>consent</w:t>
            </w:r>
          </w:p>
        </w:tc>
        <w:tc>
          <w:tcPr>
            <w:tcW w:w="620" w:type="dxa"/>
            <w:vAlign w:val="bottom"/>
          </w:tcPr>
          <w:p>
            <w:pPr>
              <w:ind w:left="200"/>
              <w:spacing w:after="0" w:line="147" w:lineRule="exact"/>
              <w:rPr>
                <w:sz w:val="20"/>
                <w:szCs w:val="20"/>
                <w:color w:val="auto"/>
              </w:rPr>
            </w:pPr>
            <w:r>
              <w:rPr>
                <w:rFonts w:ascii="Times New Roman" w:cs="Times New Roman" w:eastAsia="Times New Roman" w:hAnsi="Times New Roman"/>
                <w:sz w:val="14"/>
                <w:szCs w:val="14"/>
                <w:color w:val="231F20"/>
                <w:w w:val="98"/>
              </w:rPr>
              <w:t>request</w:t>
            </w:r>
          </w:p>
        </w:tc>
        <w:tc>
          <w:tcPr>
            <w:tcW w:w="620" w:type="dxa"/>
            <w:vAlign w:val="bottom"/>
          </w:tcPr>
          <w:p>
            <w:pPr>
              <w:ind w:left="360"/>
              <w:spacing w:after="0" w:line="147" w:lineRule="exact"/>
              <w:rPr>
                <w:sz w:val="20"/>
                <w:szCs w:val="20"/>
                <w:color w:val="auto"/>
              </w:rPr>
            </w:pPr>
            <w:r>
              <w:rPr>
                <w:rFonts w:ascii="Times New Roman" w:cs="Times New Roman" w:eastAsia="Times New Roman" w:hAnsi="Times New Roman"/>
                <w:sz w:val="14"/>
                <w:szCs w:val="14"/>
                <w:color w:val="231F20"/>
              </w:rPr>
              <w:t>to</w:t>
            </w:r>
          </w:p>
        </w:tc>
        <w:tc>
          <w:tcPr>
            <w:tcW w:w="1080" w:type="dxa"/>
            <w:vAlign w:val="bottom"/>
            <w:gridSpan w:val="2"/>
          </w:tcPr>
          <w:p>
            <w:pPr>
              <w:ind w:left="200"/>
              <w:spacing w:after="0" w:line="147" w:lineRule="exact"/>
              <w:rPr>
                <w:sz w:val="20"/>
                <w:szCs w:val="20"/>
                <w:color w:val="auto"/>
              </w:rPr>
            </w:pPr>
            <w:r>
              <w:rPr>
                <w:rFonts w:ascii="Times New Roman" w:cs="Times New Roman" w:eastAsia="Times New Roman" w:hAnsi="Times New Roman"/>
                <w:sz w:val="14"/>
                <w:szCs w:val="14"/>
                <w:color w:val="231F20"/>
              </w:rPr>
              <w:t>Landlord,</w:t>
            </w:r>
          </w:p>
        </w:tc>
        <w:tc>
          <w:tcPr>
            <w:tcW w:w="1020" w:type="dxa"/>
            <w:vAlign w:val="bottom"/>
            <w:gridSpan w:val="3"/>
          </w:tcPr>
          <w:p>
            <w:pPr>
              <w:ind w:left="40"/>
              <w:spacing w:after="0" w:line="147" w:lineRule="exact"/>
              <w:rPr>
                <w:sz w:val="20"/>
                <w:szCs w:val="20"/>
                <w:color w:val="auto"/>
              </w:rPr>
            </w:pPr>
            <w:r>
              <w:rPr>
                <w:rFonts w:ascii="Times New Roman" w:cs="Times New Roman" w:eastAsia="Times New Roman" w:hAnsi="Times New Roman"/>
                <w:sz w:val="14"/>
                <w:szCs w:val="14"/>
                <w:color w:val="231F20"/>
              </w:rPr>
              <w:t>Sublandlord</w:t>
            </w:r>
          </w:p>
        </w:tc>
        <w:tc>
          <w:tcPr>
            <w:tcW w:w="4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231F20"/>
              </w:rPr>
              <w:t>obtain</w:t>
            </w:r>
          </w:p>
        </w:tc>
      </w:tr>
      <w:tr>
        <w:trPr>
          <w:trHeight w:val="162"/>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231F20"/>
              </w:rPr>
              <w:t>from</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231F20"/>
              </w:rPr>
              <w:t>Landlord</w:t>
            </w: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color w:val="231F20"/>
              </w:rPr>
              <w:t>an</w:t>
            </w:r>
          </w:p>
        </w:tc>
        <w:tc>
          <w:tcPr>
            <w:tcW w:w="780" w:type="dxa"/>
            <w:vAlign w:val="bottom"/>
          </w:tcPr>
          <w:p>
            <w:pPr>
              <w:ind w:left="260"/>
              <w:spacing w:after="0"/>
              <w:rPr>
                <w:sz w:val="20"/>
                <w:szCs w:val="20"/>
                <w:color w:val="auto"/>
              </w:rPr>
            </w:pPr>
            <w:r>
              <w:rPr>
                <w:rFonts w:ascii="Times New Roman" w:cs="Times New Roman" w:eastAsia="Times New Roman" w:hAnsi="Times New Roman"/>
                <w:sz w:val="14"/>
                <w:szCs w:val="14"/>
                <w:color w:val="231F20"/>
              </w:rPr>
              <w:t>estimate</w:t>
            </w:r>
          </w:p>
        </w:tc>
        <w:tc>
          <w:tcPr>
            <w:tcW w:w="500" w:type="dxa"/>
            <w:vAlign w:val="bottom"/>
          </w:tcPr>
          <w:p>
            <w:pPr>
              <w:ind w:left="260"/>
              <w:spacing w:after="0"/>
              <w:rPr>
                <w:sz w:val="20"/>
                <w:szCs w:val="20"/>
                <w:color w:val="auto"/>
              </w:rPr>
            </w:pPr>
            <w:r>
              <w:rPr>
                <w:rFonts w:ascii="Times New Roman" w:cs="Times New Roman" w:eastAsia="Times New Roman" w:hAnsi="Times New Roman"/>
                <w:sz w:val="14"/>
                <w:szCs w:val="14"/>
                <w:color w:val="231F20"/>
              </w:rPr>
              <w:t>of</w:t>
            </w:r>
          </w:p>
        </w:tc>
        <w:tc>
          <w:tcPr>
            <w:tcW w:w="82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Landlord’s</w:t>
            </w: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231F20"/>
              </w:rPr>
              <w:t>charges</w:t>
            </w: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231F20"/>
              </w:rPr>
              <w:t>or</w:t>
            </w: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fees</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to</w:t>
            </w:r>
          </w:p>
        </w:tc>
        <w:tc>
          <w:tcPr>
            <w:tcW w:w="620" w:type="dxa"/>
            <w:vAlign w:val="bottom"/>
          </w:tcPr>
          <w:p>
            <w:pPr>
              <w:ind w:left="200"/>
              <w:spacing w:after="0"/>
              <w:rPr>
                <w:sz w:val="20"/>
                <w:szCs w:val="20"/>
                <w:color w:val="auto"/>
              </w:rPr>
            </w:pPr>
            <w:r>
              <w:rPr>
                <w:rFonts w:ascii="Times New Roman" w:cs="Times New Roman" w:eastAsia="Times New Roman" w:hAnsi="Times New Roman"/>
                <w:sz w:val="14"/>
                <w:szCs w:val="14"/>
                <w:color w:val="231F20"/>
              </w:rPr>
              <w:t>be</w:t>
            </w:r>
          </w:p>
        </w:tc>
        <w:tc>
          <w:tcPr>
            <w:tcW w:w="62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incurred</w:t>
            </w:r>
          </w:p>
        </w:tc>
        <w:tc>
          <w:tcPr>
            <w:tcW w:w="42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in</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231F20"/>
              </w:rPr>
              <w:t>considering</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color w:val="231F20"/>
              </w:rPr>
              <w:t>or</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approving</w:t>
            </w:r>
          </w:p>
        </w:tc>
      </w:tr>
      <w:tr>
        <w:trPr>
          <w:trHeight w:val="178"/>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231F20"/>
              </w:rPr>
              <w:t>such</w:t>
            </w:r>
          </w:p>
        </w:tc>
        <w:tc>
          <w:tcPr>
            <w:tcW w:w="16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color w:val="231F20"/>
              </w:rPr>
              <w:t>consent.</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231F20"/>
              </w:rPr>
              <w:t>Sublandlord</w:t>
            </w:r>
          </w:p>
        </w:tc>
        <w:tc>
          <w:tcPr>
            <w:tcW w:w="50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shall</w:t>
            </w:r>
          </w:p>
        </w:tc>
        <w:tc>
          <w:tcPr>
            <w:tcW w:w="82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endeavor</w:t>
            </w:r>
          </w:p>
        </w:tc>
        <w:tc>
          <w:tcPr>
            <w:tcW w:w="460" w:type="dxa"/>
            <w:vAlign w:val="bottom"/>
          </w:tcPr>
          <w:p>
            <w:pPr>
              <w:ind w:left="180"/>
              <w:spacing w:after="0"/>
              <w:rPr>
                <w:sz w:val="20"/>
                <w:szCs w:val="20"/>
                <w:color w:val="auto"/>
              </w:rPr>
            </w:pPr>
            <w:r>
              <w:rPr>
                <w:rFonts w:ascii="Times New Roman" w:cs="Times New Roman" w:eastAsia="Times New Roman" w:hAnsi="Times New Roman"/>
                <w:sz w:val="14"/>
                <w:szCs w:val="14"/>
                <w:color w:val="231F20"/>
              </w:rPr>
              <w:t>to</w:t>
            </w:r>
          </w:p>
        </w:tc>
        <w:tc>
          <w:tcPr>
            <w:tcW w:w="520" w:type="dxa"/>
            <w:vAlign w:val="bottom"/>
          </w:tcPr>
          <w:p>
            <w:pPr>
              <w:ind w:left="160"/>
              <w:spacing w:after="0"/>
              <w:rPr>
                <w:sz w:val="20"/>
                <w:szCs w:val="20"/>
                <w:color w:val="auto"/>
              </w:rPr>
            </w:pPr>
            <w:r>
              <w:rPr>
                <w:rFonts w:ascii="Times New Roman" w:cs="Times New Roman" w:eastAsia="Times New Roman" w:hAnsi="Times New Roman"/>
                <w:sz w:val="14"/>
                <w:szCs w:val="14"/>
                <w:color w:val="231F20"/>
                <w:w w:val="97"/>
              </w:rPr>
              <w:t>obtain</w:t>
            </w:r>
          </w:p>
        </w:tc>
        <w:tc>
          <w:tcPr>
            <w:tcW w:w="26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231F20"/>
                <w:w w:val="97"/>
              </w:rPr>
              <w:t>Landlord’s</w:t>
            </w:r>
          </w:p>
        </w:tc>
        <w:tc>
          <w:tcPr>
            <w:tcW w:w="220" w:type="dxa"/>
            <w:vAlign w:val="bottom"/>
          </w:tcPr>
          <w:p>
            <w:pPr>
              <w:spacing w:after="0"/>
              <w:rPr>
                <w:sz w:val="15"/>
                <w:szCs w:val="15"/>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4"/>
                <w:szCs w:val="14"/>
                <w:color w:val="231F20"/>
              </w:rPr>
              <w:t>estimate</w:t>
            </w:r>
          </w:p>
        </w:tc>
        <w:tc>
          <w:tcPr>
            <w:tcW w:w="620" w:type="dxa"/>
            <w:vAlign w:val="bottom"/>
          </w:tcPr>
          <w:p>
            <w:pPr>
              <w:ind w:left="300"/>
              <w:spacing w:after="0"/>
              <w:rPr>
                <w:sz w:val="20"/>
                <w:szCs w:val="20"/>
                <w:color w:val="auto"/>
              </w:rPr>
            </w:pPr>
            <w:r>
              <w:rPr>
                <w:rFonts w:ascii="Times New Roman" w:cs="Times New Roman" w:eastAsia="Times New Roman" w:hAnsi="Times New Roman"/>
                <w:sz w:val="14"/>
                <w:szCs w:val="14"/>
                <w:color w:val="231F20"/>
              </w:rPr>
              <w:t>of</w:t>
            </w:r>
          </w:p>
        </w:tc>
        <w:tc>
          <w:tcPr>
            <w:tcW w:w="420" w:type="dxa"/>
            <w:vAlign w:val="bottom"/>
          </w:tcPr>
          <w:p>
            <w:pPr>
              <w:ind w:left="120"/>
              <w:spacing w:after="0"/>
              <w:rPr>
                <w:sz w:val="20"/>
                <w:szCs w:val="20"/>
                <w:color w:val="auto"/>
              </w:rPr>
            </w:pPr>
            <w:r>
              <w:rPr>
                <w:rFonts w:ascii="Times New Roman" w:cs="Times New Roman" w:eastAsia="Times New Roman" w:hAnsi="Times New Roman"/>
                <w:sz w:val="14"/>
                <w:szCs w:val="14"/>
                <w:color w:val="231F20"/>
              </w:rPr>
              <w:t>its</w:t>
            </w:r>
          </w:p>
        </w:tc>
        <w:tc>
          <w:tcPr>
            <w:tcW w:w="66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charges</w:t>
            </w:r>
          </w:p>
        </w:tc>
        <w:tc>
          <w:tcPr>
            <w:tcW w:w="420" w:type="dxa"/>
            <w:vAlign w:val="bottom"/>
          </w:tcPr>
          <w:p>
            <w:pPr>
              <w:ind w:left="260"/>
              <w:spacing w:after="0"/>
              <w:rPr>
                <w:sz w:val="20"/>
                <w:szCs w:val="20"/>
                <w:color w:val="auto"/>
              </w:rPr>
            </w:pPr>
            <w:r>
              <w:rPr>
                <w:rFonts w:ascii="Times New Roman" w:cs="Times New Roman" w:eastAsia="Times New Roman" w:hAnsi="Times New Roman"/>
                <w:sz w:val="14"/>
                <w:szCs w:val="14"/>
                <w:color w:val="231F20"/>
              </w:rPr>
              <w:t>or</w:t>
            </w:r>
          </w:p>
        </w:tc>
        <w:tc>
          <w:tcPr>
            <w:tcW w:w="220" w:type="dxa"/>
            <w:vAlign w:val="bottom"/>
          </w:tcPr>
          <w:p>
            <w:pPr>
              <w:spacing w:after="0"/>
              <w:rPr>
                <w:sz w:val="15"/>
                <w:szCs w:val="15"/>
                <w:color w:val="auto"/>
              </w:rPr>
            </w:pPr>
          </w:p>
        </w:tc>
        <w:tc>
          <w:tcPr>
            <w:tcW w:w="38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fees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and</w:t>
            </w:r>
          </w:p>
        </w:tc>
      </w:tr>
    </w:tbl>
    <w:p>
      <w:pPr>
        <w:ind w:left="4500" w:right="4260" w:hanging="4505"/>
        <w:spacing w:after="0" w:line="453" w:lineRule="auto"/>
        <w:rPr>
          <w:sz w:val="20"/>
          <w:szCs w:val="20"/>
          <w:color w:val="auto"/>
        </w:rPr>
      </w:pPr>
      <w:r>
        <w:rPr>
          <w:rFonts w:ascii="Times New Roman" w:cs="Times New Roman" w:eastAsia="Times New Roman" w:hAnsi="Times New Roman"/>
          <w:sz w:val="14"/>
          <w:szCs w:val="14"/>
          <w:color w:val="231F20"/>
        </w:rPr>
        <w:t xml:space="preserve">provide the same to Subtenant. Subtenant shall have no right to seek Landlord’s consent and </w:t>
      </w:r>
      <w:r>
        <w:rPr>
          <w:rFonts w:ascii="Times New Roman" w:cs="Times New Roman" w:eastAsia="Times New Roman" w:hAnsi="Times New Roman"/>
          <w:sz w:val="13"/>
          <w:szCs w:val="13"/>
          <w:color w:val="00000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37465</wp:posOffset>
            </wp:positionV>
            <wp:extent cx="694055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6940550" cy="42545"/>
                    </a:xfrm>
                    <a:prstGeom prst="rect">
                      <a:avLst/>
                    </a:prstGeom>
                    <a:noFill/>
                  </pic:spPr>
                </pic:pic>
              </a:graphicData>
            </a:graphic>
          </wp:anchor>
        </w:drawing>
      </w:r>
    </w:p>
    <w:p>
      <w:pPr>
        <w:sectPr>
          <w:pgSz w:w="11900" w:h="16838" w:orient="portrait"/>
          <w:cols w:equalWidth="0" w:num="1">
            <w:col w:w="9580"/>
          </w:cols>
          <w:pgMar w:left="1160" w:top="751" w:right="1159" w:bottom="1440" w:gutter="0" w:footer="0" w:header="0"/>
        </w:sectPr>
      </w:pPr>
    </w:p>
    <w:bookmarkStart w:id="62" w:name="page63"/>
    <w:bookmarkEnd w:id="62"/>
    <w:p>
      <w:pPr>
        <w:jc w:val="both"/>
        <w:ind w:right="20"/>
        <w:spacing w:after="0" w:line="282" w:lineRule="auto"/>
        <w:rPr>
          <w:sz w:val="20"/>
          <w:szCs w:val="20"/>
          <w:color w:val="auto"/>
        </w:rPr>
      </w:pPr>
      <w:r>
        <w:rPr>
          <w:rFonts w:ascii="Times New Roman" w:cs="Times New Roman" w:eastAsia="Times New Roman" w:hAnsi="Times New Roman"/>
          <w:sz w:val="14"/>
          <w:szCs w:val="14"/>
          <w:color w:val="231F20"/>
        </w:rPr>
        <w:t>Sublandlord shall not be obligated to seek Landlord’s consent on behalf of Subtenant, unless and until Subtenant has agreed in writing to cover any and all charges or fees owed to Landlord in connection with such consent request.</w:t>
      </w:r>
    </w:p>
    <w:p>
      <w:pPr>
        <w:spacing w:after="0" w:line="9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4"/>
          <w:szCs w:val="14"/>
          <w:color w:val="231F20"/>
        </w:rPr>
        <w:t>Subtenant shall promptly provide any information or documentation that Landlord may request in determining whether to grant any consent requested by Subtenant. Subtenant shall reimburse Sublandlord, not later than twenty-one (21) days after written demand by Sublandlord, for any fees and disbursements of attorneys, architects, engineers, or others or any other amounts charged or assessed by Landlord against Sublandlord in connection with any consent or approval requested by Subtenant. Sublandlord shall have no liability of any kind to Subtenant for Landlord’s failure to give its consent or approval.</w:t>
      </w:r>
    </w:p>
    <w:p>
      <w:pPr>
        <w:spacing w:after="0" w:line="106" w:lineRule="exact"/>
        <w:rPr>
          <w:sz w:val="20"/>
          <w:szCs w:val="20"/>
          <w:color w:val="auto"/>
        </w:rPr>
      </w:pPr>
    </w:p>
    <w:p>
      <w:pPr>
        <w:ind w:left="860" w:hanging="432"/>
        <w:spacing w:after="0"/>
        <w:tabs>
          <w:tab w:leader="none" w:pos="860" w:val="left"/>
        </w:tabs>
        <w:numPr>
          <w:ilvl w:val="0"/>
          <w:numId w:val="25"/>
        </w:numPr>
        <w:rPr>
          <w:rFonts w:ascii="Times New Roman" w:cs="Times New Roman" w:eastAsia="Times New Roman" w:hAnsi="Times New Roman"/>
          <w:sz w:val="14"/>
          <w:szCs w:val="14"/>
          <w:b w:val="1"/>
          <w:bCs w:val="1"/>
          <w:color w:val="231F20"/>
        </w:rPr>
      </w:pPr>
      <w:r>
        <w:rPr>
          <w:rFonts w:ascii="Times New Roman" w:cs="Times New Roman" w:eastAsia="Times New Roman" w:hAnsi="Times New Roman"/>
          <w:sz w:val="14"/>
          <w:szCs w:val="14"/>
          <w:b w:val="1"/>
          <w:bCs w:val="1"/>
          <w:color w:val="231F20"/>
        </w:rPr>
        <w:t>NOTICE</w:t>
      </w:r>
    </w:p>
    <w:p>
      <w:pPr>
        <w:spacing w:after="0" w:line="75" w:lineRule="exact"/>
        <w:rPr>
          <w:sz w:val="20"/>
          <w:szCs w:val="20"/>
          <w:color w:val="auto"/>
        </w:rPr>
      </w:pPr>
    </w:p>
    <w:p>
      <w:pPr>
        <w:jc w:val="both"/>
        <w:ind w:firstLine="432"/>
        <w:spacing w:after="0" w:line="247" w:lineRule="auto"/>
        <w:rPr>
          <w:sz w:val="20"/>
          <w:szCs w:val="20"/>
          <w:color w:val="auto"/>
        </w:rPr>
      </w:pPr>
      <w:r>
        <w:rPr>
          <w:rFonts w:ascii="Times New Roman" w:cs="Times New Roman" w:eastAsia="Times New Roman" w:hAnsi="Times New Roman"/>
          <w:sz w:val="14"/>
          <w:szCs w:val="14"/>
          <w:color w:val="231F20"/>
        </w:rPr>
        <w:t>All notices and other communications required or permitted under this Sublease shall be given in writing by the party or its attorneys and shall a) either be personally delivered or sent by United States certified mail, return receipt requested, or by an overnight delivery service that provides for receipted delivery, such as FedEx, and b) by electronic mail, in each case, addressed to the addresses set out below. All notices shall be effective upon receipt or refusal, but no later than five (5) days following deposit with a physical carrier. Notwithstanding the foregoing, in the event the sender of any such notice which is sent by electronic mail receives a failure to deliver notice or any similar automatic response indicating that such notice may not have been received by the intended recipient, such notice shall not constitute a valid notice hereunder unless and until such notice is sent by another means permitted hereunder and such subsequent notice shall be deemed effective in accordance with the terms of this provision. Notwithstanding the foregoing, Subtenant shall pay all Rent by wire transfer to Sublandlord in accordance with such wire instructions that Sublandlord shall deliver to Subtenant from time to time.</w:t>
      </w:r>
    </w:p>
    <w:p>
      <w:pPr>
        <w:spacing w:after="0" w:line="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231F20"/>
        </w:rPr>
        <w:t>If to Sublandlord:</w:t>
      </w:r>
    </w:p>
    <w:p>
      <w:pPr>
        <w:spacing w:after="0" w:line="7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231F20"/>
        </w:rPr>
        <w:t>Heartflow, Inc.</w:t>
      </w:r>
    </w:p>
    <w:p>
      <w:pPr>
        <w:spacing w:after="0" w:line="1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231F20"/>
        </w:rPr>
        <w:t>135 Main Street, Suite 1000</w:t>
      </w:r>
    </w:p>
    <w:p>
      <w:pPr>
        <w:spacing w:after="0" w:line="5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231F20"/>
        </w:rPr>
        <w:t>San Francisco, CA 94105 Attn: Facilities</w:t>
      </w:r>
    </w:p>
    <w:p>
      <w:pPr>
        <w:spacing w:after="0" w:line="1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231F20"/>
        </w:rPr>
        <w:t xml:space="preserve">Email: </w:t>
      </w:r>
      <w:r>
        <w:rPr>
          <w:rFonts w:ascii="Times New Roman" w:cs="Times New Roman" w:eastAsia="Times New Roman" w:hAnsi="Times New Roman"/>
          <w:sz w:val="14"/>
          <w:szCs w:val="14"/>
          <w:b w:val="1"/>
          <w:bCs w:val="1"/>
          <w:color w:val="000000"/>
        </w:rPr>
        <w:t>[***]</w:t>
      </w:r>
    </w:p>
    <w:p>
      <w:pPr>
        <w:spacing w:after="0" w:line="21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231F20"/>
        </w:rPr>
        <w:t>with a copy to:</w:t>
      </w:r>
    </w:p>
    <w:p>
      <w:pPr>
        <w:spacing w:after="0" w:line="16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231F20"/>
        </w:rPr>
        <w:t>O’Melveny &amp; Myers LLP</w:t>
      </w:r>
    </w:p>
    <w:p>
      <w:pPr>
        <w:spacing w:after="0" w:line="1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231F20"/>
        </w:rPr>
        <w:t>610 Newport Center Drive, 17</w:t>
      </w:r>
      <w:r>
        <w:rPr>
          <w:rFonts w:ascii="Times New Roman" w:cs="Times New Roman" w:eastAsia="Times New Roman" w:hAnsi="Times New Roman"/>
          <w:sz w:val="7"/>
          <w:szCs w:val="7"/>
          <w:color w:val="231F20"/>
        </w:rPr>
        <w:t>th</w:t>
      </w:r>
      <w:r>
        <w:rPr>
          <w:rFonts w:ascii="Times New Roman" w:cs="Times New Roman" w:eastAsia="Times New Roman" w:hAnsi="Times New Roman"/>
          <w:sz w:val="14"/>
          <w:szCs w:val="14"/>
          <w:color w:val="231F20"/>
        </w:rPr>
        <w:t xml:space="preserve"> Floor Newport Beach, CA 92660</w:t>
      </w:r>
    </w:p>
    <w:p>
      <w:pPr>
        <w:spacing w:after="0" w:line="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231F20"/>
        </w:rPr>
        <w:t xml:space="preserve">Attn: Kathryn E. Turner, Esq. E-Mail: </w:t>
      </w:r>
      <w:r>
        <w:rPr>
          <w:rFonts w:ascii="Times New Roman" w:cs="Times New Roman" w:eastAsia="Times New Roman" w:hAnsi="Times New Roman"/>
          <w:sz w:val="14"/>
          <w:szCs w:val="14"/>
          <w:b w:val="1"/>
          <w:bCs w:val="1"/>
          <w:color w:val="000000"/>
        </w:rPr>
        <w:t>[***]</w:t>
      </w:r>
    </w:p>
    <w:p>
      <w:pPr>
        <w:spacing w:after="0" w:line="2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231F20"/>
        </w:rPr>
        <w:t>If to Subtenant Prior to Commencement Date:</w:t>
      </w:r>
    </w:p>
    <w:p>
      <w:pPr>
        <w:spacing w:after="0" w:line="1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231F20"/>
        </w:rPr>
        <w:t>Glean Technologies, Inc.</w:t>
      </w:r>
    </w:p>
    <w:p>
      <w:pPr>
        <w:spacing w:after="0" w:line="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231F20"/>
        </w:rPr>
        <w:t>260 Sheridan Avenue, Suite 300</w:t>
      </w:r>
    </w:p>
    <w:p>
      <w:pPr>
        <w:spacing w:after="0" w:line="29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141605</wp:posOffset>
            </wp:positionV>
            <wp:extent cx="694055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6940550" cy="42545"/>
                    </a:xfrm>
                    <a:prstGeom prst="rect">
                      <a:avLst/>
                    </a:prstGeom>
                    <a:noFill/>
                  </pic:spPr>
                </pic:pic>
              </a:graphicData>
            </a:graphic>
          </wp:anchor>
        </w:drawing>
      </w:r>
    </w:p>
    <w:p>
      <w:pPr>
        <w:sectPr>
          <w:pgSz w:w="11900" w:h="16838" w:orient="portrait"/>
          <w:cols w:equalWidth="0" w:num="1">
            <w:col w:w="9580"/>
          </w:cols>
          <w:pgMar w:left="1160" w:top="751" w:right="1159" w:bottom="1440" w:gutter="0" w:footer="0" w:header="0"/>
        </w:sectPr>
      </w:pPr>
    </w:p>
    <w:bookmarkStart w:id="63" w:name="page64"/>
    <w:bookmarkEnd w:id="63"/>
    <w:p>
      <w:pPr>
        <w:ind w:left="1720"/>
        <w:spacing w:after="0"/>
        <w:rPr>
          <w:sz w:val="20"/>
          <w:szCs w:val="20"/>
          <w:color w:val="auto"/>
        </w:rPr>
      </w:pPr>
      <w:r>
        <w:rPr>
          <w:rFonts w:ascii="Times New Roman" w:cs="Times New Roman" w:eastAsia="Times New Roman" w:hAnsi="Times New Roman"/>
          <w:sz w:val="14"/>
          <w:szCs w:val="14"/>
          <w:color w:val="231F20"/>
        </w:rPr>
        <w:t>Palo Alto, California 94306 ATTN: Legal</w:t>
      </w:r>
    </w:p>
    <w:p>
      <w:pPr>
        <w:spacing w:after="0" w:line="1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231F20"/>
        </w:rPr>
        <w:t xml:space="preserve">With a copy to E-Mail: </w:t>
      </w:r>
      <w:r>
        <w:rPr>
          <w:rFonts w:ascii="Times New Roman" w:cs="Times New Roman" w:eastAsia="Times New Roman" w:hAnsi="Times New Roman"/>
          <w:sz w:val="14"/>
          <w:szCs w:val="14"/>
          <w:b w:val="1"/>
          <w:bCs w:val="1"/>
          <w:color w:val="000000"/>
        </w:rPr>
        <w:t>[***]</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231F20"/>
        </w:rPr>
        <w:t>If to Subtenant After Commencement Date:</w:t>
      </w:r>
    </w:p>
    <w:p>
      <w:pPr>
        <w:spacing w:after="0" w:line="1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231F20"/>
        </w:rPr>
        <w:t>Glean Technologies, Inc.</w:t>
      </w:r>
    </w:p>
    <w:p>
      <w:pPr>
        <w:spacing w:after="0" w:line="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231F20"/>
        </w:rPr>
        <w:t>331 E. Evelyn Avenue, Floor 2 Mountain View, California 94041 ATTN: Legal</w:t>
      </w:r>
    </w:p>
    <w:p>
      <w:pPr>
        <w:spacing w:after="0" w:line="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231F20"/>
        </w:rPr>
        <w:t xml:space="preserve">With a copy to E-Mail: </w:t>
      </w:r>
      <w:r>
        <w:rPr>
          <w:rFonts w:ascii="Times New Roman" w:cs="Times New Roman" w:eastAsia="Times New Roman" w:hAnsi="Times New Roman"/>
          <w:sz w:val="14"/>
          <w:szCs w:val="14"/>
          <w:b w:val="1"/>
          <w:bCs w:val="1"/>
          <w:color w:val="000000"/>
        </w:rPr>
        <w: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Either party, by not less than fifteen (15) days’ written notice to the other party, may designate a different address or addresses for notices, requests or demands to it.</w:t>
      </w:r>
    </w:p>
    <w:p>
      <w:pPr>
        <w:spacing w:after="0" w:line="71" w:lineRule="exact"/>
        <w:rPr>
          <w:sz w:val="20"/>
          <w:szCs w:val="20"/>
          <w:color w:val="auto"/>
        </w:rPr>
      </w:pPr>
    </w:p>
    <w:p>
      <w:pPr>
        <w:ind w:left="860" w:hanging="432"/>
        <w:spacing w:after="0"/>
        <w:tabs>
          <w:tab w:leader="none" w:pos="860" w:val="left"/>
        </w:tabs>
        <w:numPr>
          <w:ilvl w:val="0"/>
          <w:numId w:val="26"/>
        </w:numPr>
        <w:rPr>
          <w:rFonts w:ascii="Times New Roman" w:cs="Times New Roman" w:eastAsia="Times New Roman" w:hAnsi="Times New Roman"/>
          <w:sz w:val="14"/>
          <w:szCs w:val="14"/>
          <w:b w:val="1"/>
          <w:bCs w:val="1"/>
          <w:color w:val="231F20"/>
        </w:rPr>
      </w:pPr>
      <w:r>
        <w:rPr>
          <w:rFonts w:ascii="Times New Roman" w:cs="Times New Roman" w:eastAsia="Times New Roman" w:hAnsi="Times New Roman"/>
          <w:sz w:val="14"/>
          <w:szCs w:val="14"/>
          <w:b w:val="1"/>
          <w:bCs w:val="1"/>
          <w:color w:val="231F20"/>
        </w:rPr>
        <w:t>DEFAULTS AND REMEDIES</w:t>
      </w:r>
    </w:p>
    <w:p>
      <w:pPr>
        <w:spacing w:after="0" w:line="73" w:lineRule="exact"/>
        <w:rPr>
          <w:sz w:val="20"/>
          <w:szCs w:val="20"/>
          <w:color w:val="auto"/>
        </w:rPr>
      </w:pPr>
    </w:p>
    <w:p>
      <w:pPr>
        <w:ind w:left="860"/>
        <w:spacing w:after="0"/>
        <w:tabs>
          <w:tab w:leader="none" w:pos="1760" w:val="left"/>
        </w:tabs>
        <w:rPr>
          <w:sz w:val="20"/>
          <w:szCs w:val="20"/>
          <w:color w:val="auto"/>
        </w:rPr>
      </w:pPr>
      <w:r>
        <w:rPr>
          <w:rFonts w:ascii="Times New Roman" w:cs="Times New Roman" w:eastAsia="Times New Roman" w:hAnsi="Times New Roman"/>
          <w:sz w:val="14"/>
          <w:szCs w:val="14"/>
          <w:color w:val="231F20"/>
        </w:rPr>
        <w:t>14.1</w:t>
      </w:r>
      <w:r>
        <w:rPr>
          <w:sz w:val="20"/>
          <w:szCs w:val="20"/>
          <w:color w:val="auto"/>
        </w:rPr>
        <w:tab/>
      </w:r>
      <w:r>
        <w:rPr>
          <w:rFonts w:ascii="Times New Roman" w:cs="Times New Roman" w:eastAsia="Times New Roman" w:hAnsi="Times New Roman"/>
          <w:sz w:val="14"/>
          <w:szCs w:val="14"/>
          <w:u w:val="single" w:color="auto"/>
          <w:color w:val="231F20"/>
        </w:rPr>
        <w:t>Subtenant Default</w:t>
      </w:r>
      <w:r>
        <w:rPr>
          <w:rFonts w:ascii="Times New Roman" w:cs="Times New Roman" w:eastAsia="Times New Roman" w:hAnsi="Times New Roman"/>
          <w:sz w:val="14"/>
          <w:szCs w:val="14"/>
          <w:color w:val="231F20"/>
        </w:rPr>
        <w:t>. Each of the following shall constitute a “</w:t>
      </w:r>
      <w:r>
        <w:rPr>
          <w:rFonts w:ascii="Times New Roman" w:cs="Times New Roman" w:eastAsia="Times New Roman" w:hAnsi="Times New Roman"/>
          <w:sz w:val="14"/>
          <w:szCs w:val="14"/>
          <w:b w:val="1"/>
          <w:bCs w:val="1"/>
          <w:color w:val="231F20"/>
        </w:rPr>
        <w:t>Default</w:t>
      </w:r>
      <w:r>
        <w:rPr>
          <w:rFonts w:ascii="Times New Roman" w:cs="Times New Roman" w:eastAsia="Times New Roman" w:hAnsi="Times New Roman"/>
          <w:sz w:val="14"/>
          <w:szCs w:val="14"/>
          <w:color w:val="231F20"/>
        </w:rPr>
        <w:t>” hereunder by Subtenant:</w:t>
      </w:r>
    </w:p>
    <w:p>
      <w:pPr>
        <w:spacing w:after="0" w:line="75" w:lineRule="exact"/>
        <w:rPr>
          <w:sz w:val="20"/>
          <w:szCs w:val="20"/>
          <w:color w:val="auto"/>
        </w:rPr>
      </w:pPr>
    </w:p>
    <w:p>
      <w:pPr>
        <w:jc w:val="both"/>
        <w:ind w:firstLine="1292"/>
        <w:spacing w:after="0" w:line="255" w:lineRule="auto"/>
        <w:tabs>
          <w:tab w:leader="none" w:pos="2210" w:val="left"/>
        </w:tabs>
        <w:numPr>
          <w:ilvl w:val="0"/>
          <w:numId w:val="27"/>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Subtenant shall fail to make any payment of Base Rent, Additional Rent, or any other payment required to be made by Subtenant hereunder, which failure shall continue for more than ten (10) days after written notice thereof from Sublandlord to Subtenant; provided, however, that Sublandlord shall not be obligated to provide such written notice more than twice in any calendar year, and after such notice has been given in any calendar year, any subsequent failure to pay any amount when due that continues for more than ten (10) days after the due date shall constitute a Default without further notice.</w:t>
      </w:r>
    </w:p>
    <w:p>
      <w:pPr>
        <w:spacing w:after="0" w:line="36" w:lineRule="exact"/>
        <w:rPr>
          <w:sz w:val="20"/>
          <w:szCs w:val="20"/>
          <w:color w:val="auto"/>
        </w:rPr>
      </w:pPr>
    </w:p>
    <w:p>
      <w:pPr>
        <w:ind w:firstLine="1296"/>
        <w:spacing w:after="0" w:line="235" w:lineRule="auto"/>
        <w:rPr>
          <w:sz w:val="20"/>
          <w:szCs w:val="20"/>
          <w:color w:val="auto"/>
        </w:rPr>
      </w:pPr>
      <w:r>
        <w:rPr>
          <w:rFonts w:ascii="Times New Roman" w:cs="Times New Roman" w:eastAsia="Times New Roman" w:hAnsi="Times New Roman"/>
          <w:sz w:val="14"/>
          <w:szCs w:val="14"/>
          <w:color w:val="231F20"/>
        </w:rPr>
        <w:t>(b) Subtenant shall fail to observe or perform any other covenants, conditions or provisions of this Sublease to be observed or performed by Subtenant (other than as described in Section 14.1(a) above) either directly or derivatively</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180" w:type="dxa"/>
            <w:vAlign w:val="bottom"/>
          </w:tcPr>
          <w:p>
            <w:pPr>
              <w:spacing w:after="0" w:line="20" w:lineRule="exact"/>
              <w:rPr>
                <w:sz w:val="1"/>
                <w:szCs w:val="1"/>
                <w:color w:val="auto"/>
              </w:rPr>
            </w:pPr>
          </w:p>
        </w:tc>
        <w:tc>
          <w:tcPr>
            <w:tcW w:w="340" w:type="dxa"/>
            <w:vAlign w:val="bottom"/>
            <w:tcBorders>
              <w:right w:val="single" w:sz="8" w:color="231F20"/>
            </w:tcBorders>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400" w:type="dxa"/>
            <w:vAlign w:val="bottom"/>
            <w:shd w:val="clear" w:color="auto" w:fill="231F20"/>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52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231F20"/>
              </w:rPr>
              <w:t>pursuant  to  obligations  arising  under  the  Master  Lease,  and  such  failure  shall  continue  for</w:t>
            </w:r>
          </w:p>
        </w:tc>
        <w:tc>
          <w:tcPr>
            <w:tcW w:w="1020" w:type="dxa"/>
            <w:vAlign w:val="bottom"/>
            <w:gridSpan w:val="6"/>
          </w:tcPr>
          <w:p>
            <w:pPr>
              <w:ind w:left="60"/>
              <w:spacing w:after="0" w:line="122" w:lineRule="exact"/>
              <w:rPr>
                <w:sz w:val="20"/>
                <w:szCs w:val="20"/>
                <w:color w:val="auto"/>
              </w:rPr>
            </w:pPr>
            <w:r>
              <w:rPr>
                <w:rFonts w:ascii="Times New Roman" w:cs="Times New Roman" w:eastAsia="Times New Roman" w:hAnsi="Times New Roman"/>
                <w:sz w:val="14"/>
                <w:szCs w:val="14"/>
                <w:color w:val="231F20"/>
              </w:rPr>
              <w:t>a  period  of</w:t>
            </w:r>
          </w:p>
        </w:tc>
        <w:tc>
          <w:tcPr>
            <w:tcW w:w="2040" w:type="dxa"/>
            <w:vAlign w:val="bottom"/>
            <w:gridSpan w:val="6"/>
          </w:tcPr>
          <w:p>
            <w:pPr>
              <w:jc w:val="right"/>
              <w:spacing w:after="0" w:line="122" w:lineRule="exact"/>
              <w:rPr>
                <w:sz w:val="20"/>
                <w:szCs w:val="20"/>
                <w:color w:val="auto"/>
              </w:rPr>
            </w:pPr>
            <w:r>
              <w:rPr>
                <w:rFonts w:ascii="Times New Roman" w:cs="Times New Roman" w:eastAsia="Times New Roman" w:hAnsi="Times New Roman"/>
                <w:sz w:val="14"/>
                <w:szCs w:val="14"/>
                <w:color w:val="231F20"/>
              </w:rPr>
              <w:t>thirty  (30)  days  after  written</w:t>
            </w:r>
          </w:p>
        </w:tc>
        <w:tc>
          <w:tcPr>
            <w:tcW w:w="0" w:type="dxa"/>
            <w:vAlign w:val="bottom"/>
          </w:tcPr>
          <w:p>
            <w:pPr>
              <w:spacing w:after="0"/>
              <w:rPr>
                <w:sz w:val="1"/>
                <w:szCs w:val="1"/>
                <w:color w:val="auto"/>
              </w:rPr>
            </w:pPr>
          </w:p>
        </w:tc>
      </w:tr>
      <w:tr>
        <w:trPr>
          <w:trHeight w:val="20"/>
        </w:trPr>
        <w:tc>
          <w:tcPr>
            <w:tcW w:w="754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color w:val="231F20"/>
              </w:rPr>
              <w:t>notice thereof by Sublandlord to Subtenant; provided, however, if the nature of Subtenant’s failure is such that more than thirty</w:t>
            </w:r>
          </w:p>
        </w:tc>
        <w:tc>
          <w:tcPr>
            <w:tcW w:w="60" w:type="dxa"/>
            <w:vAlign w:val="bottom"/>
            <w:shd w:val="clear" w:color="auto" w:fill="231F20"/>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are required for its cure,</w:t>
            </w:r>
          </w:p>
        </w:tc>
        <w:tc>
          <w:tcPr>
            <w:tcW w:w="0" w:type="dxa"/>
            <w:vAlign w:val="bottom"/>
          </w:tcPr>
          <w:p>
            <w:pPr>
              <w:spacing w:after="0" w:line="20" w:lineRule="exact"/>
              <w:rPr>
                <w:sz w:val="1"/>
                <w:szCs w:val="1"/>
                <w:color w:val="auto"/>
              </w:rPr>
            </w:pPr>
          </w:p>
        </w:tc>
      </w:tr>
      <w:tr>
        <w:trPr>
          <w:trHeight w:val="142"/>
        </w:trPr>
        <w:tc>
          <w:tcPr>
            <w:tcW w:w="7540" w:type="dxa"/>
            <w:vAlign w:val="bottom"/>
            <w:gridSpan w:val="8"/>
            <w:vMerge w:val="continue"/>
          </w:tcPr>
          <w:p>
            <w:pPr>
              <w:spacing w:after="0"/>
              <w:rPr>
                <w:sz w:val="12"/>
                <w:szCs w:val="12"/>
                <w:color w:val="auto"/>
              </w:rPr>
            </w:pPr>
          </w:p>
        </w:tc>
        <w:tc>
          <w:tcPr>
            <w:tcW w:w="3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231F20"/>
              </w:rPr>
              <w:t>(30)</w:t>
            </w:r>
          </w:p>
        </w:tc>
        <w:tc>
          <w:tcPr>
            <w:tcW w:w="3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days</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231F20"/>
              </w:rPr>
              <w:t>Subtenant shall not be deemed to be in default hereunder if Subtenant commences such sure within such thirty</w:t>
            </w:r>
          </w:p>
        </w:tc>
        <w:tc>
          <w:tcPr>
            <w:tcW w:w="6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231F20"/>
              </w:rPr>
              <w:t>(30) day</w:t>
            </w:r>
          </w:p>
        </w:tc>
        <w:tc>
          <w:tcPr>
            <w:tcW w:w="300" w:type="dxa"/>
            <w:vAlign w:val="bottom"/>
            <w:gridSpan w:val="2"/>
            <w:shd w:val="clear" w:color="auto" w:fill="231F2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18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231F20"/>
              </w:rPr>
              <w:t>thereafter diligently prosecutes</w:t>
            </w:r>
          </w:p>
        </w:tc>
        <w:tc>
          <w:tcPr>
            <w:tcW w:w="0" w:type="dxa"/>
            <w:vAlign w:val="bottom"/>
          </w:tcPr>
          <w:p>
            <w:pPr>
              <w:spacing w:after="0" w:line="20" w:lineRule="exact"/>
              <w:rPr>
                <w:sz w:val="1"/>
                <w:szCs w:val="1"/>
                <w:color w:val="auto"/>
              </w:rPr>
            </w:pPr>
          </w:p>
        </w:tc>
      </w:tr>
      <w:tr>
        <w:trPr>
          <w:trHeight w:val="142"/>
        </w:trPr>
        <w:tc>
          <w:tcPr>
            <w:tcW w:w="6520" w:type="dxa"/>
            <w:vAlign w:val="bottom"/>
            <w:gridSpan w:val="2"/>
            <w:vMerge w:val="continue"/>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3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w w:val="78"/>
              </w:rPr>
              <w:t>period</w:t>
            </w:r>
          </w:p>
        </w:tc>
        <w:tc>
          <w:tcPr>
            <w:tcW w:w="2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color w:val="231F20"/>
                <w:w w:val="98"/>
              </w:rPr>
              <w:t>and</w:t>
            </w:r>
          </w:p>
        </w:tc>
        <w:tc>
          <w:tcPr>
            <w:tcW w:w="18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6180" w:type="dxa"/>
            <w:vAlign w:val="bottom"/>
          </w:tcPr>
          <w:p>
            <w:pPr>
              <w:spacing w:after="0"/>
              <w:rPr>
                <w:sz w:val="20"/>
                <w:szCs w:val="20"/>
                <w:color w:val="auto"/>
              </w:rPr>
            </w:pPr>
            <w:r>
              <w:rPr>
                <w:rFonts w:ascii="Times New Roman" w:cs="Times New Roman" w:eastAsia="Times New Roman" w:hAnsi="Times New Roman"/>
                <w:sz w:val="14"/>
                <w:szCs w:val="14"/>
                <w:color w:val="231F20"/>
              </w:rPr>
              <w:t>such cure to completion.</w:t>
            </w:r>
          </w:p>
        </w:tc>
        <w:tc>
          <w:tcPr>
            <w:tcW w:w="340" w:type="dxa"/>
            <w:vAlign w:val="bottom"/>
            <w:tcBorders>
              <w:top w:val="single" w:sz="8" w:color="231F20"/>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231F20"/>
            </w:tcBorders>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2180" w:hanging="888"/>
        <w:spacing w:after="0"/>
        <w:tabs>
          <w:tab w:leader="none" w:pos="2180" w:val="left"/>
        </w:tabs>
        <w:numPr>
          <w:ilvl w:val="0"/>
          <w:numId w:val="2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Notwithstanding 11.2.6, a default by Subtenant under Sections 17(a)(ii) through (x) of the Master Lease if but only if the word</w:t>
      </w:r>
    </w:p>
    <w:p>
      <w:pPr>
        <w:spacing w:after="0" w:line="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231F20"/>
        </w:rPr>
        <w:t xml:space="preserve">“Subtenant” is substituted for “Tenant” under those Sections; </w:t>
      </w:r>
      <w:r>
        <w:rPr>
          <w:rFonts w:ascii="Times New Roman" w:cs="Times New Roman" w:eastAsia="Times New Roman" w:hAnsi="Times New Roman"/>
          <w:sz w:val="14"/>
          <w:szCs w:val="14"/>
          <w:i w:val="1"/>
          <w:iCs w:val="1"/>
          <w:color w:val="231F20"/>
        </w:rPr>
        <w:t>provided</w:t>
      </w:r>
      <w:r>
        <w:rPr>
          <w:rFonts w:ascii="Times New Roman" w:cs="Times New Roman" w:eastAsia="Times New Roman" w:hAnsi="Times New Roman"/>
          <w:sz w:val="14"/>
          <w:szCs w:val="14"/>
          <w:color w:val="231F20"/>
        </w:rPr>
        <w:t>, for avoidance of doubt, a default by Sublandlord under any of the Default provisions of Section 17(a) of the Master Lease shall not constitute a default by Subtenant under this Sublease.</w:t>
      </w:r>
    </w:p>
    <w:p>
      <w:pPr>
        <w:spacing w:after="0" w:line="34" w:lineRule="exact"/>
        <w:rPr>
          <w:sz w:val="20"/>
          <w:szCs w:val="20"/>
          <w:color w:val="auto"/>
        </w:rPr>
      </w:pPr>
    </w:p>
    <w:p>
      <w:pPr>
        <w:ind w:firstLine="1280"/>
        <w:spacing w:after="0" w:line="282" w:lineRule="auto"/>
        <w:tabs>
          <w:tab w:leader="none" w:pos="2214" w:val="left"/>
        </w:tabs>
        <w:numPr>
          <w:ilvl w:val="0"/>
          <w:numId w:val="29"/>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Notwithstanding anything to the contrary contained herein, Sublandlord shall not terminate the Master Lease as a result of Landlord Default without first consulting Subtenant.</w:t>
      </w:r>
    </w:p>
    <w:p>
      <w:pPr>
        <w:spacing w:after="0" w:line="18" w:lineRule="exact"/>
        <w:rPr>
          <w:sz w:val="20"/>
          <w:szCs w:val="20"/>
          <w:color w:val="auto"/>
        </w:rPr>
      </w:pPr>
    </w:p>
    <w:p>
      <w:pPr>
        <w:jc w:val="both"/>
        <w:ind w:right="20" w:firstLine="864"/>
        <w:spacing w:after="0" w:line="261" w:lineRule="auto"/>
        <w:rPr>
          <w:sz w:val="20"/>
          <w:szCs w:val="20"/>
          <w:color w:val="auto"/>
        </w:rPr>
      </w:pPr>
      <w:r>
        <w:rPr>
          <w:rFonts w:ascii="Times New Roman" w:cs="Times New Roman" w:eastAsia="Times New Roman" w:hAnsi="Times New Roman"/>
          <w:sz w:val="14"/>
          <w:szCs w:val="14"/>
          <w:color w:val="231F20"/>
        </w:rPr>
        <w:t xml:space="preserve">14.2 </w:t>
      </w:r>
      <w:r>
        <w:rPr>
          <w:rFonts w:ascii="Times New Roman" w:cs="Times New Roman" w:eastAsia="Times New Roman" w:hAnsi="Times New Roman"/>
          <w:sz w:val="14"/>
          <w:szCs w:val="14"/>
          <w:u w:val="single" w:color="auto"/>
          <w:color w:val="231F20"/>
        </w:rPr>
        <w:t>Sublandlord Remedies</w:t>
      </w:r>
      <w:r>
        <w:rPr>
          <w:rFonts w:ascii="Times New Roman" w:cs="Times New Roman" w:eastAsia="Times New Roman" w:hAnsi="Times New Roman"/>
          <w:sz w:val="14"/>
          <w:szCs w:val="14"/>
          <w:color w:val="231F20"/>
        </w:rPr>
        <w:t>. Upon default by Subtenant hereunder or under the Master Lease, in each case, beyond all applicable notice and cure periods, Sublandlord shall have all rights and remedies available to it at law or in equity, including, but not limited to, all of the rights and remedies of Landlord set forth in the Master Lease.</w:t>
      </w:r>
    </w:p>
    <w:p>
      <w:pPr>
        <w:spacing w:after="0" w:line="33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141605</wp:posOffset>
            </wp:positionV>
            <wp:extent cx="694055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6940550" cy="42545"/>
                    </a:xfrm>
                    <a:prstGeom prst="rect">
                      <a:avLst/>
                    </a:prstGeom>
                    <a:noFill/>
                  </pic:spPr>
                </pic:pic>
              </a:graphicData>
            </a:graphic>
          </wp:anchor>
        </w:drawing>
      </w:r>
    </w:p>
    <w:p>
      <w:pPr>
        <w:sectPr>
          <w:pgSz w:w="11900" w:h="16838" w:orient="portrait"/>
          <w:cols w:equalWidth="0" w:num="1">
            <w:col w:w="9580"/>
          </w:cols>
          <w:pgMar w:left="1160" w:top="751" w:right="1159" w:bottom="1440" w:gutter="0" w:footer="0" w:header="0"/>
        </w:sectPr>
      </w:pPr>
    </w:p>
    <w:bookmarkStart w:id="64" w:name="page65"/>
    <w:bookmarkEnd w:id="64"/>
    <w:p>
      <w:pPr>
        <w:ind w:left="1224" w:hanging="792"/>
        <w:spacing w:after="0"/>
        <w:tabs>
          <w:tab w:leader="none" w:pos="1224" w:val="left"/>
        </w:tabs>
        <w:numPr>
          <w:ilvl w:val="0"/>
          <w:numId w:val="3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INDEMNITY</w:t>
      </w:r>
    </w:p>
    <w:p>
      <w:pPr>
        <w:spacing w:after="0" w:line="17" w:lineRule="exact"/>
        <w:rPr>
          <w:sz w:val="20"/>
          <w:szCs w:val="20"/>
          <w:color w:val="auto"/>
        </w:rPr>
      </w:pPr>
    </w:p>
    <w:p>
      <w:pPr>
        <w:jc w:val="both"/>
        <w:ind w:left="4" w:firstLine="864"/>
        <w:spacing w:after="0" w:line="243" w:lineRule="auto"/>
        <w:rPr>
          <w:sz w:val="20"/>
          <w:szCs w:val="20"/>
          <w:color w:val="auto"/>
        </w:rPr>
      </w:pPr>
      <w:r>
        <w:rPr>
          <w:rFonts w:ascii="Times New Roman" w:cs="Times New Roman" w:eastAsia="Times New Roman" w:hAnsi="Times New Roman"/>
          <w:sz w:val="14"/>
          <w:szCs w:val="14"/>
          <w:color w:val="231F20"/>
        </w:rPr>
        <w:t xml:space="preserve">15.1 </w:t>
      </w:r>
      <w:r>
        <w:rPr>
          <w:rFonts w:ascii="Times New Roman" w:cs="Times New Roman" w:eastAsia="Times New Roman" w:hAnsi="Times New Roman"/>
          <w:sz w:val="14"/>
          <w:szCs w:val="14"/>
          <w:u w:val="single" w:color="auto"/>
          <w:color w:val="231F20"/>
        </w:rPr>
        <w:t>Indemnification by Subtenant</w:t>
      </w:r>
      <w:r>
        <w:rPr>
          <w:rFonts w:ascii="Times New Roman" w:cs="Times New Roman" w:eastAsia="Times New Roman" w:hAnsi="Times New Roman"/>
          <w:sz w:val="14"/>
          <w:szCs w:val="14"/>
          <w:color w:val="231F20"/>
        </w:rPr>
        <w:t>. Subtenant hereby acknowledges and agrees that Subtenant shall indemnify, defend, protect and hold harmless Sublandlord, Landlord and all of their respective partners, shareholders, directors, officers, employees, and agents (collectively, the “Sublandlord Indemnified Parties”), as and when provided in the Master Lease in the same manner as Tenant indemnifies Landlord thereunder, including, without limitation, from and against all liabilities, obligations, losses, damages, penalties, claims, liens, costs, charges and expenses (including, without limitation, reasonable attorney’s fees and other professional fees) arising as a result of, or otherwise paid, suffered, or incurred by any of the Sublandlord Indemnified Parties to the extent caused by Subtenant; provided, however, Subtenant shall have no liability or indemnity obligations to the extent caused by Sublandlord or Landlord negligence or willful misconduct (for avoidance of doubt, indemnity obligations shall be reduced only by the proportional share of any liability directly resulting from the negligence or willful misconduct of a Sublandlord Indemnified Parties).</w:t>
      </w:r>
    </w:p>
    <w:p>
      <w:pPr>
        <w:spacing w:after="0" w:line="48" w:lineRule="exact"/>
        <w:rPr>
          <w:sz w:val="20"/>
          <w:szCs w:val="20"/>
          <w:color w:val="auto"/>
        </w:rPr>
      </w:pPr>
    </w:p>
    <w:p>
      <w:pPr>
        <w:jc w:val="both"/>
        <w:ind w:left="4" w:right="20" w:firstLine="864"/>
        <w:spacing w:after="0" w:line="253" w:lineRule="auto"/>
        <w:rPr>
          <w:sz w:val="20"/>
          <w:szCs w:val="20"/>
          <w:color w:val="auto"/>
        </w:rPr>
      </w:pPr>
      <w:r>
        <w:rPr>
          <w:rFonts w:ascii="Times New Roman" w:cs="Times New Roman" w:eastAsia="Times New Roman" w:hAnsi="Times New Roman"/>
          <w:sz w:val="14"/>
          <w:szCs w:val="14"/>
          <w:color w:val="231F20"/>
        </w:rPr>
        <w:t>15.2 Indemnification by Sublandlord. Sublandlord hereby acknowledges and agrees that Sublandlord shall indemnify, defend, protect and hold harmless Subtenant and all of its respective partners, shareholders, directors, officers, employees, and agents (collectively, the</w:t>
      </w:r>
    </w:p>
    <w:p>
      <w:pPr>
        <w:spacing w:after="0" w:line="1" w:lineRule="exact"/>
        <w:rPr>
          <w:sz w:val="20"/>
          <w:szCs w:val="20"/>
          <w:color w:val="auto"/>
        </w:rPr>
      </w:pPr>
    </w:p>
    <w:p>
      <w:pPr>
        <w:jc w:val="both"/>
        <w:ind w:left="4"/>
        <w:spacing w:after="0" w:line="244" w:lineRule="auto"/>
        <w:rPr>
          <w:sz w:val="20"/>
          <w:szCs w:val="20"/>
          <w:color w:val="auto"/>
        </w:rPr>
      </w:pP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b w:val="1"/>
          <w:bCs w:val="1"/>
          <w:color w:val="231F20"/>
        </w:rPr>
        <w:t>Subtenant Indemnified Parties</w:t>
      </w:r>
      <w:r>
        <w:rPr>
          <w:rFonts w:ascii="Times New Roman" w:cs="Times New Roman" w:eastAsia="Times New Roman" w:hAnsi="Times New Roman"/>
          <w:sz w:val="14"/>
          <w:szCs w:val="14"/>
          <w:color w:val="231F20"/>
        </w:rPr>
        <w:t>”), to the extent provided in the Master Lease in the same manner as Landlord indemnifies Tenant thereunder, including, without limitation, from and against all liabilities, obligations, losses, damages, penalties, claims, liens, costs, charges and expenses (including, without limitation, reasonable attorney’s fees and other professional fees) arising as a result of, or otherwise paid, suffered, or incurred by any of the Subtenant Indemnified Parties to the extent caused by Sublandlord; provided, however, Sublandlord shall have no liability or indemnity obligations to the extent caused by Subtenant negligence or willful misconduct(for avoidance of doubt, indemnity obligations shall be reduced only by the proportional share of any liability directly resulting from the negligence or willful misconduct of a Subtenant Indemnified Parties).</w:t>
      </w:r>
    </w:p>
    <w:p>
      <w:pPr>
        <w:spacing w:after="0" w:line="46" w:lineRule="exact"/>
        <w:rPr>
          <w:sz w:val="20"/>
          <w:szCs w:val="20"/>
          <w:color w:val="auto"/>
        </w:rPr>
      </w:pPr>
    </w:p>
    <w:p>
      <w:pPr>
        <w:ind w:left="864" w:hanging="432"/>
        <w:spacing w:after="0"/>
        <w:tabs>
          <w:tab w:leader="none" w:pos="864" w:val="left"/>
        </w:tabs>
        <w:numPr>
          <w:ilvl w:val="0"/>
          <w:numId w:val="3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SUBLANDLORD DEFAULT</w:t>
      </w:r>
    </w:p>
    <w:p>
      <w:pPr>
        <w:spacing w:after="0" w:line="163" w:lineRule="exact"/>
        <w:rPr>
          <w:sz w:val="20"/>
          <w:szCs w:val="20"/>
          <w:color w:val="auto"/>
        </w:rPr>
      </w:pPr>
    </w:p>
    <w:p>
      <w:pPr>
        <w:jc w:val="both"/>
        <w:ind w:left="4" w:firstLine="432"/>
        <w:spacing w:after="0" w:line="249" w:lineRule="auto"/>
        <w:rPr>
          <w:sz w:val="20"/>
          <w:szCs w:val="20"/>
          <w:color w:val="auto"/>
        </w:rPr>
      </w:pPr>
      <w:r>
        <w:rPr>
          <w:rFonts w:ascii="Times New Roman" w:cs="Times New Roman" w:eastAsia="Times New Roman" w:hAnsi="Times New Roman"/>
          <w:sz w:val="14"/>
          <w:szCs w:val="14"/>
          <w:color w:val="231F20"/>
        </w:rPr>
        <w:t>Sublandlord shall not be deemed in default hereunder unless Sublandlord fails to perform any obligation within thirty (30) days after written notice from Subtenant; provided, however, that if the nature of such failure is such that it cannot reasonably be cured within such thirty (30) day period, Sublandlord shall not be deemed to be in default hereunder so long as Sublandlord commences such cure within such thirty</w:t>
      </w:r>
    </w:p>
    <w:p>
      <w:pPr>
        <w:spacing w:after="0" w:line="1" w:lineRule="exact"/>
        <w:rPr>
          <w:sz w:val="20"/>
          <w:szCs w:val="20"/>
          <w:color w:val="auto"/>
        </w:rPr>
      </w:pPr>
    </w:p>
    <w:p>
      <w:pPr>
        <w:jc w:val="both"/>
        <w:ind w:left="4" w:hanging="4"/>
        <w:spacing w:after="0" w:line="241" w:lineRule="auto"/>
        <w:tabs>
          <w:tab w:leader="none" w:pos="298" w:val="left"/>
        </w:tabs>
        <w:numPr>
          <w:ilvl w:val="0"/>
          <w:numId w:val="32"/>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day period and thereafter diligently prosecutes such cure to completion. If Sublandlord defaults under the Master Lease in a manner that materially and adversely affects Subtenant’s rights under this Sublease, other than a default caused by Subtenant and such default cannot be reasonably cured within a thirty (30) day</w:t>
      </w:r>
    </w:p>
    <w:tbl>
      <w:tblPr>
        <w:tblLayout w:type="fixed"/>
        <w:tblInd w:w="4" w:type="dxa"/>
        <w:tblCellMar>
          <w:top w:w="0" w:type="dxa"/>
          <w:left w:w="0" w:type="dxa"/>
          <w:bottom w:w="0" w:type="dxa"/>
          <w:right w:w="0" w:type="dxa"/>
        </w:tblCellMar>
      </w:tblPr>
      <w:tr>
        <w:trPr>
          <w:trHeight w:val="147"/>
        </w:trPr>
        <w:tc>
          <w:tcPr>
            <w:tcW w:w="2740" w:type="dxa"/>
            <w:vAlign w:val="bottom"/>
            <w:gridSpan w:val="4"/>
          </w:tcPr>
          <w:p>
            <w:pPr>
              <w:spacing w:after="0" w:line="147" w:lineRule="exact"/>
              <w:rPr>
                <w:sz w:val="20"/>
                <w:szCs w:val="20"/>
                <w:color w:val="auto"/>
              </w:rPr>
            </w:pPr>
            <w:r>
              <w:rPr>
                <w:rFonts w:ascii="Times New Roman" w:cs="Times New Roman" w:eastAsia="Times New Roman" w:hAnsi="Times New Roman"/>
                <w:sz w:val="14"/>
                <w:szCs w:val="14"/>
                <w:color w:val="231F20"/>
              </w:rPr>
              <w:t>period,   then   such   default   (in   which</w:t>
            </w:r>
          </w:p>
        </w:tc>
        <w:tc>
          <w:tcPr>
            <w:tcW w:w="5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231F20"/>
              </w:rPr>
              <w:t>case,</w:t>
            </w:r>
          </w:p>
        </w:tc>
        <w:tc>
          <w:tcPr>
            <w:tcW w:w="300" w:type="dxa"/>
            <w:vAlign w:val="bottom"/>
          </w:tcPr>
          <w:p>
            <w:pPr>
              <w:jc w:val="right"/>
              <w:ind w:right="28"/>
              <w:spacing w:after="0" w:line="147" w:lineRule="exact"/>
              <w:rPr>
                <w:sz w:val="20"/>
                <w:szCs w:val="20"/>
                <w:color w:val="auto"/>
              </w:rPr>
            </w:pPr>
            <w:r>
              <w:rPr>
                <w:rFonts w:ascii="Times New Roman" w:cs="Times New Roman" w:eastAsia="Times New Roman" w:hAnsi="Times New Roman"/>
                <w:sz w:val="14"/>
                <w:szCs w:val="14"/>
                <w:color w:val="231F20"/>
              </w:rPr>
              <w:t>the</w:t>
            </w:r>
          </w:p>
        </w:tc>
        <w:tc>
          <w:tcPr>
            <w:tcW w:w="380" w:type="dxa"/>
            <w:vAlign w:val="bottom"/>
          </w:tcPr>
          <w:p>
            <w:pPr>
              <w:ind w:left="80"/>
              <w:spacing w:after="0" w:line="147" w:lineRule="exact"/>
              <w:rPr>
                <w:sz w:val="20"/>
                <w:szCs w:val="20"/>
                <w:color w:val="auto"/>
              </w:rPr>
            </w:pPr>
            <w:r>
              <w:rPr>
                <w:rFonts w:ascii="Times New Roman" w:cs="Times New Roman" w:eastAsia="Times New Roman" w:hAnsi="Times New Roman"/>
                <w:sz w:val="14"/>
                <w:szCs w:val="14"/>
                <w:color w:val="231F20"/>
                <w:w w:val="99"/>
              </w:rPr>
              <w:t>issue</w:t>
            </w:r>
          </w:p>
        </w:tc>
        <w:tc>
          <w:tcPr>
            <w:tcW w:w="2460" w:type="dxa"/>
            <w:vAlign w:val="bottom"/>
            <w:gridSpan w:val="2"/>
          </w:tcPr>
          <w:p>
            <w:pPr>
              <w:ind w:left="160"/>
              <w:spacing w:after="0" w:line="147" w:lineRule="exact"/>
              <w:rPr>
                <w:sz w:val="20"/>
                <w:szCs w:val="20"/>
                <w:color w:val="auto"/>
              </w:rPr>
            </w:pPr>
            <w:r>
              <w:rPr>
                <w:rFonts w:ascii="Times New Roman" w:cs="Times New Roman" w:eastAsia="Times New Roman" w:hAnsi="Times New Roman"/>
                <w:sz w:val="14"/>
                <w:szCs w:val="14"/>
                <w:color w:val="231F20"/>
              </w:rPr>
              <w:t>will   be   subject   to   the   above</w:t>
            </w:r>
          </w:p>
        </w:tc>
        <w:tc>
          <w:tcPr>
            <w:tcW w:w="312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4"/>
                <w:szCs w:val="14"/>
                <w:color w:val="231F20"/>
              </w:rPr>
              <w:t>cure   obligations),   shall   be   considered   a</w:t>
            </w:r>
          </w:p>
        </w:tc>
      </w:tr>
      <w:tr>
        <w:trPr>
          <w:trHeight w:val="162"/>
        </w:trPr>
        <w:tc>
          <w:tcPr>
            <w:tcW w:w="5120" w:type="dxa"/>
            <w:vAlign w:val="bottom"/>
            <w:gridSpan w:val="8"/>
          </w:tcPr>
          <w:p>
            <w:pPr>
              <w:spacing w:after="0"/>
              <w:rPr>
                <w:sz w:val="20"/>
                <w:szCs w:val="20"/>
                <w:color w:val="auto"/>
              </w:rPr>
            </w:pPr>
            <w:r>
              <w:rPr>
                <w:rFonts w:ascii="Times New Roman" w:cs="Times New Roman" w:eastAsia="Times New Roman" w:hAnsi="Times New Roman"/>
                <w:sz w:val="14"/>
                <w:szCs w:val="14"/>
                <w:color w:val="231F20"/>
              </w:rPr>
              <w:t>Sublandlord default hereunder. In the event of any default by Sublandlord, Subtenant's</w:t>
            </w:r>
          </w:p>
        </w:tc>
        <w:tc>
          <w:tcPr>
            <w:tcW w:w="44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231F20"/>
              </w:rPr>
              <w:t>remedies may include without limitation an action for specific performance</w:t>
            </w:r>
          </w:p>
        </w:tc>
      </w:tr>
      <w:tr>
        <w:trPr>
          <w:trHeight w:val="162"/>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231F20"/>
              </w:rPr>
              <w:t>or  actual,</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direct</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damages,  and</w:t>
            </w:r>
          </w:p>
        </w:tc>
        <w:tc>
          <w:tcPr>
            <w:tcW w:w="480" w:type="dxa"/>
            <w:vAlign w:val="bottom"/>
          </w:tcPr>
          <w:p>
            <w:pPr>
              <w:ind w:left="40"/>
              <w:spacing w:after="0"/>
              <w:rPr>
                <w:sz w:val="20"/>
                <w:szCs w:val="20"/>
                <w:color w:val="auto"/>
              </w:rPr>
            </w:pPr>
            <w:r>
              <w:rPr>
                <w:rFonts w:ascii="Times New Roman" w:cs="Times New Roman" w:eastAsia="Times New Roman" w:hAnsi="Times New Roman"/>
                <w:sz w:val="14"/>
                <w:szCs w:val="14"/>
                <w:color w:val="231F20"/>
              </w:rPr>
              <w:t>all  of</w:t>
            </w:r>
          </w:p>
        </w:tc>
        <w:tc>
          <w:tcPr>
            <w:tcW w:w="8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231F20"/>
              </w:rPr>
              <w:t>the  rights</w:t>
            </w:r>
          </w:p>
        </w:tc>
        <w:tc>
          <w:tcPr>
            <w:tcW w:w="380" w:type="dxa"/>
            <w:vAlign w:val="bottom"/>
          </w:tcPr>
          <w:p>
            <w:pPr>
              <w:ind w:left="40"/>
              <w:spacing w:after="0"/>
              <w:rPr>
                <w:sz w:val="20"/>
                <w:szCs w:val="20"/>
                <w:color w:val="auto"/>
              </w:rPr>
            </w:pPr>
            <w:r>
              <w:rPr>
                <w:rFonts w:ascii="Times New Roman" w:cs="Times New Roman" w:eastAsia="Times New Roman" w:hAnsi="Times New Roman"/>
                <w:sz w:val="14"/>
                <w:szCs w:val="14"/>
                <w:color w:val="231F20"/>
              </w:rPr>
              <w:t>and</w:t>
            </w: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231F20"/>
              </w:rPr>
              <w:t>remedies  of  Tenant  as  set  forth</w:t>
            </w:r>
          </w:p>
        </w:tc>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231F20"/>
              </w:rPr>
              <w:t>in  the  Master  Lease  and</w:t>
            </w: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Subtenant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hereby</w:t>
            </w:r>
          </w:p>
        </w:tc>
      </w:tr>
      <w:tr>
        <w:trPr>
          <w:trHeight w:val="178"/>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231F20"/>
              </w:rPr>
              <w:t>waives   any</w:t>
            </w:r>
          </w:p>
        </w:tc>
        <w:tc>
          <w:tcPr>
            <w:tcW w:w="46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right</w:t>
            </w:r>
          </w:p>
        </w:tc>
        <w:tc>
          <w:tcPr>
            <w:tcW w:w="102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to   terminate</w:t>
            </w:r>
          </w:p>
        </w:tc>
        <w:tc>
          <w:tcPr>
            <w:tcW w:w="480" w:type="dxa"/>
            <w:vAlign w:val="bottom"/>
          </w:tcPr>
          <w:p>
            <w:pPr>
              <w:ind w:left="120"/>
              <w:spacing w:after="0"/>
              <w:rPr>
                <w:sz w:val="20"/>
                <w:szCs w:val="20"/>
                <w:color w:val="auto"/>
              </w:rPr>
            </w:pPr>
            <w:r>
              <w:rPr>
                <w:rFonts w:ascii="Times New Roman" w:cs="Times New Roman" w:eastAsia="Times New Roman" w:hAnsi="Times New Roman"/>
                <w:sz w:val="14"/>
                <w:szCs w:val="14"/>
                <w:color w:val="231F20"/>
              </w:rPr>
              <w:t>this</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231F20"/>
              </w:rPr>
              <w:t>Sublease</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or</w:t>
            </w:r>
          </w:p>
        </w:tc>
        <w:tc>
          <w:tcPr>
            <w:tcW w:w="380" w:type="dxa"/>
            <w:vAlign w:val="bottom"/>
          </w:tcPr>
          <w:p>
            <w:pPr>
              <w:ind w:left="120"/>
              <w:spacing w:after="0"/>
              <w:rPr>
                <w:sz w:val="20"/>
                <w:szCs w:val="20"/>
                <w:color w:val="auto"/>
              </w:rPr>
            </w:pPr>
            <w:r>
              <w:rPr>
                <w:rFonts w:ascii="Times New Roman" w:cs="Times New Roman" w:eastAsia="Times New Roman" w:hAnsi="Times New Roman"/>
                <w:sz w:val="14"/>
                <w:szCs w:val="14"/>
                <w:color w:val="231F20"/>
              </w:rPr>
              <w:t>to</w:t>
            </w:r>
          </w:p>
        </w:tc>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withhold,   offset,</w:t>
            </w:r>
          </w:p>
        </w:tc>
        <w:tc>
          <w:tcPr>
            <w:tcW w:w="134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or   abate   Rent</w:t>
            </w:r>
          </w:p>
        </w:tc>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unless   Tenant   has   obtained</w:t>
            </w:r>
          </w:p>
        </w:tc>
        <w:tc>
          <w:tcPr>
            <w:tcW w:w="72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a   final,</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non-</w:t>
            </w:r>
          </w:p>
        </w:tc>
      </w:tr>
    </w:tbl>
    <w:p>
      <w:pPr>
        <w:jc w:val="both"/>
        <w:ind w:left="4" w:right="20"/>
        <w:spacing w:after="0" w:line="249" w:lineRule="auto"/>
        <w:rPr>
          <w:sz w:val="20"/>
          <w:szCs w:val="20"/>
          <w:color w:val="auto"/>
        </w:rPr>
      </w:pPr>
      <w:r>
        <w:rPr>
          <w:rFonts w:ascii="Times New Roman" w:cs="Times New Roman" w:eastAsia="Times New Roman" w:hAnsi="Times New Roman"/>
          <w:sz w:val="14"/>
          <w:szCs w:val="14"/>
          <w:color w:val="231F20"/>
        </w:rPr>
        <w:t>appealable judgment against Landlord. In the event of a Sublandlord default and Subtenant subsequently pursuing litigation against Sublandlord for such default, Subtenant’s remedies may include, but not be limited to, rent abatement, and all damages and costs to cover directly incurred by Subtenant in connection with Subtenant’s loss of use of the Subleased</w:t>
      </w:r>
    </w:p>
    <w:p>
      <w:pPr>
        <w:spacing w:after="0" w:line="117"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141605</wp:posOffset>
            </wp:positionV>
            <wp:extent cx="694055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6940550" cy="42545"/>
                    </a:xfrm>
                    <a:prstGeom prst="rect">
                      <a:avLst/>
                    </a:prstGeom>
                    <a:noFill/>
                  </pic:spPr>
                </pic:pic>
              </a:graphicData>
            </a:graphic>
          </wp:anchor>
        </w:drawing>
      </w:r>
    </w:p>
    <w:p>
      <w:pPr>
        <w:sectPr>
          <w:pgSz w:w="11900" w:h="16838" w:orient="portrait"/>
          <w:cols w:equalWidth="0" w:num="1">
            <w:col w:w="9584"/>
          </w:cols>
          <w:pgMar w:left="1156" w:top="751" w:right="1159" w:bottom="1440" w:gutter="0" w:footer="0" w:header="0"/>
        </w:sectPr>
      </w:pPr>
    </w:p>
    <w:bookmarkStart w:id="65" w:name="page66"/>
    <w:bookmarkEnd w:id="65"/>
    <w:p>
      <w:pPr>
        <w:jc w:val="both"/>
        <w:spacing w:after="0" w:line="255" w:lineRule="auto"/>
        <w:rPr>
          <w:sz w:val="20"/>
          <w:szCs w:val="20"/>
          <w:color w:val="auto"/>
        </w:rPr>
      </w:pPr>
      <w:r>
        <w:rPr>
          <w:rFonts w:ascii="Times New Roman" w:cs="Times New Roman" w:eastAsia="Times New Roman" w:hAnsi="Times New Roman"/>
          <w:sz w:val="14"/>
          <w:szCs w:val="14"/>
          <w:color w:val="231F20"/>
        </w:rPr>
        <w:t>Premises. Notwithstanding the aforementioned, Sublandlord’s responsibility to cover such costs will not include any costs associated with the Subtenant’s lease of a new premise. Sublandlord shall have no liability for consequential, incidental, or punitive damages, and Subtenant shall look solely to Sublandlord's interest in the Master Lease for satisfaction of any monetary judgment. Sublandlord shall have no liability for any failure by Landlord to perform its obligations under the Master Lease, and no partner, member, shareholder, officer, director, or agent of Sublandlord shall have any personal liability hereunder.</w:t>
      </w:r>
    </w:p>
    <w:p>
      <w:pPr>
        <w:spacing w:after="0" w:line="124" w:lineRule="exact"/>
        <w:rPr>
          <w:sz w:val="20"/>
          <w:szCs w:val="20"/>
          <w:color w:val="auto"/>
        </w:rPr>
      </w:pPr>
    </w:p>
    <w:p>
      <w:pPr>
        <w:ind w:left="860" w:hanging="432"/>
        <w:spacing w:after="0"/>
        <w:tabs>
          <w:tab w:leader="none" w:pos="860" w:val="left"/>
        </w:tabs>
        <w:numPr>
          <w:ilvl w:val="0"/>
          <w:numId w:val="33"/>
        </w:numPr>
        <w:rPr>
          <w:rFonts w:ascii="Times New Roman" w:cs="Times New Roman" w:eastAsia="Times New Roman" w:hAnsi="Times New Roman"/>
          <w:sz w:val="14"/>
          <w:szCs w:val="14"/>
          <w:b w:val="1"/>
          <w:bCs w:val="1"/>
          <w:color w:val="231F20"/>
        </w:rPr>
      </w:pPr>
      <w:r>
        <w:rPr>
          <w:rFonts w:ascii="Times New Roman" w:cs="Times New Roman" w:eastAsia="Times New Roman" w:hAnsi="Times New Roman"/>
          <w:sz w:val="14"/>
          <w:szCs w:val="14"/>
          <w:b w:val="1"/>
          <w:bCs w:val="1"/>
          <w:color w:val="231F20"/>
        </w:rPr>
        <w:t>MISCELLANEOUS</w:t>
      </w:r>
    </w:p>
    <w:p>
      <w:pPr>
        <w:spacing w:after="0" w:line="75" w:lineRule="exact"/>
        <w:rPr>
          <w:sz w:val="20"/>
          <w:szCs w:val="20"/>
          <w:color w:val="auto"/>
        </w:rPr>
      </w:pPr>
    </w:p>
    <w:p>
      <w:pPr>
        <w:ind w:firstLine="864"/>
        <w:spacing w:after="0" w:line="255" w:lineRule="auto"/>
        <w:rPr>
          <w:sz w:val="20"/>
          <w:szCs w:val="20"/>
          <w:color w:val="auto"/>
        </w:rPr>
      </w:pPr>
      <w:r>
        <w:rPr>
          <w:rFonts w:ascii="Times New Roman" w:cs="Times New Roman" w:eastAsia="Times New Roman" w:hAnsi="Times New Roman"/>
          <w:sz w:val="14"/>
          <w:szCs w:val="14"/>
          <w:color w:val="231F20"/>
        </w:rPr>
        <w:t xml:space="preserve">17.1 </w:t>
      </w:r>
      <w:r>
        <w:rPr>
          <w:rFonts w:ascii="Times New Roman" w:cs="Times New Roman" w:eastAsia="Times New Roman" w:hAnsi="Times New Roman"/>
          <w:sz w:val="14"/>
          <w:szCs w:val="14"/>
          <w:u w:val="single" w:color="auto"/>
          <w:color w:val="231F20"/>
        </w:rPr>
        <w:t>Signage</w:t>
      </w:r>
      <w:r>
        <w:rPr>
          <w:rFonts w:ascii="Times New Roman" w:cs="Times New Roman" w:eastAsia="Times New Roman" w:hAnsi="Times New Roman"/>
          <w:sz w:val="14"/>
          <w:szCs w:val="14"/>
          <w:color w:val="231F20"/>
        </w:rPr>
        <w:t>. Subject to the terms and conditions of the Master Lease (including any requirement to obtain Landlord’s consent), Subtenant shall be permitted at its sole cost and expense to install such signage as is permitted for the Original Tenant pursuant to and in accordance with the terms and provisions of the Master Lease. Sublandlord shall reasonably cooperate with Subtenant to obtain Landlord’s consent to such signs. Subtenant shall remove any Subtenant signage at the expiration or earlier termination of this Sublease.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4363720</wp:posOffset>
            </wp:positionH>
            <wp:positionV relativeFrom="paragraph">
              <wp:posOffset>-239395</wp:posOffset>
            </wp:positionV>
            <wp:extent cx="4572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45720" cy="5715"/>
                    </a:xfrm>
                    <a:prstGeom prst="rect">
                      <a:avLst/>
                    </a:prstGeom>
                    <a:noFill/>
                  </pic:spPr>
                </pic:pic>
              </a:graphicData>
            </a:graphic>
          </wp:anchor>
        </w:drawing>
      </w:r>
    </w:p>
    <w:p>
      <w:pPr>
        <w:spacing w:after="0" w:line="16" w:lineRule="exact"/>
        <w:rPr>
          <w:sz w:val="20"/>
          <w:szCs w:val="20"/>
          <w:color w:val="auto"/>
        </w:rPr>
      </w:pPr>
    </w:p>
    <w:p>
      <w:pPr>
        <w:jc w:val="both"/>
        <w:ind w:right="20" w:firstLine="864"/>
        <w:spacing w:after="0" w:line="253" w:lineRule="auto"/>
        <w:rPr>
          <w:sz w:val="20"/>
          <w:szCs w:val="20"/>
          <w:color w:val="auto"/>
        </w:rPr>
      </w:pPr>
      <w:r>
        <w:rPr>
          <w:rFonts w:ascii="Times New Roman" w:cs="Times New Roman" w:eastAsia="Times New Roman" w:hAnsi="Times New Roman"/>
          <w:sz w:val="14"/>
          <w:szCs w:val="14"/>
          <w:color w:val="231F20"/>
        </w:rPr>
        <w:t xml:space="preserve">17.2 </w:t>
      </w:r>
      <w:r>
        <w:rPr>
          <w:rFonts w:ascii="Times New Roman" w:cs="Times New Roman" w:eastAsia="Times New Roman" w:hAnsi="Times New Roman"/>
          <w:sz w:val="14"/>
          <w:szCs w:val="14"/>
          <w:u w:val="single" w:color="auto"/>
          <w:color w:val="231F20"/>
        </w:rPr>
        <w:t>Assignment and Subletting</w:t>
      </w:r>
      <w:r>
        <w:rPr>
          <w:rFonts w:ascii="Times New Roman" w:cs="Times New Roman" w:eastAsia="Times New Roman" w:hAnsi="Times New Roman"/>
          <w:sz w:val="14"/>
          <w:szCs w:val="14"/>
          <w:color w:val="231F20"/>
        </w:rPr>
        <w:t>. Subtenant hereby covenants and agrees that it will not assign, sublease, transfer or encumber any interest in this Sublease (by operation of law or otherwise), or allow any third party to use any portion of the Subleased Premises (including the granting of concessions,</w:t>
      </w:r>
    </w:p>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231F20"/>
        </w:rPr>
        <w:t xml:space="preserve">licenses and the like), without the prior written consent of Sublandlord (not to be unreasonably withheld) and Landlord. If Subtenant fails to observe the obligations and limitations imposed by this </w:t>
      </w:r>
      <w:r>
        <w:rPr>
          <w:rFonts w:ascii="Times New Roman" w:cs="Times New Roman" w:eastAsia="Times New Roman" w:hAnsi="Times New Roman"/>
          <w:sz w:val="14"/>
          <w:szCs w:val="14"/>
          <w:u w:val="single" w:color="auto"/>
          <w:color w:val="231F20"/>
        </w:rPr>
        <w:t>Section 17.2</w:t>
      </w:r>
      <w:r>
        <w:rPr>
          <w:rFonts w:ascii="Times New Roman" w:cs="Times New Roman" w:eastAsia="Times New Roman" w:hAnsi="Times New Roman"/>
          <w:sz w:val="14"/>
          <w:szCs w:val="14"/>
          <w:color w:val="231F20"/>
        </w:rPr>
        <w:t>, such failure shall be deemed to be an immediate</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231F20"/>
        </w:rPr>
        <w:t>and incurable default hereunder. Notwithstanding the terms of Section 19 of the Master Lease as applied between Sublandlord and Subtenant, no change of control shall be deemed to occur in the event Subtenant becomes publicly traded on a recognized national stock exchange.</w:t>
      </w:r>
    </w:p>
    <w:p>
      <w:pPr>
        <w:spacing w:after="0" w:line="203"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4"/>
          <w:szCs w:val="14"/>
          <w:color w:val="auto"/>
        </w:rPr>
        <w:t xml:space="preserve">17.3 </w:t>
      </w:r>
      <w:r>
        <w:rPr>
          <w:rFonts w:ascii="Times New Roman" w:cs="Times New Roman" w:eastAsia="Times New Roman" w:hAnsi="Times New Roman"/>
          <w:sz w:val="14"/>
          <w:szCs w:val="14"/>
          <w:u w:val="single" w:color="auto"/>
          <w:color w:val="231F20"/>
        </w:rPr>
        <w:t>Subtenant Alterations</w:t>
      </w:r>
      <w:r>
        <w:rPr>
          <w:rFonts w:ascii="Times New Roman" w:cs="Times New Roman" w:eastAsia="Times New Roman" w:hAnsi="Times New Roman"/>
          <w:sz w:val="14"/>
          <w:szCs w:val="14"/>
          <w:color w:val="231F20"/>
        </w:rPr>
        <w:t>. Subtenant acknowledges and agrees that, except for those alterations, additions or improvements which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Sublandlord (as Tenant under the Master Lease) has the right to make without the prior written consent of Landlord, Subtenant shall not be permitted to construct</w:t>
      </w:r>
    </w:p>
    <w:p>
      <w:pPr>
        <w:spacing w:after="0" w:line="1"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4"/>
          <w:szCs w:val="14"/>
          <w:color w:val="231F20"/>
        </w:rPr>
        <w:t>alterations, additions or improvements to the Subleased Premises without the prior written consent of Sublandlord, as well as the consent of Landlord as provided in Section</w:t>
      </w:r>
    </w:p>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231F20"/>
        </w:rPr>
        <w:t>12 of the Master Lease. Subtenant shall comply with all requirements set forth in Section 12 of the Master Lease in constructing any alterations, additions or improvements. Sublandlord shall reasonably cooperate with Subtenant in obtaining any licenses, permits or approvals which may be required from Landlord or applicable governmental authorities in connection with any alterations, additions or improvements Subtenant desires to make to the Subleased Premises. If Landlord’s consent is required under the Master Lease or Subtenant otherwise desires to seek Landlord’s consent, Subtenant shall notify Sublandlord in writing of Subtenant’s desire to obtain Landlord’s consent and, in such notice, Subtenant shall request that, before conveying the consent request to Landlord, Sublandlord obtain from Landlord an estimate of Landlord’s charges or fees to be incurred in considering or approving such consent. Sublandlord shall use reasonable efforts to timely obtain</w:t>
      </w:r>
    </w:p>
    <w:p>
      <w:pPr>
        <w:spacing w:after="0" w:line="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231F20"/>
        </w:rPr>
        <w:t>Landlord’s estimate of its charges or fees and provide the same to Subtenant. Subtenant shall have no right to seek Landlord’s consent and Sublandlord shall not be obligated to seek Landlord’s consent on behalf of Subtenant, unless and until Subtenant has agreed in writing to cover any and all charges or fees owed to Landlord in connection with such consent request. Subtenant shall reimburse Sublandlord for any amounts charged by Landlord to Sublandlord or any expenses incurred by Sublandlord in so cooperating within thirty (30) days following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751840</wp:posOffset>
            </wp:positionH>
            <wp:positionV relativeFrom="paragraph">
              <wp:posOffset>-34290</wp:posOffset>
            </wp:positionV>
            <wp:extent cx="2857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28575" cy="5715"/>
                    </a:xfrm>
                    <a:prstGeom prst="rect">
                      <a:avLst/>
                    </a:prstGeom>
                    <a:noFill/>
                  </pic:spPr>
                </pic:pic>
              </a:graphicData>
            </a:graphic>
          </wp:anchor>
        </w:drawing>
      </w:r>
    </w:p>
    <w:p>
      <w:pPr>
        <w:spacing w:after="0" w:line="26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141605</wp:posOffset>
            </wp:positionV>
            <wp:extent cx="694055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6940550" cy="42545"/>
                    </a:xfrm>
                    <a:prstGeom prst="rect">
                      <a:avLst/>
                    </a:prstGeom>
                    <a:noFill/>
                  </pic:spPr>
                </pic:pic>
              </a:graphicData>
            </a:graphic>
          </wp:anchor>
        </w:drawing>
      </w:r>
    </w:p>
    <w:p>
      <w:pPr>
        <w:sectPr>
          <w:pgSz w:w="11900" w:h="16838" w:orient="portrait"/>
          <w:cols w:equalWidth="0" w:num="1">
            <w:col w:w="9580"/>
          </w:cols>
          <w:pgMar w:left="1160" w:top="751" w:right="1159" w:bottom="1440" w:gutter="0" w:footer="0" w:header="0"/>
        </w:sectPr>
      </w:pPr>
    </w:p>
    <w:bookmarkStart w:id="66" w:name="page67"/>
    <w:bookmarkEnd w:id="66"/>
    <w:p>
      <w:pPr>
        <w:jc w:val="both"/>
        <w:ind w:left="860" w:right="440"/>
        <w:spacing w:after="0" w:line="261" w:lineRule="auto"/>
        <w:rPr>
          <w:sz w:val="20"/>
          <w:szCs w:val="20"/>
          <w:color w:val="auto"/>
        </w:rPr>
      </w:pPr>
      <w:r>
        <w:rPr>
          <w:rFonts w:ascii="Times New Roman" w:cs="Times New Roman" w:eastAsia="Times New Roman" w:hAnsi="Times New Roman"/>
          <w:sz w:val="14"/>
          <w:szCs w:val="14"/>
          <w:color w:val="231F20"/>
        </w:rPr>
        <w:t>of written notice of such amounts. All contractors used for any Subtenant alterations or improvements under this Section are required to comply with the terms of the Master Lease and are required to obtain commercially reasonable insurance, evidence of which shall be provided to Sublandlord prior to any Subtenant alterations or improvements to ensure coordination, safety, compliance with building and Landlord requirements.</w:t>
      </w:r>
    </w:p>
    <w:p>
      <w:pPr>
        <w:spacing w:after="0" w:line="33" w:lineRule="exact"/>
        <w:rPr>
          <w:sz w:val="20"/>
          <w:szCs w:val="20"/>
          <w:color w:val="auto"/>
        </w:rPr>
      </w:pPr>
    </w:p>
    <w:p>
      <w:pPr>
        <w:jc w:val="both"/>
        <w:ind w:left="860" w:right="440" w:firstLine="864"/>
        <w:spacing w:after="0" w:line="249" w:lineRule="auto"/>
        <w:rPr>
          <w:sz w:val="20"/>
          <w:szCs w:val="20"/>
          <w:color w:val="auto"/>
        </w:rPr>
      </w:pPr>
      <w:r>
        <w:rPr>
          <w:rFonts w:ascii="Times New Roman" w:cs="Times New Roman" w:eastAsia="Times New Roman" w:hAnsi="Times New Roman"/>
          <w:sz w:val="14"/>
          <w:szCs w:val="14"/>
          <w:color w:val="231F20"/>
        </w:rPr>
        <w:t xml:space="preserve">17.4 </w:t>
      </w:r>
      <w:r>
        <w:rPr>
          <w:rFonts w:ascii="Times New Roman" w:cs="Times New Roman" w:eastAsia="Times New Roman" w:hAnsi="Times New Roman"/>
          <w:sz w:val="14"/>
          <w:szCs w:val="14"/>
          <w:u w:val="single" w:color="auto"/>
          <w:color w:val="231F20"/>
        </w:rPr>
        <w:t>Holdover</w:t>
      </w:r>
      <w:r>
        <w:rPr>
          <w:rFonts w:ascii="Times New Roman" w:cs="Times New Roman" w:eastAsia="Times New Roman" w:hAnsi="Times New Roman"/>
          <w:sz w:val="14"/>
          <w:szCs w:val="14"/>
          <w:color w:val="231F20"/>
        </w:rPr>
        <w:t>. Subtenant hereby acknowledges and agrees that it has reviewed the Master Lease and is aware that (i) the Expiration Date is on or around the expiration date of the Master Lease, (ii) in the event the Term of this Sublease is not terminated prior to the Expiration Date, Subtenant is required to vacate and surrender possession of the Subleased Premises in accordance with the terms of the Master Lease, and (iii) Subtenant’s failure to so vacate and surrender</w:t>
      </w:r>
    </w:p>
    <w:tbl>
      <w:tblPr>
        <w:tblLayout w:type="fixed"/>
        <w:tblInd w:w="860" w:type="dxa"/>
        <w:tblCellMar>
          <w:top w:w="0" w:type="dxa"/>
          <w:left w:w="0" w:type="dxa"/>
          <w:bottom w:w="0" w:type="dxa"/>
          <w:right w:w="0" w:type="dxa"/>
        </w:tblCellMar>
      </w:tblPr>
      <w:tr>
        <w:trPr>
          <w:trHeight w:val="147"/>
        </w:trPr>
        <w:tc>
          <w:tcPr>
            <w:tcW w:w="6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231F20"/>
              </w:rPr>
              <w:t>possession</w:t>
            </w:r>
          </w:p>
        </w:tc>
        <w:tc>
          <w:tcPr>
            <w:tcW w:w="180" w:type="dxa"/>
            <w:vAlign w:val="bottom"/>
          </w:tcPr>
          <w:p>
            <w:pPr>
              <w:spacing w:after="0"/>
              <w:rPr>
                <w:sz w:val="12"/>
                <w:szCs w:val="12"/>
                <w:color w:val="auto"/>
              </w:rPr>
            </w:pPr>
          </w:p>
        </w:tc>
        <w:tc>
          <w:tcPr>
            <w:tcW w:w="48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231F20"/>
              </w:rPr>
              <w:t>of</w:t>
            </w:r>
          </w:p>
        </w:tc>
        <w:tc>
          <w:tcPr>
            <w:tcW w:w="540" w:type="dxa"/>
            <w:vAlign w:val="bottom"/>
          </w:tcPr>
          <w:p>
            <w:pPr>
              <w:ind w:left="340"/>
              <w:spacing w:after="0" w:line="147" w:lineRule="exact"/>
              <w:rPr>
                <w:sz w:val="20"/>
                <w:szCs w:val="20"/>
                <w:color w:val="auto"/>
              </w:rPr>
            </w:pPr>
            <w:r>
              <w:rPr>
                <w:rFonts w:ascii="Times New Roman" w:cs="Times New Roman" w:eastAsia="Times New Roman" w:hAnsi="Times New Roman"/>
                <w:sz w:val="14"/>
                <w:szCs w:val="14"/>
                <w:color w:val="231F20"/>
              </w:rPr>
              <w:t>the</w:t>
            </w:r>
          </w:p>
        </w:tc>
        <w:tc>
          <w:tcPr>
            <w:tcW w:w="280" w:type="dxa"/>
            <w:vAlign w:val="bottom"/>
          </w:tcPr>
          <w:p>
            <w:pPr>
              <w:spacing w:after="0"/>
              <w:rPr>
                <w:sz w:val="12"/>
                <w:szCs w:val="12"/>
                <w:color w:val="auto"/>
              </w:rPr>
            </w:pPr>
          </w:p>
        </w:tc>
        <w:tc>
          <w:tcPr>
            <w:tcW w:w="820" w:type="dxa"/>
            <w:vAlign w:val="bottom"/>
            <w:gridSpan w:val="3"/>
          </w:tcPr>
          <w:p>
            <w:pPr>
              <w:ind w:left="140"/>
              <w:spacing w:after="0" w:line="147" w:lineRule="exact"/>
              <w:rPr>
                <w:sz w:val="20"/>
                <w:szCs w:val="20"/>
                <w:color w:val="auto"/>
              </w:rPr>
            </w:pPr>
            <w:r>
              <w:rPr>
                <w:rFonts w:ascii="Times New Roman" w:cs="Times New Roman" w:eastAsia="Times New Roman" w:hAnsi="Times New Roman"/>
                <w:sz w:val="14"/>
                <w:szCs w:val="14"/>
                <w:color w:val="231F20"/>
              </w:rPr>
              <w:t>Subleased</w:t>
            </w:r>
          </w:p>
        </w:tc>
        <w:tc>
          <w:tcPr>
            <w:tcW w:w="880" w:type="dxa"/>
            <w:vAlign w:val="bottom"/>
            <w:gridSpan w:val="2"/>
          </w:tcPr>
          <w:p>
            <w:pPr>
              <w:ind w:left="340"/>
              <w:spacing w:after="0" w:line="147" w:lineRule="exact"/>
              <w:rPr>
                <w:sz w:val="20"/>
                <w:szCs w:val="20"/>
                <w:color w:val="auto"/>
              </w:rPr>
            </w:pPr>
            <w:r>
              <w:rPr>
                <w:rFonts w:ascii="Times New Roman" w:cs="Times New Roman" w:eastAsia="Times New Roman" w:hAnsi="Times New Roman"/>
                <w:sz w:val="14"/>
                <w:szCs w:val="14"/>
                <w:color w:val="231F20"/>
              </w:rPr>
              <w:t>Premises</w:t>
            </w:r>
          </w:p>
        </w:tc>
        <w:tc>
          <w:tcPr>
            <w:tcW w:w="960" w:type="dxa"/>
            <w:vAlign w:val="bottom"/>
            <w:gridSpan w:val="2"/>
          </w:tcPr>
          <w:p>
            <w:pPr>
              <w:ind w:left="420"/>
              <w:spacing w:after="0" w:line="147" w:lineRule="exact"/>
              <w:rPr>
                <w:sz w:val="20"/>
                <w:szCs w:val="20"/>
                <w:color w:val="auto"/>
              </w:rPr>
            </w:pPr>
            <w:r>
              <w:rPr>
                <w:rFonts w:ascii="Times New Roman" w:cs="Times New Roman" w:eastAsia="Times New Roman" w:hAnsi="Times New Roman"/>
                <w:sz w:val="14"/>
                <w:szCs w:val="14"/>
                <w:color w:val="231F20"/>
              </w:rPr>
              <w:t>on</w:t>
            </w:r>
          </w:p>
        </w:tc>
        <w:tc>
          <w:tcPr>
            <w:tcW w:w="24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231F20"/>
                <w:w w:val="93"/>
              </w:rPr>
              <w:t>the</w:t>
            </w:r>
          </w:p>
        </w:tc>
        <w:tc>
          <w:tcPr>
            <w:tcW w:w="1160" w:type="dxa"/>
            <w:vAlign w:val="bottom"/>
            <w:gridSpan w:val="2"/>
          </w:tcPr>
          <w:p>
            <w:pPr>
              <w:ind w:left="440"/>
              <w:spacing w:after="0" w:line="147" w:lineRule="exact"/>
              <w:rPr>
                <w:sz w:val="20"/>
                <w:szCs w:val="20"/>
                <w:color w:val="auto"/>
              </w:rPr>
            </w:pPr>
            <w:r>
              <w:rPr>
                <w:rFonts w:ascii="Times New Roman" w:cs="Times New Roman" w:eastAsia="Times New Roman" w:hAnsi="Times New Roman"/>
                <w:sz w:val="14"/>
                <w:szCs w:val="14"/>
                <w:color w:val="231F20"/>
              </w:rPr>
              <w:t>Expiration</w:t>
            </w:r>
          </w:p>
        </w:tc>
        <w:tc>
          <w:tcPr>
            <w:tcW w:w="320" w:type="dxa"/>
            <w:vAlign w:val="bottom"/>
          </w:tcPr>
          <w:p>
            <w:pPr>
              <w:spacing w:after="0"/>
              <w:rPr>
                <w:sz w:val="12"/>
                <w:szCs w:val="12"/>
                <w:color w:val="auto"/>
              </w:rPr>
            </w:pPr>
          </w:p>
        </w:tc>
        <w:tc>
          <w:tcPr>
            <w:tcW w:w="3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231F20"/>
              </w:rPr>
              <w:t>Date</w:t>
            </w:r>
          </w:p>
        </w:tc>
        <w:tc>
          <w:tcPr>
            <w:tcW w:w="320" w:type="dxa"/>
            <w:vAlign w:val="bottom"/>
          </w:tcPr>
          <w:p>
            <w:pPr>
              <w:spacing w:after="0"/>
              <w:rPr>
                <w:sz w:val="12"/>
                <w:szCs w:val="12"/>
                <w:color w:val="auto"/>
              </w:rPr>
            </w:pPr>
          </w:p>
        </w:tc>
        <w:tc>
          <w:tcPr>
            <w:tcW w:w="52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231F20"/>
              </w:rPr>
              <w:t>and</w:t>
            </w:r>
          </w:p>
        </w:tc>
        <w:tc>
          <w:tcPr>
            <w:tcW w:w="560" w:type="dxa"/>
            <w:vAlign w:val="bottom"/>
          </w:tcPr>
          <w:p>
            <w:pPr>
              <w:jc w:val="center"/>
              <w:ind w:right="68"/>
              <w:spacing w:after="0" w:line="147" w:lineRule="exact"/>
              <w:rPr>
                <w:sz w:val="20"/>
                <w:szCs w:val="20"/>
                <w:color w:val="auto"/>
              </w:rPr>
            </w:pPr>
            <w:r>
              <w:rPr>
                <w:rFonts w:ascii="Times New Roman" w:cs="Times New Roman" w:eastAsia="Times New Roman" w:hAnsi="Times New Roman"/>
                <w:sz w:val="14"/>
                <w:szCs w:val="14"/>
                <w:color w:val="231F20"/>
                <w:w w:val="91"/>
              </w:rPr>
              <w:t>in</w:t>
            </w:r>
          </w:p>
        </w:tc>
        <w:tc>
          <w:tcPr>
            <w:tcW w:w="32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231F20"/>
                <w:w w:val="93"/>
              </w:rPr>
              <w:t>the</w:t>
            </w:r>
          </w:p>
        </w:tc>
        <w:tc>
          <w:tcPr>
            <w:tcW w:w="10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231F20"/>
              </w:rPr>
              <w:t>condition</w:t>
            </w:r>
          </w:p>
        </w:tc>
      </w:tr>
      <w:tr>
        <w:trPr>
          <w:trHeight w:val="162"/>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231F20"/>
              </w:rPr>
              <w:t>required</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231F20"/>
              </w:rPr>
              <w:t>under</w:t>
            </w:r>
          </w:p>
        </w:tc>
        <w:tc>
          <w:tcPr>
            <w:tcW w:w="540" w:type="dxa"/>
            <w:vAlign w:val="bottom"/>
          </w:tcPr>
          <w:p>
            <w:pPr>
              <w:ind w:left="100"/>
              <w:spacing w:after="0"/>
              <w:rPr>
                <w:sz w:val="20"/>
                <w:szCs w:val="20"/>
                <w:color w:val="auto"/>
              </w:rPr>
            </w:pPr>
            <w:r>
              <w:rPr>
                <w:rFonts w:ascii="Times New Roman" w:cs="Times New Roman" w:eastAsia="Times New Roman" w:hAnsi="Times New Roman"/>
                <w:sz w:val="14"/>
                <w:szCs w:val="14"/>
                <w:color w:val="231F20"/>
              </w:rPr>
              <w:t>the</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231F20"/>
              </w:rPr>
              <w:t>Master</w:t>
            </w: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231F20"/>
              </w:rPr>
              <w:t>Lease</w:t>
            </w:r>
          </w:p>
        </w:tc>
        <w:tc>
          <w:tcPr>
            <w:tcW w:w="500" w:type="dxa"/>
            <w:vAlign w:val="bottom"/>
          </w:tcPr>
          <w:p>
            <w:pPr>
              <w:ind w:left="240"/>
              <w:spacing w:after="0"/>
              <w:rPr>
                <w:sz w:val="20"/>
                <w:szCs w:val="20"/>
                <w:color w:val="auto"/>
              </w:rPr>
            </w:pPr>
            <w:r>
              <w:rPr>
                <w:rFonts w:ascii="Times New Roman" w:cs="Times New Roman" w:eastAsia="Times New Roman" w:hAnsi="Times New Roman"/>
                <w:sz w:val="14"/>
                <w:szCs w:val="14"/>
                <w:color w:val="231F20"/>
                <w:w w:val="90"/>
              </w:rPr>
              <w:t>shall</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constitute</w:t>
            </w:r>
          </w:p>
        </w:tc>
        <w:tc>
          <w:tcPr>
            <w:tcW w:w="440" w:type="dxa"/>
            <w:vAlign w:val="bottom"/>
          </w:tcPr>
          <w:p>
            <w:pPr>
              <w:ind w:left="260"/>
              <w:spacing w:after="0"/>
              <w:rPr>
                <w:sz w:val="20"/>
                <w:szCs w:val="20"/>
                <w:color w:val="auto"/>
              </w:rPr>
            </w:pPr>
            <w:r>
              <w:rPr>
                <w:rFonts w:ascii="Times New Roman" w:cs="Times New Roman" w:eastAsia="Times New Roman" w:hAnsi="Times New Roman"/>
                <w:sz w:val="14"/>
                <w:szCs w:val="14"/>
                <w:color w:val="231F20"/>
              </w:rPr>
              <w:t>a</w:t>
            </w:r>
          </w:p>
        </w:tc>
        <w:tc>
          <w:tcPr>
            <w:tcW w:w="9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231F20"/>
              </w:rPr>
              <w:t>holdover</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231F20"/>
              </w:rPr>
              <w:t>tenancy</w:t>
            </w: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231F20"/>
              </w:rPr>
              <w:t>under</w:t>
            </w:r>
          </w:p>
        </w:tc>
        <w:tc>
          <w:tcPr>
            <w:tcW w:w="8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231F20"/>
              </w:rPr>
              <w:t>Section</w:t>
            </w:r>
          </w:p>
        </w:tc>
        <w:tc>
          <w:tcPr>
            <w:tcW w:w="5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231F20"/>
                <w:w w:val="99"/>
              </w:rPr>
              <w:t>28</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of</w:t>
            </w:r>
          </w:p>
        </w:tc>
        <w:tc>
          <w:tcPr>
            <w:tcW w:w="560" w:type="dxa"/>
            <w:vAlign w:val="bottom"/>
          </w:tcPr>
          <w:p>
            <w:pPr>
              <w:ind w:left="120"/>
              <w:spacing w:after="0"/>
              <w:rPr>
                <w:sz w:val="20"/>
                <w:szCs w:val="20"/>
                <w:color w:val="auto"/>
              </w:rPr>
            </w:pPr>
            <w:r>
              <w:rPr>
                <w:rFonts w:ascii="Times New Roman" w:cs="Times New Roman" w:eastAsia="Times New Roman" w:hAnsi="Times New Roman"/>
                <w:sz w:val="14"/>
                <w:szCs w:val="14"/>
                <w:color w:val="231F20"/>
              </w:rPr>
              <w:t>the</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Master</w:t>
            </w:r>
          </w:p>
        </w:tc>
      </w:tr>
      <w:tr>
        <w:trPr>
          <w:trHeight w:val="162"/>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231F20"/>
              </w:rPr>
              <w:t>Lease.</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In</w:t>
            </w:r>
          </w:p>
        </w:tc>
        <w:tc>
          <w:tcPr>
            <w:tcW w:w="480" w:type="dxa"/>
            <w:vAlign w:val="bottom"/>
          </w:tcPr>
          <w:p>
            <w:pPr>
              <w:ind w:left="240"/>
              <w:spacing w:after="0"/>
              <w:rPr>
                <w:sz w:val="20"/>
                <w:szCs w:val="20"/>
                <w:color w:val="auto"/>
              </w:rPr>
            </w:pPr>
            <w:r>
              <w:rPr>
                <w:rFonts w:ascii="Times New Roman" w:cs="Times New Roman" w:eastAsia="Times New Roman" w:hAnsi="Times New Roman"/>
                <w:sz w:val="14"/>
                <w:szCs w:val="14"/>
                <w:color w:val="231F20"/>
              </w:rPr>
              <w:t>the</w:t>
            </w:r>
          </w:p>
        </w:tc>
        <w:tc>
          <w:tcPr>
            <w:tcW w:w="540" w:type="dxa"/>
            <w:vAlign w:val="bottom"/>
          </w:tcPr>
          <w:p>
            <w:pPr>
              <w:ind w:left="220"/>
              <w:spacing w:after="0"/>
              <w:rPr>
                <w:sz w:val="20"/>
                <w:szCs w:val="20"/>
                <w:color w:val="auto"/>
              </w:rPr>
            </w:pPr>
            <w:r>
              <w:rPr>
                <w:rFonts w:ascii="Times New Roman" w:cs="Times New Roman" w:eastAsia="Times New Roman" w:hAnsi="Times New Roman"/>
                <w:sz w:val="14"/>
                <w:szCs w:val="14"/>
                <w:color w:val="231F20"/>
                <w:w w:val="98"/>
              </w:rPr>
              <w:t>event</w:t>
            </w:r>
          </w:p>
        </w:tc>
        <w:tc>
          <w:tcPr>
            <w:tcW w:w="28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231F20"/>
              </w:rPr>
              <w:t>of</w:t>
            </w: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231F20"/>
              </w:rPr>
              <w:t>such</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231F20"/>
              </w:rPr>
              <w:t>holdover</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tenancy</w:t>
            </w:r>
          </w:p>
        </w:tc>
        <w:tc>
          <w:tcPr>
            <w:tcW w:w="44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231F20"/>
              </w:rPr>
              <w:t>by</w:t>
            </w: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Subtenant,</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231F20"/>
                <w:w w:val="99"/>
              </w:rPr>
              <w:t>Subtenant</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231F20"/>
              </w:rPr>
              <w:t>shall</w:t>
            </w:r>
          </w:p>
        </w:tc>
        <w:tc>
          <w:tcPr>
            <w:tcW w:w="52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be</w:t>
            </w:r>
          </w:p>
        </w:tc>
        <w:tc>
          <w:tcPr>
            <w:tcW w:w="56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231F20"/>
              </w:rPr>
              <w:t>liable</w:t>
            </w:r>
          </w:p>
        </w:tc>
        <w:tc>
          <w:tcPr>
            <w:tcW w:w="320" w:type="dxa"/>
            <w:vAlign w:val="bottom"/>
          </w:tcPr>
          <w:p>
            <w:pPr>
              <w:ind w:left="100"/>
              <w:spacing w:after="0"/>
              <w:rPr>
                <w:sz w:val="20"/>
                <w:szCs w:val="20"/>
                <w:color w:val="auto"/>
              </w:rPr>
            </w:pPr>
            <w:r>
              <w:rPr>
                <w:rFonts w:ascii="Times New Roman" w:cs="Times New Roman" w:eastAsia="Times New Roman" w:hAnsi="Times New Roman"/>
                <w:sz w:val="14"/>
                <w:szCs w:val="14"/>
                <w:color w:val="231F20"/>
              </w:rPr>
              <w:t>for</w:t>
            </w:r>
          </w:p>
        </w:tc>
        <w:tc>
          <w:tcPr>
            <w:tcW w:w="560" w:type="dxa"/>
            <w:vAlign w:val="bottom"/>
          </w:tcPr>
          <w:p>
            <w:pPr>
              <w:ind w:left="240"/>
              <w:spacing w:after="0"/>
              <w:rPr>
                <w:sz w:val="20"/>
                <w:szCs w:val="20"/>
                <w:color w:val="auto"/>
              </w:rPr>
            </w:pPr>
            <w:r>
              <w:rPr>
                <w:rFonts w:ascii="Times New Roman" w:cs="Times New Roman" w:eastAsia="Times New Roman" w:hAnsi="Times New Roman"/>
                <w:sz w:val="14"/>
                <w:szCs w:val="14"/>
                <w:color w:val="231F20"/>
              </w:rPr>
              <w:t>all</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costs,</w:t>
            </w:r>
          </w:p>
        </w:tc>
      </w:tr>
      <w:tr>
        <w:trPr>
          <w:trHeight w:val="162"/>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231F20"/>
              </w:rPr>
              <w:t>expenses</w:t>
            </w:r>
          </w:p>
        </w:tc>
        <w:tc>
          <w:tcPr>
            <w:tcW w:w="180" w:type="dxa"/>
            <w:vAlign w:val="bottom"/>
          </w:tcPr>
          <w:p>
            <w:pPr>
              <w:spacing w:after="0"/>
              <w:rPr>
                <w:sz w:val="14"/>
                <w:szCs w:val="14"/>
                <w:color w:val="auto"/>
              </w:rPr>
            </w:pPr>
          </w:p>
        </w:tc>
        <w:tc>
          <w:tcPr>
            <w:tcW w:w="48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231F20"/>
                <w:w w:val="98"/>
              </w:rPr>
              <w:t>and</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231F20"/>
              </w:rPr>
              <w:t>damages</w:t>
            </w: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231F20"/>
              </w:rPr>
              <w:t>incurred</w:t>
            </w:r>
          </w:p>
        </w:tc>
        <w:tc>
          <w:tcPr>
            <w:tcW w:w="500" w:type="dxa"/>
            <w:vAlign w:val="bottom"/>
          </w:tcPr>
          <w:p>
            <w:pPr>
              <w:ind w:left="40"/>
              <w:spacing w:after="0"/>
              <w:rPr>
                <w:sz w:val="20"/>
                <w:szCs w:val="20"/>
                <w:color w:val="auto"/>
              </w:rPr>
            </w:pPr>
            <w:r>
              <w:rPr>
                <w:rFonts w:ascii="Times New Roman" w:cs="Times New Roman" w:eastAsia="Times New Roman" w:hAnsi="Times New Roman"/>
                <w:sz w:val="14"/>
                <w:szCs w:val="14"/>
                <w:color w:val="231F20"/>
              </w:rPr>
              <w:t>by</w:t>
            </w: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231F20"/>
              </w:rPr>
              <w:t>Sublandlord</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231F20"/>
              </w:rPr>
              <w:t>arising</w:t>
            </w:r>
          </w:p>
        </w:tc>
        <w:tc>
          <w:tcPr>
            <w:tcW w:w="6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231F20"/>
              </w:rPr>
              <w:t>from</w:t>
            </w:r>
          </w:p>
        </w:tc>
        <w:tc>
          <w:tcPr>
            <w:tcW w:w="48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or</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231F20"/>
              </w:rPr>
              <w:t>related</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to</w:t>
            </w:r>
          </w:p>
        </w:tc>
        <w:tc>
          <w:tcPr>
            <w:tcW w:w="52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same,</w:t>
            </w:r>
          </w:p>
        </w:tc>
        <w:tc>
          <w:tcPr>
            <w:tcW w:w="8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231F20"/>
              </w:rPr>
              <w:t>including,</w:t>
            </w:r>
          </w:p>
        </w:tc>
        <w:tc>
          <w:tcPr>
            <w:tcW w:w="560" w:type="dxa"/>
            <w:vAlign w:val="bottom"/>
          </w:tcPr>
          <w:p>
            <w:pPr>
              <w:ind w:left="300"/>
              <w:spacing w:after="0"/>
              <w:rPr>
                <w:sz w:val="20"/>
                <w:szCs w:val="20"/>
                <w:color w:val="auto"/>
              </w:rPr>
            </w:pPr>
            <w:r>
              <w:rPr>
                <w:rFonts w:ascii="Times New Roman" w:cs="Times New Roman" w:eastAsia="Times New Roman" w:hAnsi="Times New Roman"/>
                <w:sz w:val="14"/>
                <w:szCs w:val="14"/>
                <w:color w:val="231F20"/>
              </w:rPr>
              <w:t>but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not</w:t>
            </w:r>
          </w:p>
        </w:tc>
      </w:tr>
      <w:tr>
        <w:trPr>
          <w:trHeight w:val="188"/>
        </w:trPr>
        <w:tc>
          <w:tcPr>
            <w:tcW w:w="8580" w:type="dxa"/>
            <w:vAlign w:val="bottom"/>
            <w:gridSpan w:val="21"/>
          </w:tcPr>
          <w:p>
            <w:pPr>
              <w:spacing w:after="0"/>
              <w:rPr>
                <w:sz w:val="20"/>
                <w:szCs w:val="20"/>
                <w:color w:val="auto"/>
              </w:rPr>
            </w:pPr>
            <w:r>
              <w:rPr>
                <w:rFonts w:ascii="Times New Roman" w:cs="Times New Roman" w:eastAsia="Times New Roman" w:hAnsi="Times New Roman"/>
                <w:sz w:val="14"/>
                <w:szCs w:val="14"/>
                <w:color w:val="231F20"/>
              </w:rPr>
              <w:t>limited to, Sublandlord’s attorneys’ fees and expenses and any increase in Rent (as defined in the Master Lease) owed by Sublandlord to Landlord.</w:t>
            </w: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99"/>
        </w:trPr>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231F20"/>
              </w:rPr>
              <w:t>17.5</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color w:val="231F20"/>
              </w:rPr>
              <w:t>Restoration.</w:t>
            </w: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231F20"/>
              </w:rPr>
              <w:t>Upon</w:t>
            </w:r>
          </w:p>
        </w:tc>
        <w:tc>
          <w:tcPr>
            <w:tcW w:w="5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231F20"/>
              </w:rPr>
              <w:t>the</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231F20"/>
              </w:rPr>
              <w:t>expiration</w:t>
            </w:r>
          </w:p>
        </w:tc>
        <w:tc>
          <w:tcPr>
            <w:tcW w:w="6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231F20"/>
              </w:rPr>
              <w:t>or</w:t>
            </w:r>
          </w:p>
        </w:tc>
        <w:tc>
          <w:tcPr>
            <w:tcW w:w="480" w:type="dxa"/>
            <w:vAlign w:val="bottom"/>
          </w:tcPr>
          <w:p>
            <w:pPr>
              <w:ind w:left="100"/>
              <w:spacing w:after="0"/>
              <w:rPr>
                <w:sz w:val="20"/>
                <w:szCs w:val="20"/>
                <w:color w:val="auto"/>
              </w:rPr>
            </w:pPr>
            <w:r>
              <w:rPr>
                <w:rFonts w:ascii="Times New Roman" w:cs="Times New Roman" w:eastAsia="Times New Roman" w:hAnsi="Times New Roman"/>
                <w:sz w:val="14"/>
                <w:szCs w:val="14"/>
                <w:color w:val="231F20"/>
              </w:rPr>
              <w:t>earlier</w:t>
            </w:r>
          </w:p>
        </w:tc>
        <w:tc>
          <w:tcPr>
            <w:tcW w:w="32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231F20"/>
                <w:w w:val="99"/>
              </w:rPr>
              <w:t>termination</w:t>
            </w:r>
          </w:p>
        </w:tc>
        <w:tc>
          <w:tcPr>
            <w:tcW w:w="520" w:type="dxa"/>
            <w:vAlign w:val="bottom"/>
          </w:tcPr>
          <w:p>
            <w:pPr>
              <w:ind w:left="360"/>
              <w:spacing w:after="0"/>
              <w:rPr>
                <w:sz w:val="20"/>
                <w:szCs w:val="20"/>
                <w:color w:val="auto"/>
              </w:rPr>
            </w:pPr>
            <w:r>
              <w:rPr>
                <w:rFonts w:ascii="Times New Roman" w:cs="Times New Roman" w:eastAsia="Times New Roman" w:hAnsi="Times New Roman"/>
                <w:sz w:val="14"/>
                <w:szCs w:val="14"/>
                <w:color w:val="231F20"/>
              </w:rPr>
              <w:t>of</w:t>
            </w:r>
          </w:p>
        </w:tc>
        <w:tc>
          <w:tcPr>
            <w:tcW w:w="560" w:type="dxa"/>
            <w:vAlign w:val="bottom"/>
          </w:tcPr>
          <w:p>
            <w:pPr>
              <w:ind w:left="320"/>
              <w:spacing w:after="0"/>
              <w:rPr>
                <w:sz w:val="20"/>
                <w:szCs w:val="20"/>
                <w:color w:val="auto"/>
              </w:rPr>
            </w:pPr>
            <w:r>
              <w:rPr>
                <w:rFonts w:ascii="Times New Roman" w:cs="Times New Roman" w:eastAsia="Times New Roman" w:hAnsi="Times New Roman"/>
                <w:sz w:val="14"/>
                <w:szCs w:val="14"/>
                <w:color w:val="231F20"/>
              </w:rPr>
              <w:t>this</w:t>
            </w:r>
          </w:p>
        </w:tc>
        <w:tc>
          <w:tcPr>
            <w:tcW w:w="32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4"/>
                <w:szCs w:val="14"/>
                <w:color w:val="231F20"/>
              </w:rPr>
              <w:t>Sublease</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or</w:t>
            </w:r>
          </w:p>
        </w:tc>
      </w:tr>
      <w:tr>
        <w:trPr>
          <w:trHeight w:val="20"/>
        </w:trPr>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40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jc w:val="both"/>
        <w:ind w:left="860" w:right="440"/>
        <w:spacing w:after="0" w:line="254" w:lineRule="auto"/>
        <w:rPr>
          <w:sz w:val="20"/>
          <w:szCs w:val="20"/>
          <w:color w:val="auto"/>
        </w:rPr>
      </w:pPr>
      <w:r>
        <w:rPr>
          <w:rFonts w:ascii="Times New Roman" w:cs="Times New Roman" w:eastAsia="Times New Roman" w:hAnsi="Times New Roman"/>
          <w:sz w:val="14"/>
          <w:szCs w:val="14"/>
          <w:color w:val="231F20"/>
        </w:rPr>
        <w:t>the Master Lease, Subtenant shall be responsible for the removal and restoration of any alterations or improvements constructed by Subtenant, and Sublandlord shall be responsible for the removal and restoration of all improvements or alterations required to be removed or restored under the Master Lease that are not constructed by Subtenant, including those requirements under Section 29 of the Master Lease, and for complying with all other conditions under the Master Lease related to the surrender condition of the Subleased Premises.</w:t>
      </w:r>
    </w:p>
    <w:p>
      <w:pPr>
        <w:spacing w:after="0" w:line="38" w:lineRule="exact"/>
        <w:rPr>
          <w:sz w:val="20"/>
          <w:szCs w:val="20"/>
          <w:color w:val="auto"/>
        </w:rPr>
      </w:pPr>
    </w:p>
    <w:p>
      <w:pPr>
        <w:jc w:val="both"/>
        <w:ind w:left="860" w:right="440" w:firstLine="864"/>
        <w:spacing w:after="0" w:line="250" w:lineRule="auto"/>
        <w:rPr>
          <w:sz w:val="20"/>
          <w:szCs w:val="20"/>
          <w:color w:val="auto"/>
        </w:rPr>
      </w:pPr>
      <w:r>
        <w:rPr>
          <w:rFonts w:ascii="Times New Roman" w:cs="Times New Roman" w:eastAsia="Times New Roman" w:hAnsi="Times New Roman"/>
          <w:sz w:val="14"/>
          <w:szCs w:val="14"/>
          <w:color w:val="231F20"/>
        </w:rPr>
        <w:t xml:space="preserve">16.6 </w:t>
      </w:r>
      <w:r>
        <w:rPr>
          <w:rFonts w:ascii="Times New Roman" w:cs="Times New Roman" w:eastAsia="Times New Roman" w:hAnsi="Times New Roman"/>
          <w:sz w:val="14"/>
          <w:szCs w:val="14"/>
          <w:u w:val="single" w:color="auto"/>
          <w:color w:val="231F20"/>
        </w:rPr>
        <w:t>Limitation of Liability</w:t>
      </w:r>
      <w:r>
        <w:rPr>
          <w:rFonts w:ascii="Times New Roman" w:cs="Times New Roman" w:eastAsia="Times New Roman" w:hAnsi="Times New Roman"/>
          <w:sz w:val="14"/>
          <w:szCs w:val="14"/>
          <w:color w:val="231F20"/>
        </w:rPr>
        <w:t>. IN NO EVENT SHALL SUBLANDLORD OR LANDLORD BE LIABLE TO SUBTENANT, NOR SHALL SUBTENANT BE LIABLE TO EITHER OR BOTH OF SUBLANDLORD OR LANDLORD, FOR ANY LOST PROFIT, DAMAGE TO OR LOSS OF BUSINESS OR ANY FORM OF SPECIAL, INDIRECT OR CONSEQUENTIAL DAMAGES. If, at any time during the Term, Sublandlord’s or Landlord’s interest hereunder shall be held by anyone acting in a fiduciary capacity, then, notwithstanding any other provision hereof, Sublandlord’s and/or Landlord’s obligations hereunder shall not be binding upon such fiduciary individually or upon any beneficiary, officer, employee, affiliate or shareholder for whom such fiduciary acts, but only upon such fiduciary in that capacity.</w:t>
      </w:r>
    </w:p>
    <w:p>
      <w:pPr>
        <w:spacing w:after="0" w:line="206" w:lineRule="exact"/>
        <w:rPr>
          <w:sz w:val="20"/>
          <w:szCs w:val="20"/>
          <w:color w:val="auto"/>
        </w:rPr>
      </w:pPr>
    </w:p>
    <w:p>
      <w:pPr>
        <w:jc w:val="both"/>
        <w:ind w:left="860" w:right="460" w:firstLine="864"/>
        <w:spacing w:after="0" w:line="261" w:lineRule="auto"/>
        <w:rPr>
          <w:sz w:val="20"/>
          <w:szCs w:val="20"/>
          <w:color w:val="auto"/>
        </w:rPr>
      </w:pPr>
      <w:r>
        <w:rPr>
          <w:rFonts w:ascii="Times New Roman" w:cs="Times New Roman" w:eastAsia="Times New Roman" w:hAnsi="Times New Roman"/>
          <w:sz w:val="14"/>
          <w:szCs w:val="14"/>
          <w:color w:val="231F20"/>
        </w:rPr>
        <w:t xml:space="preserve">17.6 </w:t>
      </w:r>
      <w:r>
        <w:rPr>
          <w:rFonts w:ascii="Times New Roman" w:cs="Times New Roman" w:eastAsia="Times New Roman" w:hAnsi="Times New Roman"/>
          <w:sz w:val="14"/>
          <w:szCs w:val="14"/>
          <w:u w:val="single" w:color="auto"/>
          <w:color w:val="231F20"/>
        </w:rPr>
        <w:t>Quiet Enjoyment</w:t>
      </w:r>
      <w:r>
        <w:rPr>
          <w:rFonts w:ascii="Times New Roman" w:cs="Times New Roman" w:eastAsia="Times New Roman" w:hAnsi="Times New Roman"/>
          <w:sz w:val="14"/>
          <w:szCs w:val="14"/>
          <w:color w:val="231F20"/>
        </w:rPr>
        <w:t>. Sublandlord covenants that, so long as Subtenant is not in default hereunder beyond applicable notice and cure periods, Subtenant shall have quiet enjoyment of and may peaceably enjoy the Subleased Premises and all appurtenances belonging thereto, without disturbance by Sublandlord or anyone properly claiming by, through or under Sublandlord.</w:t>
      </w:r>
    </w:p>
    <w:p>
      <w:pPr>
        <w:spacing w:after="0" w:line="33" w:lineRule="exact"/>
        <w:rPr>
          <w:sz w:val="20"/>
          <w:szCs w:val="20"/>
          <w:color w:val="auto"/>
        </w:rPr>
      </w:pPr>
    </w:p>
    <w:p>
      <w:pPr>
        <w:jc w:val="both"/>
        <w:ind w:left="860" w:right="440" w:firstLine="864"/>
        <w:spacing w:after="0" w:line="261" w:lineRule="auto"/>
        <w:rPr>
          <w:sz w:val="20"/>
          <w:szCs w:val="20"/>
          <w:color w:val="auto"/>
        </w:rPr>
      </w:pPr>
      <w:r>
        <w:rPr>
          <w:rFonts w:ascii="Times New Roman" w:cs="Times New Roman" w:eastAsia="Times New Roman" w:hAnsi="Times New Roman"/>
          <w:sz w:val="14"/>
          <w:szCs w:val="14"/>
          <w:color w:val="231F20"/>
        </w:rPr>
        <w:t xml:space="preserve">17.7 </w:t>
      </w:r>
      <w:r>
        <w:rPr>
          <w:rFonts w:ascii="Times New Roman" w:cs="Times New Roman" w:eastAsia="Times New Roman" w:hAnsi="Times New Roman"/>
          <w:sz w:val="14"/>
          <w:szCs w:val="14"/>
          <w:u w:val="single" w:color="auto"/>
          <w:color w:val="231F20"/>
        </w:rPr>
        <w:t>Authority</w:t>
      </w:r>
      <w:r>
        <w:rPr>
          <w:rFonts w:ascii="Times New Roman" w:cs="Times New Roman" w:eastAsia="Times New Roman" w:hAnsi="Times New Roman"/>
          <w:sz w:val="14"/>
          <w:szCs w:val="14"/>
          <w:color w:val="231F20"/>
        </w:rPr>
        <w:t>. Each party hereto and the persons signing below warrant that the person signing below on such party’s behalf is authorized to do so and to bind such party to the terms hereof; and that such party has obtained all necessary consent and resolutions governing such party’s affairs in order to consummate the transaction contemplated herein.</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w w:val="97"/>
              </w:rPr>
              <w:t>17.8</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color w:val="231F20"/>
              </w:rPr>
              <w:t>Access.</w:t>
            </w: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Sublandlord</w:t>
            </w:r>
          </w:p>
        </w:tc>
        <w:tc>
          <w:tcPr>
            <w:tcW w:w="70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shall</w:t>
            </w: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231F20"/>
              </w:rPr>
              <w:t>have</w:t>
            </w:r>
          </w:p>
        </w:tc>
        <w:tc>
          <w:tcPr>
            <w:tcW w:w="640" w:type="dxa"/>
            <w:vAlign w:val="bottom"/>
          </w:tcPr>
          <w:p>
            <w:pPr>
              <w:ind w:left="180"/>
              <w:spacing w:after="0"/>
              <w:rPr>
                <w:sz w:val="20"/>
                <w:szCs w:val="20"/>
                <w:color w:val="auto"/>
              </w:rPr>
            </w:pPr>
            <w:r>
              <w:rPr>
                <w:rFonts w:ascii="Times New Roman" w:cs="Times New Roman" w:eastAsia="Times New Roman" w:hAnsi="Times New Roman"/>
                <w:sz w:val="14"/>
                <w:szCs w:val="14"/>
                <w:color w:val="231F20"/>
              </w:rPr>
              <w:t>all</w:t>
            </w:r>
          </w:p>
        </w:tc>
        <w:tc>
          <w:tcPr>
            <w:tcW w:w="4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231F20"/>
              </w:rPr>
              <w:t>of</w:t>
            </w:r>
          </w:p>
        </w:tc>
        <w:tc>
          <w:tcPr>
            <w:tcW w:w="48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the</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231F20"/>
              </w:rPr>
              <w:t>rights</w:t>
            </w:r>
          </w:p>
        </w:tc>
        <w:tc>
          <w:tcPr>
            <w:tcW w:w="760" w:type="dxa"/>
            <w:vAlign w:val="bottom"/>
          </w:tcPr>
          <w:p>
            <w:pPr>
              <w:ind w:left="240"/>
              <w:spacing w:after="0"/>
              <w:rPr>
                <w:sz w:val="20"/>
                <w:szCs w:val="20"/>
                <w:color w:val="auto"/>
              </w:rPr>
            </w:pPr>
            <w:r>
              <w:rPr>
                <w:rFonts w:ascii="Times New Roman" w:cs="Times New Roman" w:eastAsia="Times New Roman" w:hAnsi="Times New Roman"/>
                <w:sz w:val="14"/>
                <w:szCs w:val="14"/>
                <w:color w:val="231F20"/>
              </w:rPr>
              <w:t>afforded</w:t>
            </w:r>
          </w:p>
        </w:tc>
        <w:tc>
          <w:tcPr>
            <w:tcW w:w="580" w:type="dxa"/>
            <w:vAlign w:val="bottom"/>
          </w:tcPr>
          <w:p>
            <w:pPr>
              <w:ind w:left="300"/>
              <w:spacing w:after="0"/>
              <w:rPr>
                <w:sz w:val="20"/>
                <w:szCs w:val="20"/>
                <w:color w:val="auto"/>
              </w:rPr>
            </w:pPr>
            <w:r>
              <w:rPr>
                <w:rFonts w:ascii="Times New Roman" w:cs="Times New Roman" w:eastAsia="Times New Roman" w:hAnsi="Times New Roman"/>
                <w:sz w:val="14"/>
                <w:szCs w:val="14"/>
                <w:color w:val="231F20"/>
              </w:rPr>
              <w:t>to</w:t>
            </w:r>
          </w:p>
        </w:tc>
        <w:tc>
          <w:tcPr>
            <w:tcW w:w="840" w:type="dxa"/>
            <w:vAlign w:val="bottom"/>
          </w:tcPr>
          <w:p>
            <w:pPr>
              <w:ind w:left="180"/>
              <w:spacing w:after="0"/>
              <w:rPr>
                <w:sz w:val="20"/>
                <w:szCs w:val="20"/>
                <w:color w:val="auto"/>
              </w:rPr>
            </w:pPr>
            <w:r>
              <w:rPr>
                <w:rFonts w:ascii="Times New Roman" w:cs="Times New Roman" w:eastAsia="Times New Roman" w:hAnsi="Times New Roman"/>
                <w:sz w:val="14"/>
                <w:szCs w:val="14"/>
                <w:color w:val="231F20"/>
              </w:rPr>
              <w:t>Landlord</w:t>
            </w:r>
          </w:p>
        </w:tc>
        <w:tc>
          <w:tcPr>
            <w:tcW w:w="7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231F20"/>
              </w:rPr>
              <w:t>to</w:t>
            </w:r>
          </w:p>
        </w:tc>
        <w:tc>
          <w:tcPr>
            <w:tcW w:w="0" w:type="dxa"/>
            <w:vAlign w:val="bottom"/>
          </w:tcPr>
          <w:p>
            <w:pPr>
              <w:spacing w:after="0"/>
              <w:rPr>
                <w:sz w:val="1"/>
                <w:szCs w:val="1"/>
                <w:color w:val="auto"/>
              </w:rPr>
            </w:pPr>
          </w:p>
        </w:tc>
      </w:tr>
      <w:tr>
        <w:trPr>
          <w:trHeight w:val="20"/>
        </w:trPr>
        <w:tc>
          <w:tcPr>
            <w:tcW w:w="1360" w:type="dxa"/>
            <w:vAlign w:val="bottom"/>
            <w:vMerge w:val="restart"/>
          </w:tcPr>
          <w:p>
            <w:pPr>
              <w:ind w:left="860"/>
              <w:spacing w:after="0"/>
              <w:rPr>
                <w:sz w:val="20"/>
                <w:szCs w:val="20"/>
                <w:color w:val="auto"/>
              </w:rPr>
            </w:pPr>
            <w:r>
              <w:rPr>
                <w:rFonts w:ascii="Times New Roman" w:cs="Times New Roman" w:eastAsia="Times New Roman" w:hAnsi="Times New Roman"/>
                <w:sz w:val="14"/>
                <w:szCs w:val="14"/>
                <w:color w:val="231F20"/>
              </w:rPr>
              <w:t>access</w:t>
            </w: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231F20"/>
                <w:w w:val="88"/>
              </w:rPr>
              <w:t>and</w:t>
            </w: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231F20"/>
              </w:rPr>
              <w:t>enter</w:t>
            </w:r>
          </w:p>
        </w:tc>
        <w:tc>
          <w:tcPr>
            <w:tcW w:w="4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231F20"/>
              </w:rPr>
              <w:t>the</w:t>
            </w:r>
          </w:p>
        </w:tc>
        <w:tc>
          <w:tcPr>
            <w:tcW w:w="80" w:type="dxa"/>
            <w:vAlign w:val="bottom"/>
          </w:tcPr>
          <w:p>
            <w:pPr>
              <w:spacing w:after="0" w:line="20" w:lineRule="exact"/>
              <w:rPr>
                <w:sz w:val="1"/>
                <w:szCs w:val="1"/>
                <w:color w:val="auto"/>
              </w:rPr>
            </w:pPr>
          </w:p>
        </w:tc>
        <w:tc>
          <w:tcPr>
            <w:tcW w:w="400" w:type="dxa"/>
            <w:vAlign w:val="bottom"/>
            <w:shd w:val="clear" w:color="auto" w:fill="231F2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231F20"/>
              </w:rPr>
              <w:t>Premises</w:t>
            </w: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231F20"/>
              </w:rPr>
              <w:t>pursuant</w:t>
            </w:r>
          </w:p>
        </w:tc>
        <w:tc>
          <w:tcPr>
            <w:tcW w:w="50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231F20"/>
              </w:rPr>
              <w:t>to</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231F20"/>
              </w:rPr>
              <w:t>Section</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14</w:t>
            </w: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231F20"/>
              </w:rPr>
              <w:t>of</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231F20"/>
              </w:rPr>
              <w:t>the</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231F20"/>
              </w:rPr>
              <w:t>Master</w:t>
            </w: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231F20"/>
              </w:rPr>
              <w:t>Lease;</w:t>
            </w:r>
          </w:p>
        </w:tc>
        <w:tc>
          <w:tcPr>
            <w:tcW w:w="8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231F20"/>
              </w:rPr>
              <w:t>provided</w:t>
            </w:r>
          </w:p>
        </w:tc>
        <w:tc>
          <w:tcPr>
            <w:tcW w:w="78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231F20"/>
              </w:rPr>
              <w:t>that</w:t>
            </w:r>
          </w:p>
        </w:tc>
        <w:tc>
          <w:tcPr>
            <w:tcW w:w="0" w:type="dxa"/>
            <w:vAlign w:val="bottom"/>
          </w:tcPr>
          <w:p>
            <w:pPr>
              <w:spacing w:after="0" w:line="20" w:lineRule="exact"/>
              <w:rPr>
                <w:sz w:val="1"/>
                <w:szCs w:val="1"/>
                <w:color w:val="auto"/>
              </w:rPr>
            </w:pPr>
          </w:p>
        </w:tc>
      </w:tr>
      <w:tr>
        <w:trPr>
          <w:trHeight w:val="151"/>
        </w:trPr>
        <w:tc>
          <w:tcPr>
            <w:tcW w:w="136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ind w:left="140"/>
              <w:spacing w:after="0" w:line="151" w:lineRule="exact"/>
              <w:rPr>
                <w:sz w:val="20"/>
                <w:szCs w:val="20"/>
                <w:color w:val="auto"/>
              </w:rPr>
            </w:pPr>
            <w:r>
              <w:rPr>
                <w:rFonts w:ascii="Times New Roman" w:cs="Times New Roman" w:eastAsia="Times New Roman" w:hAnsi="Times New Roman"/>
                <w:sz w:val="14"/>
                <w:szCs w:val="14"/>
                <w:color w:val="231F20"/>
              </w:rPr>
              <w:t>Subleased</w:t>
            </w:r>
          </w:p>
        </w:tc>
        <w:tc>
          <w:tcPr>
            <w:tcW w:w="92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6460" w:type="dxa"/>
            <w:vAlign w:val="bottom"/>
            <w:gridSpan w:val="11"/>
          </w:tcPr>
          <w:p>
            <w:pPr>
              <w:ind w:left="860"/>
              <w:spacing w:after="0"/>
              <w:rPr>
                <w:sz w:val="20"/>
                <w:szCs w:val="20"/>
                <w:color w:val="auto"/>
              </w:rPr>
            </w:pPr>
            <w:r>
              <w:rPr>
                <w:rFonts w:ascii="Times New Roman" w:cs="Times New Roman" w:eastAsia="Times New Roman" w:hAnsi="Times New Roman"/>
                <w:sz w:val="14"/>
                <w:szCs w:val="14"/>
                <w:color w:val="231F20"/>
              </w:rPr>
              <w:t>Sublandlord shall not exercise such rights (other than in the event of an emergency) unless</w:t>
            </w: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3"/>
                <w:szCs w:val="13"/>
                <w:color w:val="auto"/>
              </w:rPr>
              <w:t>19</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6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74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700" w:type="dxa"/>
            <w:vAlign w:val="bottom"/>
            <w:tcBorders>
              <w:bottom w:val="single" w:sz="8" w:color="9A9A9A"/>
            </w:tcBorders>
          </w:tcPr>
          <w:p>
            <w:pPr>
              <w:spacing w:after="0"/>
              <w:rPr>
                <w:sz w:val="19"/>
                <w:szCs w:val="19"/>
                <w:color w:val="auto"/>
              </w:rPr>
            </w:pPr>
          </w:p>
        </w:tc>
        <w:tc>
          <w:tcPr>
            <w:tcW w:w="500" w:type="dxa"/>
            <w:vAlign w:val="bottom"/>
            <w:tcBorders>
              <w:bottom w:val="single" w:sz="8" w:color="9A9A9A"/>
            </w:tcBorders>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76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78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-29210</wp:posOffset>
            </wp:positionV>
            <wp:extent cx="3111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-29210</wp:posOffset>
            </wp:positionV>
            <wp:extent cx="3111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31115" cy="42545"/>
                    </a:xfrm>
                    <a:prstGeom prst="rect">
                      <a:avLst/>
                    </a:prstGeom>
                    <a:noFill/>
                  </pic:spPr>
                </pic:pic>
              </a:graphicData>
            </a:graphic>
          </wp:anchor>
        </w:drawing>
      </w:r>
    </w:p>
    <w:p>
      <w:pPr>
        <w:sectPr>
          <w:pgSz w:w="11900" w:h="16838" w:orient="portrait"/>
          <w:cols w:equalWidth="0" w:num="1">
            <w:col w:w="10880"/>
          </w:cols>
          <w:pgMar w:left="300" w:top="751" w:right="719" w:bottom="1440" w:gutter="0" w:footer="0" w:header="0"/>
        </w:sectPr>
      </w:pPr>
    </w:p>
    <w:bookmarkStart w:id="67" w:name="page68"/>
    <w:bookmarkEnd w:id="67"/>
    <w:p>
      <w:pPr>
        <w:jc w:val="both"/>
        <w:spacing w:after="0" w:line="269" w:lineRule="auto"/>
        <w:rPr>
          <w:sz w:val="20"/>
          <w:szCs w:val="20"/>
          <w:color w:val="auto"/>
        </w:rPr>
      </w:pPr>
      <w:r>
        <w:rPr>
          <w:rFonts w:ascii="Times New Roman" w:cs="Times New Roman" w:eastAsia="Times New Roman" w:hAnsi="Times New Roman"/>
          <w:sz w:val="14"/>
          <w:szCs w:val="14"/>
          <w:color w:val="231F20"/>
        </w:rPr>
        <w:t>Sublandlord is a party to a written non-disclosure agreement reasonably satisfactory to Subtenant (the “</w:t>
      </w:r>
      <w:r>
        <w:rPr>
          <w:rFonts w:ascii="Times New Roman" w:cs="Times New Roman" w:eastAsia="Times New Roman" w:hAnsi="Times New Roman"/>
          <w:sz w:val="14"/>
          <w:szCs w:val="14"/>
          <w:b w:val="1"/>
          <w:bCs w:val="1"/>
          <w:color w:val="231F20"/>
        </w:rPr>
        <w:t>NDA</w:t>
      </w:r>
      <w:r>
        <w:rPr>
          <w:rFonts w:ascii="Times New Roman" w:cs="Times New Roman" w:eastAsia="Times New Roman" w:hAnsi="Times New Roman"/>
          <w:sz w:val="14"/>
          <w:szCs w:val="14"/>
          <w:color w:val="231F20"/>
        </w:rPr>
        <w:t>”) governing the protection of Subtenant’s confidential or proprietary information, and any such access or entry shall be conducted in compliance with the terms of such NDA.</w:t>
      </w:r>
    </w:p>
    <w:p>
      <w:pPr>
        <w:spacing w:after="0" w:line="197"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14"/>
          <w:szCs w:val="14"/>
          <w:color w:val="231F20"/>
        </w:rPr>
        <w:t xml:space="preserve">17.9 </w:t>
      </w:r>
      <w:r>
        <w:rPr>
          <w:rFonts w:ascii="Times New Roman" w:cs="Times New Roman" w:eastAsia="Times New Roman" w:hAnsi="Times New Roman"/>
          <w:sz w:val="14"/>
          <w:szCs w:val="14"/>
          <w:u w:val="single" w:color="auto"/>
          <w:color w:val="231F20"/>
        </w:rPr>
        <w:t>Counterparts</w:t>
      </w:r>
      <w:r>
        <w:rPr>
          <w:rFonts w:ascii="Times New Roman" w:cs="Times New Roman" w:eastAsia="Times New Roman" w:hAnsi="Times New Roman"/>
          <w:sz w:val="14"/>
          <w:szCs w:val="14"/>
          <w:color w:val="231F20"/>
        </w:rPr>
        <w:t>. This Sublease may be executed in any number of counterparts, each of which when so executed and delivered shall be deemed an original for all purposes, and all such counterparts shall together constitute but one and the same instrument. Execution and delivery of a counterpart of this Sublease by portable document format (“</w:t>
      </w:r>
      <w:r>
        <w:rPr>
          <w:rFonts w:ascii="Times New Roman" w:cs="Times New Roman" w:eastAsia="Times New Roman" w:hAnsi="Times New Roman"/>
          <w:sz w:val="14"/>
          <w:szCs w:val="14"/>
          <w:b w:val="1"/>
          <w:bCs w:val="1"/>
          <w:color w:val="231F20"/>
        </w:rPr>
        <w:t>PDF</w:t>
      </w:r>
      <w:r>
        <w:rPr>
          <w:rFonts w:ascii="Times New Roman" w:cs="Times New Roman" w:eastAsia="Times New Roman" w:hAnsi="Times New Roman"/>
          <w:sz w:val="14"/>
          <w:szCs w:val="14"/>
          <w:color w:val="231F20"/>
        </w:rPr>
        <w:t>”) copy bearing the PDF signature of a duly authorized officer of any party hereto, whether delivered by either facsimile or email, shall be deemed to have the same legal effect as delivery of an original signed copy of this Sublease. Each of Sublandlord and Subtenant agrees that: (x) each PDF signature of such party will be enforceable to the same extent as a manual signature, whether in court or otherwise; and (y) such party will not raise any defenses or regulatory or statutory claims attempting to invalidate the enforceability of its PDF signature.</w:t>
      </w:r>
    </w:p>
    <w:p>
      <w:pPr>
        <w:spacing w:after="0" w:line="42" w:lineRule="exact"/>
        <w:rPr>
          <w:sz w:val="20"/>
          <w:szCs w:val="20"/>
          <w:color w:val="auto"/>
        </w:rPr>
      </w:pPr>
    </w:p>
    <w:p>
      <w:pPr>
        <w:jc w:val="both"/>
        <w:ind w:firstLine="864"/>
        <w:spacing w:after="0" w:line="261" w:lineRule="auto"/>
        <w:rPr>
          <w:sz w:val="20"/>
          <w:szCs w:val="20"/>
          <w:color w:val="auto"/>
        </w:rPr>
      </w:pPr>
      <w:r>
        <w:rPr>
          <w:rFonts w:ascii="Times New Roman" w:cs="Times New Roman" w:eastAsia="Times New Roman" w:hAnsi="Times New Roman"/>
          <w:sz w:val="14"/>
          <w:szCs w:val="14"/>
          <w:color w:val="231F20"/>
        </w:rPr>
        <w:t xml:space="preserve">17.10 </w:t>
      </w:r>
      <w:r>
        <w:rPr>
          <w:rFonts w:ascii="Times New Roman" w:cs="Times New Roman" w:eastAsia="Times New Roman" w:hAnsi="Times New Roman"/>
          <w:sz w:val="14"/>
          <w:szCs w:val="14"/>
          <w:u w:val="single" w:color="auto"/>
          <w:color w:val="231F20"/>
        </w:rPr>
        <w:t>Waiver of Jury Trial</w:t>
      </w:r>
      <w:r>
        <w:rPr>
          <w:rFonts w:ascii="Times New Roman" w:cs="Times New Roman" w:eastAsia="Times New Roman" w:hAnsi="Times New Roman"/>
          <w:sz w:val="14"/>
          <w:szCs w:val="14"/>
          <w:color w:val="231F20"/>
        </w:rPr>
        <w:t>. To the extent permitted by applicable law, Sublandlord and Subtenant hereby waive the right to a trial by jury in any action, proceeding or counterclaim brought by either of the parties hereto against the other on any matters whatsoever arising out of or in any way connected to this Sublease, the relationship of Sublandlord and Subtenant, or Subtenant’s use or occupancy of the Subleased Premises.</w:t>
      </w:r>
    </w:p>
    <w:p>
      <w:pPr>
        <w:spacing w:after="0" w:line="33" w:lineRule="exact"/>
        <w:rPr>
          <w:sz w:val="20"/>
          <w:szCs w:val="20"/>
          <w:color w:val="auto"/>
        </w:rPr>
      </w:pPr>
    </w:p>
    <w:p>
      <w:pPr>
        <w:ind w:left="860"/>
        <w:spacing w:after="0"/>
        <w:tabs>
          <w:tab w:leader="none" w:pos="2060" w:val="left"/>
          <w:tab w:leader="none" w:pos="2700" w:val="left"/>
          <w:tab w:leader="none" w:pos="3340" w:val="left"/>
          <w:tab w:leader="none" w:pos="3780" w:val="left"/>
          <w:tab w:leader="none" w:pos="4280" w:val="left"/>
          <w:tab w:leader="none" w:pos="4900" w:val="left"/>
          <w:tab w:leader="none" w:pos="5940" w:val="left"/>
          <w:tab w:leader="none" w:pos="6380" w:val="left"/>
          <w:tab w:leader="none" w:pos="7280" w:val="left"/>
          <w:tab w:leader="none" w:pos="7880" w:val="left"/>
          <w:tab w:leader="none" w:pos="8660" w:val="left"/>
          <w:tab w:leader="none" w:pos="9200" w:val="left"/>
        </w:tabs>
        <w:rPr>
          <w:sz w:val="20"/>
          <w:szCs w:val="20"/>
          <w:color w:val="auto"/>
        </w:rPr>
      </w:pPr>
      <w:r>
        <w:rPr>
          <w:rFonts w:ascii="Times New Roman" w:cs="Times New Roman" w:eastAsia="Times New Roman" w:hAnsi="Times New Roman"/>
          <w:sz w:val="14"/>
          <w:szCs w:val="14"/>
          <w:color w:val="231F20"/>
        </w:rPr>
        <w:t>17.11</w:t>
      </w:r>
      <w:r>
        <w:rPr>
          <w:sz w:val="20"/>
          <w:szCs w:val="20"/>
          <w:color w:val="auto"/>
        </w:rPr>
        <w:tab/>
      </w:r>
      <w:r>
        <w:rPr>
          <w:rFonts w:ascii="Times New Roman" w:cs="Times New Roman" w:eastAsia="Times New Roman" w:hAnsi="Times New Roman"/>
          <w:sz w:val="14"/>
          <w:szCs w:val="14"/>
          <w:color w:val="231F20"/>
        </w:rPr>
        <w:t>Legal</w:t>
      </w:r>
      <w:r>
        <w:rPr>
          <w:sz w:val="20"/>
          <w:szCs w:val="20"/>
          <w:color w:val="auto"/>
        </w:rPr>
        <w:tab/>
      </w:r>
      <w:r>
        <w:rPr>
          <w:rFonts w:ascii="Times New Roman" w:cs="Times New Roman" w:eastAsia="Times New Roman" w:hAnsi="Times New Roman"/>
          <w:sz w:val="14"/>
          <w:szCs w:val="14"/>
          <w:color w:val="231F20"/>
        </w:rPr>
        <w:t>Fees.</w:t>
      </w:r>
      <w:r>
        <w:rPr>
          <w:sz w:val="20"/>
          <w:szCs w:val="20"/>
          <w:color w:val="auto"/>
        </w:rPr>
        <w:tab/>
      </w:r>
      <w:r>
        <w:rPr>
          <w:rFonts w:ascii="Times New Roman" w:cs="Times New Roman" w:eastAsia="Times New Roman" w:hAnsi="Times New Roman"/>
          <w:sz w:val="14"/>
          <w:szCs w:val="14"/>
          <w:color w:val="231F20"/>
        </w:rPr>
        <w:t>In</w:t>
      </w:r>
      <w:r>
        <w:rPr>
          <w:sz w:val="20"/>
          <w:szCs w:val="20"/>
          <w:color w:val="auto"/>
        </w:rPr>
        <w:tab/>
      </w:r>
      <w:r>
        <w:rPr>
          <w:rFonts w:ascii="Times New Roman" w:cs="Times New Roman" w:eastAsia="Times New Roman" w:hAnsi="Times New Roman"/>
          <w:sz w:val="14"/>
          <w:szCs w:val="14"/>
          <w:color w:val="231F20"/>
        </w:rPr>
        <w:t>the</w:t>
      </w:r>
      <w:r>
        <w:rPr>
          <w:sz w:val="20"/>
          <w:szCs w:val="20"/>
          <w:color w:val="auto"/>
        </w:rPr>
        <w:tab/>
      </w:r>
      <w:r>
        <w:rPr>
          <w:rFonts w:ascii="Times New Roman" w:cs="Times New Roman" w:eastAsia="Times New Roman" w:hAnsi="Times New Roman"/>
          <w:sz w:val="14"/>
          <w:szCs w:val="14"/>
          <w:color w:val="231F20"/>
        </w:rPr>
        <w:t>event</w:t>
      </w:r>
      <w:r>
        <w:rPr>
          <w:sz w:val="20"/>
          <w:szCs w:val="20"/>
          <w:color w:val="auto"/>
        </w:rPr>
        <w:tab/>
      </w:r>
      <w:r>
        <w:rPr>
          <w:rFonts w:ascii="Times New Roman" w:cs="Times New Roman" w:eastAsia="Times New Roman" w:hAnsi="Times New Roman"/>
          <w:sz w:val="14"/>
          <w:szCs w:val="14"/>
          <w:color w:val="231F20"/>
        </w:rPr>
        <w:t>Sublandlord</w:t>
      </w:r>
      <w:r>
        <w:rPr>
          <w:sz w:val="20"/>
          <w:szCs w:val="20"/>
          <w:color w:val="auto"/>
        </w:rPr>
        <w:tab/>
      </w:r>
      <w:r>
        <w:rPr>
          <w:rFonts w:ascii="Times New Roman" w:cs="Times New Roman" w:eastAsia="Times New Roman" w:hAnsi="Times New Roman"/>
          <w:sz w:val="14"/>
          <w:szCs w:val="14"/>
          <w:color w:val="231F20"/>
        </w:rPr>
        <w:t>or</w:t>
      </w:r>
      <w:r>
        <w:rPr>
          <w:sz w:val="20"/>
          <w:szCs w:val="20"/>
          <w:color w:val="auto"/>
        </w:rPr>
        <w:tab/>
      </w:r>
      <w:r>
        <w:rPr>
          <w:rFonts w:ascii="Times New Roman" w:cs="Times New Roman" w:eastAsia="Times New Roman" w:hAnsi="Times New Roman"/>
          <w:sz w:val="14"/>
          <w:szCs w:val="14"/>
          <w:color w:val="231F20"/>
        </w:rPr>
        <w:t>Subtenant</w:t>
      </w:r>
      <w:r>
        <w:rPr>
          <w:sz w:val="20"/>
          <w:szCs w:val="20"/>
          <w:color w:val="auto"/>
        </w:rPr>
        <w:tab/>
      </w:r>
      <w:r>
        <w:rPr>
          <w:rFonts w:ascii="Times New Roman" w:cs="Times New Roman" w:eastAsia="Times New Roman" w:hAnsi="Times New Roman"/>
          <w:sz w:val="14"/>
          <w:szCs w:val="14"/>
          <w:color w:val="231F20"/>
        </w:rPr>
        <w:t>shall</w:t>
      </w:r>
      <w:r>
        <w:rPr>
          <w:sz w:val="20"/>
          <w:szCs w:val="20"/>
          <w:color w:val="auto"/>
        </w:rPr>
        <w:tab/>
      </w:r>
      <w:r>
        <w:rPr>
          <w:rFonts w:ascii="Times New Roman" w:cs="Times New Roman" w:eastAsia="Times New Roman" w:hAnsi="Times New Roman"/>
          <w:sz w:val="14"/>
          <w:szCs w:val="14"/>
          <w:color w:val="231F20"/>
        </w:rPr>
        <w:t>institute</w:t>
      </w:r>
      <w:r>
        <w:rPr>
          <w:sz w:val="20"/>
          <w:szCs w:val="20"/>
          <w:color w:val="auto"/>
        </w:rPr>
        <w:tab/>
      </w:r>
      <w:r>
        <w:rPr>
          <w:rFonts w:ascii="Times New Roman" w:cs="Times New Roman" w:eastAsia="Times New Roman" w:hAnsi="Times New Roman"/>
          <w:sz w:val="14"/>
          <w:szCs w:val="14"/>
          <w:color w:val="231F20"/>
        </w:rPr>
        <w:t>any</w:t>
      </w:r>
      <w:r>
        <w:rPr>
          <w:sz w:val="20"/>
          <w:szCs w:val="20"/>
          <w:color w:val="auto"/>
        </w:rPr>
        <w:tab/>
      </w:r>
      <w:r>
        <w:rPr>
          <w:rFonts w:ascii="Times New Roman" w:cs="Times New Roman" w:eastAsia="Times New Roman" w:hAnsi="Times New Roman"/>
          <w:sz w:val="13"/>
          <w:szCs w:val="13"/>
          <w:color w:val="231F20"/>
        </w:rPr>
        <w:t>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-4445</wp:posOffset>
            </wp:positionV>
            <wp:extent cx="58166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581660" cy="5715"/>
                    </a:xfrm>
                    <a:prstGeom prst="rect">
                      <a:avLst/>
                    </a:prstGeom>
                    <a:noFill/>
                  </pic:spPr>
                </pic:pic>
              </a:graphicData>
            </a:graphic>
          </wp:anchor>
        </w:drawing>
      </w:r>
    </w:p>
    <w:p>
      <w:pPr>
        <w:jc w:val="both"/>
        <w:spacing w:after="0" w:line="258" w:lineRule="auto"/>
        <w:rPr>
          <w:sz w:val="20"/>
          <w:szCs w:val="20"/>
          <w:color w:val="auto"/>
        </w:rPr>
      </w:pPr>
      <w:r>
        <w:rPr>
          <w:rFonts w:ascii="Times New Roman" w:cs="Times New Roman" w:eastAsia="Times New Roman" w:hAnsi="Times New Roman"/>
          <w:sz w:val="14"/>
          <w:szCs w:val="14"/>
          <w:color w:val="231F20"/>
        </w:rPr>
        <w:t>or proceeding against the other relating to the provisions of this Sublease, or any default hereunder, the unsuccessful party in such action or proceeding agrees to reimburse the successful party for the reasonable expenses of attorneys’ fees and disbursements incurred therein by the successful party.</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17.12</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231F20"/>
              </w:rPr>
              <w:t>Submission</w:t>
            </w:r>
          </w:p>
        </w:tc>
        <w:tc>
          <w:tcPr>
            <w:tcW w:w="460" w:type="dxa"/>
            <w:vAlign w:val="bottom"/>
          </w:tcPr>
          <w:p>
            <w:pPr>
              <w:ind w:left="260"/>
              <w:spacing w:after="0"/>
              <w:rPr>
                <w:sz w:val="20"/>
                <w:szCs w:val="20"/>
                <w:color w:val="auto"/>
              </w:rPr>
            </w:pPr>
            <w:r>
              <w:rPr>
                <w:rFonts w:ascii="Times New Roman" w:cs="Times New Roman" w:eastAsia="Times New Roman" w:hAnsi="Times New Roman"/>
                <w:sz w:val="14"/>
                <w:szCs w:val="14"/>
                <w:color w:val="231F20"/>
              </w:rPr>
              <w:t>of</w:t>
            </w:r>
          </w:p>
        </w:tc>
        <w:tc>
          <w:tcPr>
            <w:tcW w:w="9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231F20"/>
              </w:rPr>
              <w:t>Sublease.</w:t>
            </w:r>
          </w:p>
        </w:tc>
        <w:tc>
          <w:tcPr>
            <w:tcW w:w="700" w:type="dxa"/>
            <w:vAlign w:val="bottom"/>
          </w:tcPr>
          <w:p>
            <w:pPr>
              <w:ind w:left="280"/>
              <w:spacing w:after="0"/>
              <w:rPr>
                <w:sz w:val="20"/>
                <w:szCs w:val="20"/>
                <w:color w:val="auto"/>
              </w:rPr>
            </w:pPr>
            <w:r>
              <w:rPr>
                <w:rFonts w:ascii="Times New Roman" w:cs="Times New Roman" w:eastAsia="Times New Roman" w:hAnsi="Times New Roman"/>
                <w:sz w:val="14"/>
                <w:szCs w:val="14"/>
                <w:color w:val="231F20"/>
              </w:rPr>
              <w:t>The</w:t>
            </w: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231F20"/>
              </w:rPr>
              <w:t>submission</w:t>
            </w:r>
          </w:p>
        </w:tc>
        <w:tc>
          <w:tcPr>
            <w:tcW w:w="700" w:type="dxa"/>
            <w:vAlign w:val="bottom"/>
          </w:tcPr>
          <w:p>
            <w:pPr>
              <w:ind w:left="260"/>
              <w:spacing w:after="0"/>
              <w:rPr>
                <w:sz w:val="20"/>
                <w:szCs w:val="20"/>
                <w:color w:val="auto"/>
              </w:rPr>
            </w:pPr>
            <w:r>
              <w:rPr>
                <w:rFonts w:ascii="Times New Roman" w:cs="Times New Roman" w:eastAsia="Times New Roman" w:hAnsi="Times New Roman"/>
                <w:sz w:val="14"/>
                <w:szCs w:val="14"/>
                <w:color w:val="231F20"/>
              </w:rPr>
              <w:t>of</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this</w:t>
            </w:r>
          </w:p>
        </w:tc>
        <w:tc>
          <w:tcPr>
            <w:tcW w:w="620" w:type="dxa"/>
            <w:vAlign w:val="bottom"/>
          </w:tcPr>
          <w:p>
            <w:pPr>
              <w:ind w:left="80"/>
              <w:spacing w:after="0"/>
              <w:rPr>
                <w:sz w:val="20"/>
                <w:szCs w:val="20"/>
                <w:color w:val="auto"/>
              </w:rPr>
            </w:pPr>
            <w:r>
              <w:rPr>
                <w:rFonts w:ascii="Times New Roman" w:cs="Times New Roman" w:eastAsia="Times New Roman" w:hAnsi="Times New Roman"/>
                <w:sz w:val="14"/>
                <w:szCs w:val="14"/>
                <w:color w:val="231F20"/>
              </w:rPr>
              <w:t>Sublease</w:t>
            </w:r>
          </w:p>
        </w:tc>
        <w:tc>
          <w:tcPr>
            <w:tcW w:w="660" w:type="dxa"/>
            <w:vAlign w:val="bottom"/>
          </w:tcPr>
          <w:p>
            <w:pPr>
              <w:ind w:left="360"/>
              <w:spacing w:after="0"/>
              <w:rPr>
                <w:sz w:val="20"/>
                <w:szCs w:val="20"/>
                <w:color w:val="auto"/>
              </w:rPr>
            </w:pPr>
            <w:r>
              <w:rPr>
                <w:rFonts w:ascii="Times New Roman" w:cs="Times New Roman" w:eastAsia="Times New Roman" w:hAnsi="Times New Roman"/>
                <w:sz w:val="14"/>
                <w:szCs w:val="14"/>
                <w:color w:val="231F20"/>
              </w:rPr>
              <w:t>for</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examination</w:t>
            </w:r>
          </w:p>
        </w:tc>
      </w:tr>
      <w:tr>
        <w:trPr>
          <w:trHeight w:val="151"/>
        </w:trPr>
        <w:tc>
          <w:tcPr>
            <w:tcW w:w="2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231F20"/>
              </w:rPr>
              <w:t>or</w:t>
            </w:r>
          </w:p>
        </w:tc>
        <w:tc>
          <w:tcPr>
            <w:tcW w:w="940" w:type="dxa"/>
            <w:vAlign w:val="bottom"/>
          </w:tcPr>
          <w:p>
            <w:pPr>
              <w:jc w:val="right"/>
              <w:ind w:right="168"/>
              <w:spacing w:after="0" w:line="151" w:lineRule="exact"/>
              <w:rPr>
                <w:sz w:val="20"/>
                <w:szCs w:val="20"/>
                <w:color w:val="auto"/>
              </w:rPr>
            </w:pPr>
            <w:r>
              <w:rPr>
                <w:rFonts w:ascii="Times New Roman" w:cs="Times New Roman" w:eastAsia="Times New Roman" w:hAnsi="Times New Roman"/>
                <w:sz w:val="14"/>
                <w:szCs w:val="14"/>
                <w:color w:val="231F20"/>
              </w:rPr>
              <w:t>execution</w:t>
            </w:r>
          </w:p>
        </w:tc>
        <w:tc>
          <w:tcPr>
            <w:tcW w:w="440" w:type="dxa"/>
            <w:vAlign w:val="bottom"/>
          </w:tcPr>
          <w:p>
            <w:pPr>
              <w:ind w:left="40"/>
              <w:spacing w:after="0" w:line="151" w:lineRule="exact"/>
              <w:rPr>
                <w:sz w:val="20"/>
                <w:szCs w:val="20"/>
                <w:color w:val="auto"/>
              </w:rPr>
            </w:pPr>
            <w:r>
              <w:rPr>
                <w:rFonts w:ascii="Times New Roman" w:cs="Times New Roman" w:eastAsia="Times New Roman" w:hAnsi="Times New Roman"/>
                <w:sz w:val="14"/>
                <w:szCs w:val="14"/>
                <w:color w:val="231F20"/>
              </w:rPr>
              <w:t>does</w:t>
            </w:r>
          </w:p>
        </w:tc>
        <w:tc>
          <w:tcPr>
            <w:tcW w:w="420" w:type="dxa"/>
            <w:vAlign w:val="bottom"/>
            <w:gridSpan w:val="2"/>
          </w:tcPr>
          <w:p>
            <w:pPr>
              <w:ind w:left="140"/>
              <w:spacing w:after="0" w:line="151" w:lineRule="exact"/>
              <w:rPr>
                <w:sz w:val="20"/>
                <w:szCs w:val="20"/>
                <w:color w:val="auto"/>
              </w:rPr>
            </w:pPr>
            <w:r>
              <w:rPr>
                <w:rFonts w:ascii="Times New Roman" w:cs="Times New Roman" w:eastAsia="Times New Roman" w:hAnsi="Times New Roman"/>
                <w:sz w:val="14"/>
                <w:szCs w:val="14"/>
                <w:color w:val="231F20"/>
              </w:rPr>
              <w:t>not</w:t>
            </w:r>
          </w:p>
        </w:tc>
        <w:tc>
          <w:tcPr>
            <w:tcW w:w="80" w:type="dxa"/>
            <w:vAlign w:val="bottom"/>
          </w:tcPr>
          <w:p>
            <w:pPr>
              <w:spacing w:after="0"/>
              <w:rPr>
                <w:sz w:val="13"/>
                <w:szCs w:val="13"/>
                <w:color w:val="auto"/>
              </w:rPr>
            </w:pPr>
          </w:p>
        </w:tc>
        <w:tc>
          <w:tcPr>
            <w:tcW w:w="800" w:type="dxa"/>
            <w:vAlign w:val="bottom"/>
            <w:tcBorders>
              <w:top w:val="single" w:sz="8" w:color="231F20"/>
            </w:tcBorders>
            <w:gridSpan w:val="2"/>
          </w:tcPr>
          <w:p>
            <w:pPr>
              <w:ind w:left="100"/>
              <w:spacing w:after="0" w:line="151" w:lineRule="exact"/>
              <w:rPr>
                <w:sz w:val="20"/>
                <w:szCs w:val="20"/>
                <w:color w:val="auto"/>
              </w:rPr>
            </w:pPr>
            <w:r>
              <w:rPr>
                <w:rFonts w:ascii="Times New Roman" w:cs="Times New Roman" w:eastAsia="Times New Roman" w:hAnsi="Times New Roman"/>
                <w:sz w:val="14"/>
                <w:szCs w:val="14"/>
                <w:color w:val="231F20"/>
              </w:rPr>
              <w:t>constitute</w:t>
            </w:r>
          </w:p>
        </w:tc>
        <w:tc>
          <w:tcPr>
            <w:tcW w:w="460" w:type="dxa"/>
            <w:vAlign w:val="bottom"/>
            <w:tcBorders>
              <w:top w:val="single" w:sz="8" w:color="231F20"/>
            </w:tcBorders>
          </w:tcPr>
          <w:p>
            <w:pPr>
              <w:ind w:left="140"/>
              <w:spacing w:after="0" w:line="151" w:lineRule="exact"/>
              <w:rPr>
                <w:sz w:val="20"/>
                <w:szCs w:val="20"/>
                <w:color w:val="auto"/>
              </w:rPr>
            </w:pPr>
            <w:r>
              <w:rPr>
                <w:rFonts w:ascii="Times New Roman" w:cs="Times New Roman" w:eastAsia="Times New Roman" w:hAnsi="Times New Roman"/>
                <w:sz w:val="14"/>
                <w:szCs w:val="14"/>
                <w:color w:val="231F20"/>
              </w:rPr>
              <w:t>an</w:t>
            </w:r>
          </w:p>
        </w:tc>
        <w:tc>
          <w:tcPr>
            <w:tcW w:w="500" w:type="dxa"/>
            <w:vAlign w:val="bottom"/>
            <w:tcBorders>
              <w:top w:val="single" w:sz="8" w:color="231F20"/>
            </w:tcBorders>
          </w:tcPr>
          <w:p>
            <w:pPr>
              <w:ind w:left="100"/>
              <w:spacing w:after="0" w:line="151" w:lineRule="exact"/>
              <w:rPr>
                <w:sz w:val="20"/>
                <w:szCs w:val="20"/>
                <w:color w:val="auto"/>
              </w:rPr>
            </w:pPr>
            <w:r>
              <w:rPr>
                <w:rFonts w:ascii="Times New Roman" w:cs="Times New Roman" w:eastAsia="Times New Roman" w:hAnsi="Times New Roman"/>
                <w:sz w:val="14"/>
                <w:szCs w:val="14"/>
                <w:color w:val="231F20"/>
              </w:rPr>
              <w:t>offer</w:t>
            </w:r>
          </w:p>
        </w:tc>
        <w:tc>
          <w:tcPr>
            <w:tcW w:w="320" w:type="dxa"/>
            <w:vAlign w:val="bottom"/>
            <w:tcBorders>
              <w:top w:val="single" w:sz="8" w:color="231F20"/>
            </w:tcBorders>
          </w:tcPr>
          <w:p>
            <w:pPr>
              <w:ind w:left="140"/>
              <w:spacing w:after="0" w:line="151" w:lineRule="exact"/>
              <w:rPr>
                <w:sz w:val="20"/>
                <w:szCs w:val="20"/>
                <w:color w:val="auto"/>
              </w:rPr>
            </w:pPr>
            <w:r>
              <w:rPr>
                <w:rFonts w:ascii="Times New Roman" w:cs="Times New Roman" w:eastAsia="Times New Roman" w:hAnsi="Times New Roman"/>
                <w:sz w:val="14"/>
                <w:szCs w:val="14"/>
                <w:color w:val="231F20"/>
              </w:rPr>
              <w:t>to</w:t>
            </w:r>
          </w:p>
        </w:tc>
        <w:tc>
          <w:tcPr>
            <w:tcW w:w="140" w:type="dxa"/>
            <w:vAlign w:val="bottom"/>
          </w:tcPr>
          <w:p>
            <w:pPr>
              <w:spacing w:after="0"/>
              <w:rPr>
                <w:sz w:val="13"/>
                <w:szCs w:val="13"/>
                <w:color w:val="auto"/>
              </w:rPr>
            </w:pPr>
          </w:p>
        </w:tc>
        <w:tc>
          <w:tcPr>
            <w:tcW w:w="700" w:type="dxa"/>
            <w:vAlign w:val="bottom"/>
          </w:tcPr>
          <w:p>
            <w:pPr>
              <w:ind w:left="80"/>
              <w:spacing w:after="0" w:line="151" w:lineRule="exact"/>
              <w:rPr>
                <w:sz w:val="20"/>
                <w:szCs w:val="20"/>
                <w:color w:val="auto"/>
              </w:rPr>
            </w:pPr>
            <w:r>
              <w:rPr>
                <w:rFonts w:ascii="Times New Roman" w:cs="Times New Roman" w:eastAsia="Times New Roman" w:hAnsi="Times New Roman"/>
                <w:sz w:val="14"/>
                <w:szCs w:val="14"/>
                <w:color w:val="231F20"/>
              </w:rPr>
              <w:t>sublease</w:t>
            </w:r>
          </w:p>
        </w:tc>
        <w:tc>
          <w:tcPr>
            <w:tcW w:w="500" w:type="dxa"/>
            <w:vAlign w:val="bottom"/>
          </w:tcPr>
          <w:p>
            <w:pPr>
              <w:ind w:left="140"/>
              <w:spacing w:after="0" w:line="151" w:lineRule="exact"/>
              <w:rPr>
                <w:sz w:val="20"/>
                <w:szCs w:val="20"/>
                <w:color w:val="auto"/>
              </w:rPr>
            </w:pPr>
            <w:r>
              <w:rPr>
                <w:rFonts w:ascii="Times New Roman" w:cs="Times New Roman" w:eastAsia="Times New Roman" w:hAnsi="Times New Roman"/>
                <w:sz w:val="14"/>
                <w:szCs w:val="14"/>
                <w:color w:val="231F20"/>
              </w:rPr>
              <w:t>and</w:t>
            </w:r>
          </w:p>
        </w:tc>
        <w:tc>
          <w:tcPr>
            <w:tcW w:w="480" w:type="dxa"/>
            <w:vAlign w:val="bottom"/>
          </w:tcPr>
          <w:p>
            <w:pPr>
              <w:ind w:left="140"/>
              <w:spacing w:after="0" w:line="151" w:lineRule="exact"/>
              <w:rPr>
                <w:sz w:val="20"/>
                <w:szCs w:val="20"/>
                <w:color w:val="auto"/>
              </w:rPr>
            </w:pPr>
            <w:r>
              <w:rPr>
                <w:rFonts w:ascii="Times New Roman" w:cs="Times New Roman" w:eastAsia="Times New Roman" w:hAnsi="Times New Roman"/>
                <w:sz w:val="14"/>
                <w:szCs w:val="14"/>
                <w:color w:val="231F20"/>
              </w:rPr>
              <w:t>this</w:t>
            </w:r>
          </w:p>
        </w:tc>
        <w:tc>
          <w:tcPr>
            <w:tcW w:w="700" w:type="dxa"/>
            <w:vAlign w:val="bottom"/>
          </w:tcPr>
          <w:p>
            <w:pPr>
              <w:ind w:left="140"/>
              <w:spacing w:after="0" w:line="151" w:lineRule="exact"/>
              <w:rPr>
                <w:sz w:val="20"/>
                <w:szCs w:val="20"/>
                <w:color w:val="auto"/>
              </w:rPr>
            </w:pPr>
            <w:r>
              <w:rPr>
                <w:rFonts w:ascii="Times New Roman" w:cs="Times New Roman" w:eastAsia="Times New Roman" w:hAnsi="Times New Roman"/>
                <w:sz w:val="14"/>
                <w:szCs w:val="14"/>
                <w:color w:val="231F20"/>
              </w:rPr>
              <w:t>Sublease</w:t>
            </w:r>
          </w:p>
        </w:tc>
        <w:tc>
          <w:tcPr>
            <w:tcW w:w="580" w:type="dxa"/>
            <w:vAlign w:val="bottom"/>
          </w:tcPr>
          <w:p>
            <w:pPr>
              <w:ind w:left="240"/>
              <w:spacing w:after="0" w:line="151" w:lineRule="exact"/>
              <w:rPr>
                <w:sz w:val="20"/>
                <w:szCs w:val="20"/>
                <w:color w:val="auto"/>
              </w:rPr>
            </w:pPr>
            <w:r>
              <w:rPr>
                <w:rFonts w:ascii="Times New Roman" w:cs="Times New Roman" w:eastAsia="Times New Roman" w:hAnsi="Times New Roman"/>
                <w:sz w:val="14"/>
                <w:szCs w:val="14"/>
                <w:color w:val="231F20"/>
              </w:rPr>
              <w:t>shall</w:t>
            </w:r>
          </w:p>
        </w:tc>
        <w:tc>
          <w:tcPr>
            <w:tcW w:w="620" w:type="dxa"/>
            <w:vAlign w:val="bottom"/>
          </w:tcPr>
          <w:p>
            <w:pPr>
              <w:ind w:left="200"/>
              <w:spacing w:after="0" w:line="151" w:lineRule="exact"/>
              <w:rPr>
                <w:sz w:val="20"/>
                <w:szCs w:val="20"/>
                <w:color w:val="auto"/>
              </w:rPr>
            </w:pPr>
            <w:r>
              <w:rPr>
                <w:rFonts w:ascii="Times New Roman" w:cs="Times New Roman" w:eastAsia="Times New Roman" w:hAnsi="Times New Roman"/>
                <w:sz w:val="14"/>
                <w:szCs w:val="14"/>
                <w:color w:val="231F20"/>
              </w:rPr>
              <w:t>be</w:t>
            </w:r>
          </w:p>
        </w:tc>
        <w:tc>
          <w:tcPr>
            <w:tcW w:w="6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231F20"/>
              </w:rPr>
              <w:t>effective</w:t>
            </w:r>
          </w:p>
        </w:tc>
        <w:tc>
          <w:tcPr>
            <w:tcW w:w="540" w:type="dxa"/>
            <w:vAlign w:val="bottom"/>
          </w:tcPr>
          <w:p>
            <w:pPr>
              <w:ind w:left="140"/>
              <w:spacing w:after="0" w:line="151" w:lineRule="exact"/>
              <w:rPr>
                <w:sz w:val="20"/>
                <w:szCs w:val="20"/>
                <w:color w:val="auto"/>
              </w:rPr>
            </w:pPr>
            <w:r>
              <w:rPr>
                <w:rFonts w:ascii="Times New Roman" w:cs="Times New Roman" w:eastAsia="Times New Roman" w:hAnsi="Times New Roman"/>
                <w:sz w:val="14"/>
                <w:szCs w:val="14"/>
                <w:color w:val="231F20"/>
              </w:rPr>
              <w:t>only</w:t>
            </w:r>
          </w:p>
        </w:tc>
        <w:tc>
          <w:tcPr>
            <w:tcW w:w="4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231F20"/>
              </w:rPr>
              <w:t>upon</w:t>
            </w:r>
          </w:p>
        </w:tc>
      </w:tr>
      <w:tr>
        <w:trPr>
          <w:trHeight w:val="188"/>
        </w:trPr>
        <w:tc>
          <w:tcPr>
            <w:tcW w:w="7320" w:type="dxa"/>
            <w:vAlign w:val="bottom"/>
            <w:gridSpan w:val="17"/>
          </w:tcPr>
          <w:p>
            <w:pPr>
              <w:spacing w:after="0"/>
              <w:rPr>
                <w:sz w:val="20"/>
                <w:szCs w:val="20"/>
                <w:color w:val="auto"/>
              </w:rPr>
            </w:pPr>
            <w:r>
              <w:rPr>
                <w:rFonts w:ascii="Times New Roman" w:cs="Times New Roman" w:eastAsia="Times New Roman" w:hAnsi="Times New Roman"/>
                <w:sz w:val="14"/>
                <w:szCs w:val="14"/>
                <w:color w:val="231F20"/>
              </w:rPr>
              <w:t>execution and delivery hereof by Sublandlord and Subtenant and receipt of the Landlord’s Consent as provided herein.</w:t>
            </w: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99"/>
        </w:trPr>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17.13</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780" w:type="dxa"/>
            <w:vAlign w:val="bottom"/>
            <w:gridSpan w:val="17"/>
          </w:tcPr>
          <w:p>
            <w:pPr>
              <w:jc w:val="right"/>
              <w:spacing w:after="0"/>
              <w:rPr>
                <w:sz w:val="20"/>
                <w:szCs w:val="20"/>
                <w:color w:val="auto"/>
              </w:rPr>
            </w:pPr>
            <w:r>
              <w:rPr>
                <w:rFonts w:ascii="Times New Roman" w:cs="Times New Roman" w:eastAsia="Times New Roman" w:hAnsi="Times New Roman"/>
                <w:sz w:val="14"/>
                <w:szCs w:val="14"/>
                <w:color w:val="231F20"/>
              </w:rPr>
              <w:t>Severability. If any clause or provision of this Sublease is illegal, invalid or unenforceable under present or future laws, the remainder</w:t>
            </w:r>
          </w:p>
        </w:tc>
      </w:tr>
      <w:tr>
        <w:trPr>
          <w:trHeight w:val="20"/>
        </w:trPr>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jc w:val="both"/>
        <w:spacing w:after="0" w:line="281" w:lineRule="auto"/>
        <w:rPr>
          <w:sz w:val="20"/>
          <w:szCs w:val="20"/>
          <w:color w:val="auto"/>
        </w:rPr>
      </w:pPr>
      <w:r>
        <w:rPr>
          <w:rFonts w:ascii="Times New Roman" w:cs="Times New Roman" w:eastAsia="Times New Roman" w:hAnsi="Times New Roman"/>
          <w:sz w:val="14"/>
          <w:szCs w:val="14"/>
          <w:color w:val="231F20"/>
        </w:rPr>
        <w:t>of this Sublease shall not be affected thereby, and in lieu of each clause or provision of this Sublease which is illegal, invalid or unenforceable, there shall be added as a part of this Sublease a clause or provision as nearly identical to the said clause or provision as may be legal, valid and enforceable.</w:t>
      </w:r>
    </w:p>
    <w:p>
      <w:pPr>
        <w:spacing w:after="0" w:line="19"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14"/>
          <w:szCs w:val="14"/>
          <w:color w:val="231F20"/>
        </w:rPr>
        <w:t xml:space="preserve">17.14 </w:t>
      </w:r>
      <w:r>
        <w:rPr>
          <w:rFonts w:ascii="Times New Roman" w:cs="Times New Roman" w:eastAsia="Times New Roman" w:hAnsi="Times New Roman"/>
          <w:sz w:val="14"/>
          <w:szCs w:val="14"/>
          <w:u w:val="single" w:color="auto"/>
          <w:color w:val="231F20"/>
        </w:rPr>
        <w:t>Entire Agreement</w:t>
      </w:r>
      <w:r>
        <w:rPr>
          <w:rFonts w:ascii="Times New Roman" w:cs="Times New Roman" w:eastAsia="Times New Roman" w:hAnsi="Times New Roman"/>
          <w:sz w:val="14"/>
          <w:szCs w:val="14"/>
          <w:color w:val="231F20"/>
        </w:rPr>
        <w:t>. This Sublease contains the entire agreement of the parties with respect to the subject matter of this Sublease, and no representations, inducements, promises or agreements, oral or otherwise, between the parties not embodied herein shall be of any force or effect. This Sublease supersedes and cancels any and all previous negotiations, arrangements, brochures, agreements, and understandings, if any, between the parties hereto or displayed by Sublandlord to Subtenant with respect to the subject matter thereof, and none thereof shall be used to interpret or construe this Sublease. This Sublease may not be altered, waived, amended or extended except by an instrument in writing signed by Sublandlord and Subtenant. This Sublease is not in recordable form, and Subtenant agrees not to record or cause to be recorded this Sublease or any short form or memorandum thereof.</w:t>
      </w:r>
    </w:p>
    <w:p>
      <w:pPr>
        <w:spacing w:after="0" w:line="34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141605</wp:posOffset>
            </wp:positionV>
            <wp:extent cx="694055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6940550" cy="42545"/>
                    </a:xfrm>
                    <a:prstGeom prst="rect">
                      <a:avLst/>
                    </a:prstGeom>
                    <a:noFill/>
                  </pic:spPr>
                </pic:pic>
              </a:graphicData>
            </a:graphic>
          </wp:anchor>
        </w:drawing>
      </w:r>
    </w:p>
    <w:p>
      <w:pPr>
        <w:sectPr>
          <w:pgSz w:w="11900" w:h="16838" w:orient="portrait"/>
          <w:cols w:equalWidth="0" w:num="1">
            <w:col w:w="9580"/>
          </w:cols>
          <w:pgMar w:left="1160" w:top="751" w:right="115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231F20"/>
              </w:rPr>
              <w:t>17.15</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780" w:type="dxa"/>
            <w:vAlign w:val="bottom"/>
            <w:gridSpan w:val="22"/>
          </w:tcPr>
          <w:p>
            <w:pPr>
              <w:jc w:val="right"/>
              <w:spacing w:after="0"/>
              <w:rPr>
                <w:sz w:val="20"/>
                <w:szCs w:val="20"/>
                <w:color w:val="auto"/>
              </w:rPr>
            </w:pPr>
            <w:r>
              <w:rPr>
                <w:rFonts w:ascii="Times New Roman" w:cs="Times New Roman" w:eastAsia="Times New Roman" w:hAnsi="Times New Roman"/>
                <w:sz w:val="14"/>
                <w:szCs w:val="14"/>
                <w:color w:val="231F20"/>
              </w:rPr>
              <w:t>Headings. The use of headings herein is solely for the convenience of indexing the various paragraphs hereof and shall in no event be</w:t>
            </w:r>
          </w:p>
        </w:tc>
        <w:tc>
          <w:tcPr>
            <w:tcW w:w="0" w:type="dxa"/>
            <w:vAlign w:val="bottom"/>
          </w:tcPr>
          <w:p>
            <w:pPr>
              <w:spacing w:after="0"/>
              <w:rPr>
                <w:sz w:val="1"/>
                <w:szCs w:val="1"/>
                <w:color w:val="auto"/>
              </w:rPr>
            </w:pPr>
          </w:p>
        </w:tc>
      </w:tr>
      <w:tr>
        <w:trPr>
          <w:trHeight w:val="20"/>
        </w:trPr>
        <w:tc>
          <w:tcPr>
            <w:tcW w:w="1800" w:type="dxa"/>
            <w:vAlign w:val="bottom"/>
            <w:gridSpan w:val="6"/>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420" w:type="dxa"/>
            <w:vAlign w:val="bottom"/>
            <w:gridSpan w:val="2"/>
            <w:shd w:val="clear" w:color="auto" w:fill="231F20"/>
          </w:tcPr>
          <w:p>
            <w:pPr>
              <w:spacing w:after="0" w:line="20" w:lineRule="exact"/>
              <w:rPr>
                <w:sz w:val="1"/>
                <w:szCs w:val="1"/>
                <w:color w:val="auto"/>
              </w:rPr>
            </w:pPr>
          </w:p>
        </w:tc>
        <w:tc>
          <w:tcPr>
            <w:tcW w:w="2000" w:type="dxa"/>
            <w:vAlign w:val="bottom"/>
            <w:gridSpan w:val="6"/>
            <w:vMerge w:val="restart"/>
          </w:tcPr>
          <w:p>
            <w:pPr>
              <w:jc w:val="center"/>
              <w:ind w:right="188"/>
              <w:spacing w:after="0"/>
              <w:rPr>
                <w:sz w:val="20"/>
                <w:szCs w:val="20"/>
                <w:color w:val="auto"/>
              </w:rPr>
            </w:pPr>
            <w:r>
              <w:rPr>
                <w:rFonts w:ascii="Times New Roman" w:cs="Times New Roman" w:eastAsia="Times New Roman" w:hAnsi="Times New Roman"/>
                <w:sz w:val="14"/>
                <w:szCs w:val="14"/>
                <w:color w:val="231F20"/>
              </w:rPr>
              <w:t>any provision of this Sublease.</w:t>
            </w: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340" w:type="dxa"/>
            <w:vAlign w:val="bottom"/>
            <w:gridSpan w:val="9"/>
          </w:tcPr>
          <w:p>
            <w:pPr>
              <w:spacing w:after="0"/>
              <w:rPr>
                <w:sz w:val="20"/>
                <w:szCs w:val="20"/>
                <w:color w:val="auto"/>
              </w:rPr>
            </w:pPr>
            <w:r>
              <w:rPr>
                <w:rFonts w:ascii="Times New Roman" w:cs="Times New Roman" w:eastAsia="Times New Roman" w:hAnsi="Times New Roman"/>
                <w:sz w:val="14"/>
                <w:szCs w:val="14"/>
                <w:color w:val="231F20"/>
              </w:rPr>
              <w:t>considered in construing or interpreting</w:t>
            </w:r>
          </w:p>
        </w:tc>
        <w:tc>
          <w:tcPr>
            <w:tcW w:w="2000" w:type="dxa"/>
            <w:vAlign w:val="bottom"/>
            <w:gridSpan w:val="6"/>
            <w:vMerge w:val="continue"/>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231F20"/>
              </w:rPr>
              <w:t>17.16</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20" w:type="dxa"/>
            <w:vAlign w:val="bottom"/>
            <w:gridSpan w:val="21"/>
          </w:tcPr>
          <w:p>
            <w:pPr>
              <w:spacing w:after="0"/>
              <w:rPr>
                <w:sz w:val="20"/>
                <w:szCs w:val="20"/>
                <w:color w:val="auto"/>
              </w:rPr>
            </w:pPr>
            <w:r>
              <w:rPr>
                <w:rFonts w:ascii="Times New Roman" w:cs="Times New Roman" w:eastAsia="Times New Roman" w:hAnsi="Times New Roman"/>
                <w:sz w:val="14"/>
                <w:szCs w:val="14"/>
                <w:color w:val="231F20"/>
              </w:rPr>
              <w:t>Governing Law. The laws of the State of California shall govern the validity, performance and enforcement of this Sublease.</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780" w:type="dxa"/>
            <w:vAlign w:val="bottom"/>
            <w:gridSpan w:val="4"/>
            <w:shd w:val="clear" w:color="auto" w:fill="231F20"/>
          </w:tcPr>
          <w:p>
            <w:pPr>
              <w:spacing w:after="0" w:line="20" w:lineRule="exact"/>
              <w:rPr>
                <w:sz w:val="1"/>
                <w:szCs w:val="1"/>
                <w:color w:val="auto"/>
              </w:rPr>
            </w:pPr>
          </w:p>
        </w:tc>
        <w:tc>
          <w:tcPr>
            <w:tcW w:w="688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780" w:type="dxa"/>
            <w:vAlign w:val="bottom"/>
            <w:gridSpan w:val="26"/>
          </w:tcPr>
          <w:p>
            <w:pPr>
              <w:jc w:val="right"/>
              <w:spacing w:after="0"/>
              <w:rPr>
                <w:sz w:val="20"/>
                <w:szCs w:val="20"/>
                <w:color w:val="auto"/>
              </w:rPr>
            </w:pPr>
            <w:r>
              <w:rPr>
                <w:rFonts w:ascii="Times New Roman" w:cs="Times New Roman" w:eastAsia="Times New Roman" w:hAnsi="Times New Roman"/>
                <w:sz w:val="14"/>
                <w:szCs w:val="14"/>
                <w:color w:val="231F20"/>
              </w:rPr>
              <w:t>16.18 Non-Waiver. No waiver of any provision of this Sublease shall be implied by any failure of Sublandlord or Subtenant to enforce any remedy on</w:t>
            </w:r>
          </w:p>
        </w:tc>
        <w:tc>
          <w:tcPr>
            <w:tcW w:w="0" w:type="dxa"/>
            <w:vAlign w:val="bottom"/>
          </w:tcPr>
          <w:p>
            <w:pPr>
              <w:spacing w:after="0"/>
              <w:rPr>
                <w:sz w:val="1"/>
                <w:szCs w:val="1"/>
                <w:color w:val="auto"/>
              </w:rPr>
            </w:pPr>
          </w:p>
        </w:tc>
      </w:tr>
      <w:tr>
        <w:trPr>
          <w:trHeight w:val="151"/>
        </w:trPr>
        <w:tc>
          <w:tcPr>
            <w:tcW w:w="4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231F20"/>
              </w:rPr>
              <w:t>account</w:t>
            </w:r>
          </w:p>
        </w:tc>
        <w:tc>
          <w:tcPr>
            <w:tcW w:w="340" w:type="dxa"/>
            <w:vAlign w:val="bottom"/>
          </w:tcPr>
          <w:p>
            <w:pPr>
              <w:ind w:left="140"/>
              <w:spacing w:after="0" w:line="151" w:lineRule="exact"/>
              <w:rPr>
                <w:sz w:val="20"/>
                <w:szCs w:val="20"/>
                <w:color w:val="auto"/>
              </w:rPr>
            </w:pPr>
            <w:r>
              <w:rPr>
                <w:rFonts w:ascii="Times New Roman" w:cs="Times New Roman" w:eastAsia="Times New Roman" w:hAnsi="Times New Roman"/>
                <w:sz w:val="14"/>
                <w:szCs w:val="14"/>
                <w:color w:val="231F20"/>
              </w:rPr>
              <w:t>of</w:t>
            </w:r>
          </w:p>
        </w:tc>
        <w:tc>
          <w:tcPr>
            <w:tcW w:w="420" w:type="dxa"/>
            <w:vAlign w:val="bottom"/>
            <w:gridSpan w:val="2"/>
          </w:tcPr>
          <w:p>
            <w:pPr>
              <w:ind w:left="100"/>
              <w:spacing w:after="0" w:line="151" w:lineRule="exact"/>
              <w:rPr>
                <w:sz w:val="20"/>
                <w:szCs w:val="20"/>
                <w:color w:val="auto"/>
              </w:rPr>
            </w:pPr>
            <w:r>
              <w:rPr>
                <w:rFonts w:ascii="Times New Roman" w:cs="Times New Roman" w:eastAsia="Times New Roman" w:hAnsi="Times New Roman"/>
                <w:sz w:val="14"/>
                <w:szCs w:val="14"/>
                <w:color w:val="231F20"/>
              </w:rPr>
              <w:t>the</w:t>
            </w:r>
          </w:p>
        </w:tc>
        <w:tc>
          <w:tcPr>
            <w:tcW w:w="540" w:type="dxa"/>
            <w:vAlign w:val="bottom"/>
            <w:tcBorders>
              <w:top w:val="single" w:sz="8" w:color="231F20"/>
            </w:tcBorders>
          </w:tcPr>
          <w:p>
            <w:pPr>
              <w:ind w:left="20"/>
              <w:spacing w:after="0" w:line="151" w:lineRule="exact"/>
              <w:rPr>
                <w:sz w:val="20"/>
                <w:szCs w:val="20"/>
                <w:color w:val="auto"/>
              </w:rPr>
            </w:pPr>
            <w:r>
              <w:rPr>
                <w:rFonts w:ascii="Times New Roman" w:cs="Times New Roman" w:eastAsia="Times New Roman" w:hAnsi="Times New Roman"/>
                <w:sz w:val="14"/>
                <w:szCs w:val="14"/>
                <w:color w:val="231F20"/>
              </w:rPr>
              <w:t>violation</w:t>
            </w:r>
          </w:p>
        </w:tc>
        <w:tc>
          <w:tcPr>
            <w:tcW w:w="40" w:type="dxa"/>
            <w:vAlign w:val="bottom"/>
            <w:tcBorders>
              <w:top w:val="single" w:sz="8" w:color="231F20"/>
            </w:tcBorders>
          </w:tcPr>
          <w:p>
            <w:pPr>
              <w:spacing w:after="0"/>
              <w:rPr>
                <w:sz w:val="13"/>
                <w:szCs w:val="13"/>
                <w:color w:val="auto"/>
              </w:rPr>
            </w:pPr>
          </w:p>
        </w:tc>
        <w:tc>
          <w:tcPr>
            <w:tcW w:w="120" w:type="dxa"/>
            <w:vAlign w:val="bottom"/>
            <w:tcBorders>
              <w:top w:val="single" w:sz="8" w:color="231F20"/>
            </w:tcBorders>
          </w:tcPr>
          <w:p>
            <w:pPr>
              <w:spacing w:after="0"/>
              <w:rPr>
                <w:sz w:val="13"/>
                <w:szCs w:val="13"/>
                <w:color w:val="auto"/>
              </w:rPr>
            </w:pPr>
          </w:p>
        </w:tc>
        <w:tc>
          <w:tcPr>
            <w:tcW w:w="220" w:type="dxa"/>
            <w:vAlign w:val="bottom"/>
          </w:tcPr>
          <w:p>
            <w:pPr>
              <w:jc w:val="center"/>
              <w:ind w:right="28"/>
              <w:spacing w:after="0" w:line="151" w:lineRule="exact"/>
              <w:rPr>
                <w:sz w:val="20"/>
                <w:szCs w:val="20"/>
                <w:color w:val="auto"/>
              </w:rPr>
            </w:pPr>
            <w:r>
              <w:rPr>
                <w:rFonts w:ascii="Times New Roman" w:cs="Times New Roman" w:eastAsia="Times New Roman" w:hAnsi="Times New Roman"/>
                <w:sz w:val="14"/>
                <w:szCs w:val="14"/>
                <w:color w:val="231F20"/>
              </w:rPr>
              <w:t>of</w:t>
            </w:r>
          </w:p>
        </w:tc>
        <w:tc>
          <w:tcPr>
            <w:tcW w:w="400" w:type="dxa"/>
            <w:vAlign w:val="bottom"/>
            <w:gridSpan w:val="2"/>
          </w:tcPr>
          <w:p>
            <w:pPr>
              <w:ind w:left="60"/>
              <w:spacing w:after="0" w:line="151" w:lineRule="exact"/>
              <w:rPr>
                <w:sz w:val="20"/>
                <w:szCs w:val="20"/>
                <w:color w:val="auto"/>
              </w:rPr>
            </w:pPr>
            <w:r>
              <w:rPr>
                <w:rFonts w:ascii="Times New Roman" w:cs="Times New Roman" w:eastAsia="Times New Roman" w:hAnsi="Times New Roman"/>
                <w:sz w:val="14"/>
                <w:szCs w:val="14"/>
                <w:color w:val="231F20"/>
              </w:rPr>
              <w:t>such</w:t>
            </w:r>
          </w:p>
        </w:tc>
        <w:tc>
          <w:tcPr>
            <w:tcW w:w="820" w:type="dxa"/>
            <w:vAlign w:val="bottom"/>
            <w:gridSpan w:val="3"/>
          </w:tcPr>
          <w:p>
            <w:pPr>
              <w:ind w:left="80"/>
              <w:spacing w:after="0" w:line="151" w:lineRule="exact"/>
              <w:rPr>
                <w:sz w:val="20"/>
                <w:szCs w:val="20"/>
                <w:color w:val="auto"/>
              </w:rPr>
            </w:pPr>
            <w:r>
              <w:rPr>
                <w:rFonts w:ascii="Times New Roman" w:cs="Times New Roman" w:eastAsia="Times New Roman" w:hAnsi="Times New Roman"/>
                <w:sz w:val="14"/>
                <w:szCs w:val="14"/>
                <w:color w:val="231F20"/>
              </w:rPr>
              <w:t>provision,</w:t>
            </w:r>
          </w:p>
        </w:tc>
        <w:tc>
          <w:tcPr>
            <w:tcW w:w="56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color w:val="231F20"/>
              </w:rPr>
              <w:t>even   if</w:t>
            </w:r>
          </w:p>
        </w:tc>
        <w:tc>
          <w:tcPr>
            <w:tcW w:w="420" w:type="dxa"/>
            <w:vAlign w:val="bottom"/>
          </w:tcPr>
          <w:p>
            <w:pPr>
              <w:ind w:left="140"/>
              <w:spacing w:after="0" w:line="151" w:lineRule="exact"/>
              <w:rPr>
                <w:sz w:val="20"/>
                <w:szCs w:val="20"/>
                <w:color w:val="auto"/>
              </w:rPr>
            </w:pPr>
            <w:r>
              <w:rPr>
                <w:rFonts w:ascii="Times New Roman" w:cs="Times New Roman" w:eastAsia="Times New Roman" w:hAnsi="Times New Roman"/>
                <w:sz w:val="14"/>
                <w:szCs w:val="14"/>
                <w:color w:val="231F20"/>
              </w:rPr>
              <w:t>such</w:t>
            </w:r>
          </w:p>
        </w:tc>
        <w:tc>
          <w:tcPr>
            <w:tcW w:w="700" w:type="dxa"/>
            <w:vAlign w:val="bottom"/>
            <w:gridSpan w:val="2"/>
          </w:tcPr>
          <w:p>
            <w:pPr>
              <w:ind w:left="160"/>
              <w:spacing w:after="0" w:line="151" w:lineRule="exact"/>
              <w:rPr>
                <w:sz w:val="20"/>
                <w:szCs w:val="20"/>
                <w:color w:val="auto"/>
              </w:rPr>
            </w:pPr>
            <w:r>
              <w:rPr>
                <w:rFonts w:ascii="Times New Roman" w:cs="Times New Roman" w:eastAsia="Times New Roman" w:hAnsi="Times New Roman"/>
                <w:sz w:val="14"/>
                <w:szCs w:val="14"/>
                <w:color w:val="231F20"/>
              </w:rPr>
              <w:t>violation</w:t>
            </w:r>
          </w:p>
        </w:tc>
        <w:tc>
          <w:tcPr>
            <w:tcW w:w="560" w:type="dxa"/>
            <w:vAlign w:val="bottom"/>
          </w:tcPr>
          <w:p>
            <w:pPr>
              <w:ind w:left="120"/>
              <w:spacing w:after="0" w:line="151" w:lineRule="exact"/>
              <w:rPr>
                <w:sz w:val="20"/>
                <w:szCs w:val="20"/>
                <w:color w:val="auto"/>
              </w:rPr>
            </w:pPr>
            <w:r>
              <w:rPr>
                <w:rFonts w:ascii="Times New Roman" w:cs="Times New Roman" w:eastAsia="Times New Roman" w:hAnsi="Times New Roman"/>
                <w:sz w:val="14"/>
                <w:szCs w:val="14"/>
                <w:color w:val="231F20"/>
              </w:rPr>
              <w:t>shall</w:t>
            </w:r>
          </w:p>
        </w:tc>
        <w:tc>
          <w:tcPr>
            <w:tcW w:w="5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231F20"/>
                <w:w w:val="99"/>
              </w:rPr>
              <w:t>continue</w:t>
            </w:r>
          </w:p>
        </w:tc>
        <w:tc>
          <w:tcPr>
            <w:tcW w:w="720" w:type="dxa"/>
            <w:vAlign w:val="bottom"/>
            <w:gridSpan w:val="2"/>
          </w:tcPr>
          <w:p>
            <w:pPr>
              <w:ind w:left="140"/>
              <w:spacing w:after="0" w:line="151" w:lineRule="exact"/>
              <w:rPr>
                <w:sz w:val="20"/>
                <w:szCs w:val="20"/>
                <w:color w:val="auto"/>
              </w:rPr>
            </w:pPr>
            <w:r>
              <w:rPr>
                <w:rFonts w:ascii="Times New Roman" w:cs="Times New Roman" w:eastAsia="Times New Roman" w:hAnsi="Times New Roman"/>
                <w:sz w:val="14"/>
                <w:szCs w:val="14"/>
                <w:color w:val="231F20"/>
              </w:rPr>
              <w:t>or   be</w:t>
            </w:r>
          </w:p>
        </w:tc>
        <w:tc>
          <w:tcPr>
            <w:tcW w:w="54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color w:val="231F20"/>
              </w:rPr>
              <w:t>repeated</w:t>
            </w:r>
          </w:p>
        </w:tc>
        <w:tc>
          <w:tcPr>
            <w:tcW w:w="1060" w:type="dxa"/>
            <w:vAlign w:val="bottom"/>
            <w:gridSpan w:val="3"/>
          </w:tcPr>
          <w:p>
            <w:pPr>
              <w:ind w:left="120"/>
              <w:spacing w:after="0" w:line="151" w:lineRule="exact"/>
              <w:rPr>
                <w:sz w:val="20"/>
                <w:szCs w:val="20"/>
                <w:color w:val="auto"/>
              </w:rPr>
            </w:pPr>
            <w:r>
              <w:rPr>
                <w:rFonts w:ascii="Times New Roman" w:cs="Times New Roman" w:eastAsia="Times New Roman" w:hAnsi="Times New Roman"/>
                <w:sz w:val="14"/>
                <w:szCs w:val="14"/>
                <w:color w:val="231F20"/>
              </w:rPr>
              <w:t>subsequently.</w:t>
            </w:r>
          </w:p>
        </w:tc>
        <w:tc>
          <w:tcPr>
            <w:tcW w:w="420" w:type="dxa"/>
            <w:vAlign w:val="bottom"/>
          </w:tcPr>
          <w:p>
            <w:pPr>
              <w:jc w:val="right"/>
              <w:ind w:right="88"/>
              <w:spacing w:after="0" w:line="151" w:lineRule="exact"/>
              <w:rPr>
                <w:sz w:val="20"/>
                <w:szCs w:val="20"/>
                <w:color w:val="auto"/>
              </w:rPr>
            </w:pPr>
            <w:r>
              <w:rPr>
                <w:rFonts w:ascii="Times New Roman" w:cs="Times New Roman" w:eastAsia="Times New Roman" w:hAnsi="Times New Roman"/>
                <w:sz w:val="14"/>
                <w:szCs w:val="14"/>
                <w:color w:val="231F20"/>
                <w:w w:val="99"/>
              </w:rPr>
              <w:t>Any</w:t>
            </w:r>
          </w:p>
        </w:tc>
        <w:tc>
          <w:tcPr>
            <w:tcW w:w="4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231F20"/>
              </w:rPr>
              <w:t>waiver</w:t>
            </w:r>
          </w:p>
        </w:tc>
        <w:tc>
          <w:tcPr>
            <w:tcW w:w="2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231F20"/>
              </w:rPr>
              <w:t>by</w:t>
            </w:r>
          </w:p>
        </w:tc>
        <w:tc>
          <w:tcPr>
            <w:tcW w:w="0" w:type="dxa"/>
            <w:vAlign w:val="bottom"/>
          </w:tcPr>
          <w:p>
            <w:pPr>
              <w:spacing w:after="0"/>
              <w:rPr>
                <w:sz w:val="1"/>
                <w:szCs w:val="1"/>
                <w:color w:val="auto"/>
              </w:rPr>
            </w:pPr>
          </w:p>
        </w:tc>
      </w:tr>
      <w:tr>
        <w:trPr>
          <w:trHeight w:val="162"/>
        </w:trPr>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color w:val="231F20"/>
              </w:rPr>
              <w:t>Sublandlord</w:t>
            </w:r>
          </w:p>
        </w:tc>
        <w:tc>
          <w:tcPr>
            <w:tcW w:w="140" w:type="dxa"/>
            <w:vAlign w:val="bottom"/>
          </w:tcPr>
          <w:p>
            <w:pPr>
              <w:spacing w:after="0"/>
              <w:rPr>
                <w:sz w:val="14"/>
                <w:szCs w:val="14"/>
                <w:color w:val="auto"/>
              </w:rPr>
            </w:pPr>
          </w:p>
        </w:tc>
        <w:tc>
          <w:tcPr>
            <w:tcW w:w="2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231F20"/>
              </w:rPr>
              <w:t>or</w:t>
            </w:r>
          </w:p>
        </w:tc>
        <w:tc>
          <w:tcPr>
            <w:tcW w:w="92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231F20"/>
              </w:rPr>
              <w:t>Subtenant</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231F20"/>
              </w:rPr>
              <w:t>of</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231F20"/>
              </w:rPr>
              <w:t>any</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231F20"/>
              </w:rPr>
              <w:t>provision</w:t>
            </w: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of</w:t>
            </w: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231F20"/>
                <w:w w:val="98"/>
              </w:rPr>
              <w:t>this</w:t>
            </w: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231F20"/>
              </w:rPr>
              <w:t>Sublease</w:t>
            </w:r>
          </w:p>
        </w:tc>
        <w:tc>
          <w:tcPr>
            <w:tcW w:w="5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231F20"/>
                <w:w w:val="99"/>
              </w:rPr>
              <w:t>may</w:t>
            </w: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only</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231F20"/>
              </w:rPr>
              <w:t>be</w:t>
            </w:r>
          </w:p>
        </w:tc>
        <w:tc>
          <w:tcPr>
            <w:tcW w:w="540" w:type="dxa"/>
            <w:vAlign w:val="bottom"/>
          </w:tcPr>
          <w:p>
            <w:pPr>
              <w:ind w:left="260"/>
              <w:spacing w:after="0"/>
              <w:rPr>
                <w:sz w:val="20"/>
                <w:szCs w:val="20"/>
                <w:color w:val="auto"/>
              </w:rPr>
            </w:pPr>
            <w:r>
              <w:rPr>
                <w:rFonts w:ascii="Times New Roman" w:cs="Times New Roman" w:eastAsia="Times New Roman" w:hAnsi="Times New Roman"/>
                <w:sz w:val="14"/>
                <w:szCs w:val="14"/>
                <w:color w:val="231F20"/>
              </w:rPr>
              <w:t>in</w:t>
            </w:r>
          </w:p>
        </w:tc>
        <w:tc>
          <w:tcPr>
            <w:tcW w:w="8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231F20"/>
              </w:rPr>
              <w:t>writing,</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231F20"/>
                <w:w w:val="98"/>
              </w:rPr>
              <w:t>and</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no</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express</w:t>
            </w:r>
          </w:p>
        </w:tc>
        <w:tc>
          <w:tcPr>
            <w:tcW w:w="0" w:type="dxa"/>
            <w:vAlign w:val="bottom"/>
          </w:tcPr>
          <w:p>
            <w:pPr>
              <w:spacing w:after="0"/>
              <w:rPr>
                <w:sz w:val="1"/>
                <w:szCs w:val="1"/>
                <w:color w:val="auto"/>
              </w:rPr>
            </w:pPr>
          </w:p>
        </w:tc>
      </w:tr>
      <w:tr>
        <w:trPr>
          <w:trHeight w:val="162"/>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231F20"/>
              </w:rPr>
              <w:t>waiver</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231F20"/>
              </w:rPr>
              <w:t>shall</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231F20"/>
              </w:rPr>
              <w:t>affect</w:t>
            </w:r>
          </w:p>
        </w:tc>
        <w:tc>
          <w:tcPr>
            <w:tcW w:w="380" w:type="dxa"/>
            <w:vAlign w:val="bottom"/>
            <w:gridSpan w:val="3"/>
          </w:tcPr>
          <w:p>
            <w:pPr>
              <w:spacing w:after="0"/>
              <w:rPr>
                <w:sz w:val="20"/>
                <w:szCs w:val="20"/>
                <w:color w:val="auto"/>
              </w:rPr>
            </w:pPr>
            <w:r>
              <w:rPr>
                <w:rFonts w:ascii="Times New Roman" w:cs="Times New Roman" w:eastAsia="Times New Roman" w:hAnsi="Times New Roman"/>
                <w:sz w:val="14"/>
                <w:szCs w:val="14"/>
                <w:color w:val="231F20"/>
              </w:rPr>
              <w:t>any</w:t>
            </w: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231F20"/>
              </w:rPr>
              <w:t>provision</w:t>
            </w:r>
          </w:p>
        </w:tc>
        <w:tc>
          <w:tcPr>
            <w:tcW w:w="4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231F20"/>
              </w:rPr>
              <w:t>other</w:t>
            </w:r>
          </w:p>
        </w:tc>
        <w:tc>
          <w:tcPr>
            <w:tcW w:w="560" w:type="dxa"/>
            <w:vAlign w:val="bottom"/>
          </w:tcPr>
          <w:p>
            <w:pPr>
              <w:ind w:left="260"/>
              <w:spacing w:after="0"/>
              <w:rPr>
                <w:sz w:val="20"/>
                <w:szCs w:val="20"/>
                <w:color w:val="auto"/>
              </w:rPr>
            </w:pPr>
            <w:r>
              <w:rPr>
                <w:rFonts w:ascii="Times New Roman" w:cs="Times New Roman" w:eastAsia="Times New Roman" w:hAnsi="Times New Roman"/>
                <w:sz w:val="14"/>
                <w:szCs w:val="14"/>
                <w:color w:val="231F20"/>
              </w:rPr>
              <w:t>than</w:t>
            </w:r>
          </w:p>
        </w:tc>
        <w:tc>
          <w:tcPr>
            <w:tcW w:w="42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231F20"/>
              </w:rPr>
              <w:t>the</w:t>
            </w:r>
          </w:p>
        </w:tc>
        <w:tc>
          <w:tcPr>
            <w:tcW w:w="220" w:type="dxa"/>
            <w:vAlign w:val="bottom"/>
          </w:tcPr>
          <w:p>
            <w:pPr>
              <w:spacing w:after="0"/>
              <w:rPr>
                <w:sz w:val="14"/>
                <w:szCs w:val="1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one</w:t>
            </w: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specified</w:t>
            </w:r>
          </w:p>
        </w:tc>
        <w:tc>
          <w:tcPr>
            <w:tcW w:w="5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231F20"/>
              </w:rPr>
              <w:t>in</w:t>
            </w:r>
          </w:p>
        </w:tc>
        <w:tc>
          <w:tcPr>
            <w:tcW w:w="560" w:type="dxa"/>
            <w:vAlign w:val="bottom"/>
          </w:tcPr>
          <w:p>
            <w:pPr>
              <w:ind w:left="120"/>
              <w:spacing w:after="0"/>
              <w:rPr>
                <w:sz w:val="20"/>
                <w:szCs w:val="20"/>
                <w:color w:val="auto"/>
              </w:rPr>
            </w:pPr>
            <w:r>
              <w:rPr>
                <w:rFonts w:ascii="Times New Roman" w:cs="Times New Roman" w:eastAsia="Times New Roman" w:hAnsi="Times New Roman"/>
                <w:sz w:val="14"/>
                <w:szCs w:val="14"/>
                <w:color w:val="231F20"/>
              </w:rPr>
              <w:t>such</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231F20"/>
              </w:rPr>
              <w:t>waiver</w:t>
            </w:r>
          </w:p>
        </w:tc>
        <w:tc>
          <w:tcPr>
            <w:tcW w:w="40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and</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that</w:t>
            </w:r>
          </w:p>
        </w:tc>
        <w:tc>
          <w:tcPr>
            <w:tcW w:w="6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231F20"/>
              </w:rPr>
              <w:t>one</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only</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for</w:t>
            </w:r>
          </w:p>
        </w:tc>
        <w:tc>
          <w:tcPr>
            <w:tcW w:w="0" w:type="dxa"/>
            <w:vAlign w:val="bottom"/>
          </w:tcPr>
          <w:p>
            <w:pPr>
              <w:spacing w:after="0"/>
              <w:rPr>
                <w:sz w:val="1"/>
                <w:szCs w:val="1"/>
                <w:color w:val="auto"/>
              </w:rPr>
            </w:pPr>
          </w:p>
        </w:tc>
      </w:tr>
      <w:tr>
        <w:trPr>
          <w:trHeight w:val="178"/>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231F20"/>
              </w:rPr>
              <w:t>the</w:t>
            </w: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231F20"/>
              </w:rPr>
              <w:t>time</w:t>
            </w:r>
          </w:p>
        </w:tc>
        <w:tc>
          <w:tcPr>
            <w:tcW w:w="140" w:type="dxa"/>
            <w:vAlign w:val="bottom"/>
          </w:tcPr>
          <w:p>
            <w:pPr>
              <w:spacing w:after="0"/>
              <w:rPr>
                <w:sz w:val="15"/>
                <w:szCs w:val="15"/>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4"/>
                <w:szCs w:val="14"/>
                <w:color w:val="231F20"/>
                <w:w w:val="98"/>
              </w:rPr>
              <w:t>and</w:t>
            </w:r>
          </w:p>
        </w:tc>
        <w:tc>
          <w:tcPr>
            <w:tcW w:w="540" w:type="dxa"/>
            <w:vAlign w:val="bottom"/>
          </w:tcPr>
          <w:p>
            <w:pPr>
              <w:ind w:left="280"/>
              <w:spacing w:after="0"/>
              <w:rPr>
                <w:sz w:val="20"/>
                <w:szCs w:val="20"/>
                <w:color w:val="auto"/>
              </w:rPr>
            </w:pPr>
            <w:r>
              <w:rPr>
                <w:rFonts w:ascii="Times New Roman" w:cs="Times New Roman" w:eastAsia="Times New Roman" w:hAnsi="Times New Roman"/>
                <w:sz w:val="14"/>
                <w:szCs w:val="14"/>
                <w:color w:val="231F20"/>
              </w:rPr>
              <w:t>in</w:t>
            </w:r>
          </w:p>
        </w:tc>
        <w:tc>
          <w:tcPr>
            <w:tcW w:w="40" w:type="dxa"/>
            <w:vAlign w:val="bottom"/>
          </w:tcPr>
          <w:p>
            <w:pPr>
              <w:spacing w:after="0"/>
              <w:rPr>
                <w:sz w:val="15"/>
                <w:szCs w:val="15"/>
                <w:color w:val="auto"/>
              </w:rPr>
            </w:pP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231F20"/>
              </w:rPr>
              <w:t>the</w:t>
            </w:r>
          </w:p>
        </w:tc>
        <w:tc>
          <w:tcPr>
            <w:tcW w:w="200" w:type="dxa"/>
            <w:vAlign w:val="bottom"/>
          </w:tcPr>
          <w:p>
            <w:pPr>
              <w:spacing w:after="0"/>
              <w:rPr>
                <w:sz w:val="15"/>
                <w:szCs w:val="15"/>
                <w:color w:val="auto"/>
              </w:rPr>
            </w:pP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231F20"/>
              </w:rPr>
              <w:t>manner</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231F20"/>
              </w:rPr>
              <w:t>specifically</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231F20"/>
                <w:w w:val="99"/>
              </w:rPr>
              <w:t>stated.</w:t>
            </w:r>
          </w:p>
        </w:tc>
        <w:tc>
          <w:tcPr>
            <w:tcW w:w="48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No</w:t>
            </w:r>
          </w:p>
        </w:tc>
        <w:tc>
          <w:tcPr>
            <w:tcW w:w="560" w:type="dxa"/>
            <w:vAlign w:val="bottom"/>
          </w:tcPr>
          <w:p>
            <w:pPr>
              <w:ind w:left="120"/>
              <w:spacing w:after="0"/>
              <w:rPr>
                <w:sz w:val="20"/>
                <w:szCs w:val="20"/>
                <w:color w:val="auto"/>
              </w:rPr>
            </w:pPr>
            <w:r>
              <w:rPr>
                <w:rFonts w:ascii="Times New Roman" w:cs="Times New Roman" w:eastAsia="Times New Roman" w:hAnsi="Times New Roman"/>
                <w:sz w:val="14"/>
                <w:szCs w:val="14"/>
                <w:color w:val="231F20"/>
              </w:rPr>
              <w:t>receipt</w:t>
            </w:r>
          </w:p>
        </w:tc>
        <w:tc>
          <w:tcPr>
            <w:tcW w:w="5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231F20"/>
              </w:rPr>
              <w:t>of</w:t>
            </w:r>
          </w:p>
        </w:tc>
        <w:tc>
          <w:tcPr>
            <w:tcW w:w="560" w:type="dxa"/>
            <w:vAlign w:val="bottom"/>
          </w:tcPr>
          <w:p>
            <w:pPr>
              <w:ind w:left="140"/>
              <w:spacing w:after="0"/>
              <w:rPr>
                <w:sz w:val="20"/>
                <w:szCs w:val="20"/>
                <w:color w:val="auto"/>
              </w:rPr>
            </w:pPr>
            <w:r>
              <w:rPr>
                <w:rFonts w:ascii="Times New Roman" w:cs="Times New Roman" w:eastAsia="Times New Roman" w:hAnsi="Times New Roman"/>
                <w:sz w:val="14"/>
                <w:szCs w:val="14"/>
                <w:color w:val="231F20"/>
                <w:w w:val="98"/>
              </w:rPr>
              <w:t>monies</w:t>
            </w:r>
          </w:p>
        </w:tc>
        <w:tc>
          <w:tcPr>
            <w:tcW w:w="16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by</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Sublandlord</w:t>
            </w:r>
          </w:p>
        </w:tc>
        <w:tc>
          <w:tcPr>
            <w:tcW w:w="6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231F20"/>
              </w:rPr>
              <w:t>from</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Subtenant</w:t>
            </w:r>
          </w:p>
        </w:tc>
        <w:tc>
          <w:tcPr>
            <w:tcW w:w="0" w:type="dxa"/>
            <w:vAlign w:val="bottom"/>
          </w:tcPr>
          <w:p>
            <w:pPr>
              <w:spacing w:after="0"/>
              <w:rPr>
                <w:sz w:val="1"/>
                <w:szCs w:val="1"/>
                <w:color w:val="auto"/>
              </w:rPr>
            </w:pPr>
          </w:p>
        </w:tc>
      </w:tr>
    </w:tbl>
    <w:p>
      <w:pPr>
        <w:jc w:val="both"/>
        <w:ind w:right="20"/>
        <w:spacing w:after="0" w:line="247" w:lineRule="auto"/>
        <w:rPr>
          <w:sz w:val="20"/>
          <w:szCs w:val="20"/>
          <w:color w:val="auto"/>
        </w:rPr>
      </w:pPr>
      <w:r>
        <w:rPr>
          <w:rFonts w:ascii="Times New Roman" w:cs="Times New Roman" w:eastAsia="Times New Roman" w:hAnsi="Times New Roman"/>
          <w:sz w:val="14"/>
          <w:szCs w:val="14"/>
          <w:color w:val="231F20"/>
        </w:rPr>
        <w:t>after the termination of this Sublease shall in any way alter the length of the Term or of Subtenant’s right of possession hereunder or after the giving of any notice shall reinstate, continue or extend the Term or affect any notice given Subtenant prior to the receipt of such monies, it being agreed that after the service of notice or the commencement of a suit or after final judgment for possession of the Subleased Premises, Sublandlord may receive and collect any Rent due, and the payment of said Rent shall not waive or affect said notice, suit or judgment.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17.17</w:t>
            </w:r>
          </w:p>
        </w:tc>
        <w:tc>
          <w:tcPr>
            <w:tcW w:w="440" w:type="dxa"/>
            <w:vAlign w:val="bottom"/>
          </w:tcPr>
          <w:p>
            <w:pPr>
              <w:spacing w:after="0"/>
              <w:rPr>
                <w:sz w:val="13"/>
                <w:szCs w:val="13"/>
                <w:color w:val="auto"/>
              </w:rPr>
            </w:pPr>
          </w:p>
        </w:tc>
        <w:tc>
          <w:tcPr>
            <w:tcW w:w="7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CASp. For purposes of Section 1938 of the California Civil Code, Sublandlord hereby discloses to Subtenant, and Subtenant hereby</w:t>
            </w:r>
          </w:p>
        </w:tc>
        <w:tc>
          <w:tcPr>
            <w:tcW w:w="0" w:type="dxa"/>
            <w:vAlign w:val="bottom"/>
          </w:tcPr>
          <w:p>
            <w:pPr>
              <w:spacing w:after="0"/>
              <w:rPr>
                <w:sz w:val="1"/>
                <w:szCs w:val="1"/>
                <w:color w:val="auto"/>
              </w:rPr>
            </w:pPr>
          </w:p>
        </w:tc>
      </w:tr>
      <w:tr>
        <w:trPr>
          <w:trHeight w:val="20"/>
        </w:trPr>
        <w:tc>
          <w:tcPr>
            <w:tcW w:w="13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231F20"/>
              </w:rPr>
              <w:t>acknowledges,   that</w:t>
            </w:r>
          </w:p>
        </w:tc>
        <w:tc>
          <w:tcPr>
            <w:tcW w:w="4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231F20"/>
              </w:rPr>
              <w:t>the</w:t>
            </w:r>
          </w:p>
        </w:tc>
        <w:tc>
          <w:tcPr>
            <w:tcW w:w="360" w:type="dxa"/>
            <w:vAlign w:val="bottom"/>
            <w:shd w:val="clear" w:color="auto" w:fill="231F20"/>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3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Subleased   Premises   and   the   Common   Areas   have   not   undergone   inspection   by   a   Certified   Access</w:t>
            </w:r>
          </w:p>
        </w:tc>
        <w:tc>
          <w:tcPr>
            <w:tcW w:w="0" w:type="dxa"/>
            <w:vAlign w:val="bottom"/>
          </w:tcPr>
          <w:p>
            <w:pPr>
              <w:spacing w:after="0"/>
              <w:rPr>
                <w:sz w:val="1"/>
                <w:szCs w:val="1"/>
                <w:color w:val="auto"/>
              </w:rPr>
            </w:pPr>
          </w:p>
        </w:tc>
      </w:tr>
    </w:tbl>
    <w:p>
      <w:pPr>
        <w:jc w:val="both"/>
        <w:spacing w:after="0" w:line="187" w:lineRule="auto"/>
        <w:rPr>
          <w:sz w:val="20"/>
          <w:szCs w:val="20"/>
          <w:color w:val="auto"/>
        </w:rPr>
      </w:pPr>
      <w:r>
        <w:rPr>
          <w:rFonts w:ascii="Times New Roman" w:cs="Times New Roman" w:eastAsia="Times New Roman" w:hAnsi="Times New Roman"/>
          <w:sz w:val="12"/>
          <w:szCs w:val="12"/>
          <w:color w:val="231F20"/>
        </w:rPr>
        <w:t>Specialist (CASp) to determine if the Subleased Premises and the Common Areas meet applicable construction-related accessibility standards pursuant to California Civil Code Section 55.53. In accordance with Civil Code Section 1938(e), Landlord hereby discloses the following: A Certified Access Specialist (CASp) can inspect the subject premises and determine whether the subject premises comply with all of the applicable construction-related accessibility standards under state law.</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231F20"/>
        </w:rPr>
        <w:t>Although state law does not require a CASp inspection of the subject premises, the commercial property owner or lessor may not prohibit the lessee or tenant from obtaining a CASp</w:t>
      </w:r>
    </w:p>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231F20"/>
        </w:rPr>
        <w:t>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to correct violations of the construction related accessibility standards within the premises. In connection therewith: (i) Subtenant assumes all risk of, and agrees that</w:t>
      </w:r>
    </w:p>
    <w:p>
      <w:pPr>
        <w:spacing w:after="0" w:line="1" w:lineRule="exact"/>
        <w:rPr>
          <w:sz w:val="20"/>
          <w:szCs w:val="20"/>
          <w:color w:val="auto"/>
        </w:rPr>
      </w:pPr>
    </w:p>
    <w:p>
      <w:pPr>
        <w:jc w:val="both"/>
        <w:spacing w:after="0" w:line="169" w:lineRule="exact"/>
        <w:rPr>
          <w:sz w:val="20"/>
          <w:szCs w:val="20"/>
          <w:color w:val="auto"/>
        </w:rPr>
      </w:pPr>
      <w:r>
        <w:rPr>
          <w:rFonts w:ascii="Times New Roman" w:cs="Times New Roman" w:eastAsia="Times New Roman" w:hAnsi="Times New Roman"/>
          <w:sz w:val="14"/>
          <w:szCs w:val="14"/>
          <w:color w:val="231F20"/>
        </w:rPr>
        <w:t>Sublandlord shall not be liable for, any and all loss, cost, damage, expense and liability (including without limitation court costs and reasonable attorneys' fees) sustained as a result of the Subleased Premises not having been inspected by a Certified Access Specialist (CASp); and, (ii) Subtenant hereby acknowledges and agrees that Subtenant’s indemnity obligations set forth in this Sublease shall include any and all claims relating to or arising as a result of the Subleased Premises not having been inspected by a Certified Access Specialist (CASp). Subtenant may, at its sole risk and expense and upon written notice to Sublandlord and mutual agreement as to time and manner, elect to have the Subleased Premises inspected by a CASp (“Subtenant CASp Inspection”). Any such Subtenant CASp Inspection shall be performed in a non</w:t>
      </w:r>
      <w:r>
        <w:rPr>
          <w:rFonts w:ascii="MS PGothic" w:cs="MS PGothic" w:eastAsia="MS PGothic" w:hAnsi="MS PGothic"/>
          <w:sz w:val="14"/>
          <w:szCs w:val="14"/>
          <w:color w:val="231F20"/>
        </w:rPr>
        <w:t>‑</w:t>
      </w:r>
      <w:r>
        <w:rPr>
          <w:rFonts w:ascii="Times New Roman" w:cs="Times New Roman" w:eastAsia="Times New Roman" w:hAnsi="Times New Roman"/>
          <w:sz w:val="14"/>
          <w:szCs w:val="14"/>
          <w:color w:val="231F20"/>
        </w:rPr>
        <w:t>invasive manner to the Subleased Premises, the Common Areas and the Building and in a manner which would not disturb, endanger or interfere with any other tenants of the Building. Subtenant shall be responsible for the cost of any repairs, upgrades, alterations and/or modifications to the Subleased Premises necessary to correct any such violations of construction</w:t>
      </w:r>
      <w:r>
        <w:rPr>
          <w:rFonts w:ascii="MS PGothic" w:cs="MS PGothic" w:eastAsia="MS PGothic" w:hAnsi="MS PGothic"/>
          <w:sz w:val="14"/>
          <w:szCs w:val="14"/>
          <w:color w:val="231F20"/>
        </w:rPr>
        <w:t>‑</w:t>
      </w:r>
      <w:r>
        <w:rPr>
          <w:rFonts w:ascii="Times New Roman" w:cs="Times New Roman" w:eastAsia="Times New Roman" w:hAnsi="Times New Roman"/>
          <w:sz w:val="14"/>
          <w:szCs w:val="14"/>
          <w:color w:val="231F20"/>
        </w:rPr>
        <w:t>related accessibility standards identified by Subtenant’s</w:t>
      </w:r>
    </w:p>
    <w:p>
      <w:pPr>
        <w:spacing w:after="0" w:line="26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141605</wp:posOffset>
            </wp:positionV>
            <wp:extent cx="694055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6940550" cy="42545"/>
                    </a:xfrm>
                    <a:prstGeom prst="rect">
                      <a:avLst/>
                    </a:prstGeom>
                    <a:noFill/>
                  </pic:spPr>
                </pic:pic>
              </a:graphicData>
            </a:graphic>
          </wp:anchor>
        </w:drawing>
      </w:r>
    </w:p>
    <w:p>
      <w:pPr>
        <w:sectPr>
          <w:pgSz w:w="11900" w:h="16838" w:orient="portrait"/>
          <w:cols w:equalWidth="0" w:num="1">
            <w:col w:w="9580"/>
          </w:cols>
          <w:pgMar w:left="1160" w:top="744" w:right="1159" w:bottom="1440" w:gutter="0" w:footer="0" w:header="0"/>
        </w:sectPr>
      </w:pPr>
    </w:p>
    <w:bookmarkStart w:id="69" w:name="page70"/>
    <w:bookmarkEnd w:id="69"/>
    <w:p>
      <w:pPr>
        <w:jc w:val="both"/>
        <w:spacing w:after="0" w:line="252" w:lineRule="auto"/>
        <w:rPr>
          <w:sz w:val="20"/>
          <w:szCs w:val="20"/>
          <w:color w:val="auto"/>
        </w:rPr>
      </w:pPr>
      <w:r>
        <w:rPr>
          <w:rFonts w:ascii="Times New Roman" w:cs="Times New Roman" w:eastAsia="Times New Roman" w:hAnsi="Times New Roman"/>
          <w:sz w:val="14"/>
          <w:szCs w:val="14"/>
          <w:color w:val="231F20"/>
        </w:rPr>
        <w:t>CASp Inspection. The Certified Access Specialist’s report shall be delivered to Sublandlord. It is the express intent and understanding of the parties that Subtenant’s right to perform such Subtenant CASp Inspection shall be solely for Subtenant’s benefit and Sublandlord shall have no duty or responsibility whatsoever. Furthermore, Subtenant’s obligation to indemnify Sublandlord under this Sublease shall apply equally to claims, damages and other costs or expenses arising out of any CASp investigation initiated by Subtenant, including as a result of any violations discovered thereby.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17.18</w:t>
            </w: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231F20"/>
              </w:rPr>
              <w:t>Landlord</w:t>
            </w:r>
          </w:p>
        </w:tc>
        <w:tc>
          <w:tcPr>
            <w:tcW w:w="64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231F20"/>
                <w:w w:val="99"/>
              </w:rPr>
              <w:t>Repairs.</w:t>
            </w:r>
          </w:p>
        </w:tc>
        <w:tc>
          <w:tcPr>
            <w:tcW w:w="160" w:type="dxa"/>
            <w:vAlign w:val="bottom"/>
          </w:tcPr>
          <w:p>
            <w:pPr>
              <w:spacing w:after="0"/>
              <w:rPr>
                <w:sz w:val="13"/>
                <w:szCs w:val="13"/>
                <w:color w:val="auto"/>
              </w:rPr>
            </w:pPr>
          </w:p>
        </w:tc>
        <w:tc>
          <w:tcPr>
            <w:tcW w:w="13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231F20"/>
              </w:rPr>
              <w:t>Notwithstanding</w:t>
            </w:r>
          </w:p>
        </w:tc>
        <w:tc>
          <w:tcPr>
            <w:tcW w:w="420" w:type="dxa"/>
            <w:vAlign w:val="bottom"/>
          </w:tcPr>
          <w:p>
            <w:pPr>
              <w:spacing w:after="0"/>
              <w:rPr>
                <w:sz w:val="13"/>
                <w:szCs w:val="13"/>
                <w:color w:val="auto"/>
              </w:rPr>
            </w:pPr>
          </w:p>
        </w:tc>
        <w:tc>
          <w:tcPr>
            <w:tcW w:w="6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231F20"/>
              </w:rPr>
              <w:t>anything</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231F20"/>
              </w:rPr>
              <w:t>to</w:t>
            </w: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231F20"/>
              </w:rPr>
              <w:t>the</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4"/>
                <w:szCs w:val="14"/>
                <w:color w:val="231F20"/>
              </w:rPr>
              <w:t>contrary</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herein,</w:t>
            </w:r>
          </w:p>
        </w:tc>
      </w:tr>
      <w:tr>
        <w:trPr>
          <w:trHeight w:val="151"/>
        </w:trPr>
        <w:tc>
          <w:tcPr>
            <w:tcW w:w="72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231F20"/>
              </w:rPr>
              <w:t>Subtenant</w:t>
            </w:r>
          </w:p>
        </w:tc>
        <w:tc>
          <w:tcPr>
            <w:tcW w:w="480" w:type="dxa"/>
            <w:vAlign w:val="bottom"/>
          </w:tcPr>
          <w:p>
            <w:pPr>
              <w:jc w:val="center"/>
              <w:ind w:left="28"/>
              <w:spacing w:after="0" w:line="151" w:lineRule="exact"/>
              <w:rPr>
                <w:sz w:val="20"/>
                <w:szCs w:val="20"/>
                <w:color w:val="auto"/>
              </w:rPr>
            </w:pPr>
            <w:r>
              <w:rPr>
                <w:rFonts w:ascii="Times New Roman" w:cs="Times New Roman" w:eastAsia="Times New Roman" w:hAnsi="Times New Roman"/>
                <w:sz w:val="14"/>
                <w:szCs w:val="14"/>
                <w:color w:val="231F20"/>
                <w:w w:val="98"/>
              </w:rPr>
              <w:t>shall</w:t>
            </w:r>
          </w:p>
        </w:tc>
        <w:tc>
          <w:tcPr>
            <w:tcW w:w="460" w:type="dxa"/>
            <w:vAlign w:val="bottom"/>
          </w:tcPr>
          <w:p>
            <w:pPr>
              <w:ind w:left="260"/>
              <w:spacing w:after="0" w:line="151" w:lineRule="exact"/>
              <w:rPr>
                <w:sz w:val="20"/>
                <w:szCs w:val="20"/>
                <w:color w:val="auto"/>
              </w:rPr>
            </w:pPr>
            <w:r>
              <w:rPr>
                <w:rFonts w:ascii="Times New Roman" w:cs="Times New Roman" w:eastAsia="Times New Roman" w:hAnsi="Times New Roman"/>
                <w:sz w:val="14"/>
                <w:szCs w:val="14"/>
                <w:color w:val="231F20"/>
              </w:rPr>
              <w:t>not</w:t>
            </w:r>
          </w:p>
        </w:tc>
        <w:tc>
          <w:tcPr>
            <w:tcW w:w="460" w:type="dxa"/>
            <w:vAlign w:val="bottom"/>
          </w:tcPr>
          <w:p>
            <w:pPr>
              <w:ind w:left="280"/>
              <w:spacing w:after="0" w:line="151" w:lineRule="exact"/>
              <w:rPr>
                <w:sz w:val="20"/>
                <w:szCs w:val="20"/>
                <w:color w:val="auto"/>
              </w:rPr>
            </w:pPr>
            <w:r>
              <w:rPr>
                <w:rFonts w:ascii="Times New Roman" w:cs="Times New Roman" w:eastAsia="Times New Roman" w:hAnsi="Times New Roman"/>
                <w:sz w:val="14"/>
                <w:szCs w:val="14"/>
                <w:color w:val="231F20"/>
              </w:rPr>
              <w:t>be</w:t>
            </w:r>
          </w:p>
        </w:tc>
        <w:tc>
          <w:tcPr>
            <w:tcW w:w="160" w:type="dxa"/>
            <w:vAlign w:val="bottom"/>
          </w:tcPr>
          <w:p>
            <w:pPr>
              <w:spacing w:after="0"/>
              <w:rPr>
                <w:sz w:val="13"/>
                <w:szCs w:val="13"/>
                <w:color w:val="auto"/>
              </w:rPr>
            </w:pPr>
          </w:p>
        </w:tc>
        <w:tc>
          <w:tcPr>
            <w:tcW w:w="80" w:type="dxa"/>
            <w:vAlign w:val="bottom"/>
            <w:tcBorders>
              <w:top w:val="single" w:sz="8" w:color="231F20"/>
            </w:tcBorders>
          </w:tcPr>
          <w:p>
            <w:pPr>
              <w:spacing w:after="0"/>
              <w:rPr>
                <w:sz w:val="13"/>
                <w:szCs w:val="13"/>
                <w:color w:val="auto"/>
              </w:rPr>
            </w:pPr>
          </w:p>
        </w:tc>
        <w:tc>
          <w:tcPr>
            <w:tcW w:w="820" w:type="dxa"/>
            <w:vAlign w:val="bottom"/>
            <w:tcBorders>
              <w:top w:val="single" w:sz="8" w:color="231F20"/>
            </w:tcBorders>
          </w:tcPr>
          <w:p>
            <w:pPr>
              <w:ind w:left="20"/>
              <w:spacing w:after="0" w:line="151" w:lineRule="exact"/>
              <w:rPr>
                <w:sz w:val="20"/>
                <w:szCs w:val="20"/>
                <w:color w:val="auto"/>
              </w:rPr>
            </w:pPr>
            <w:r>
              <w:rPr>
                <w:rFonts w:ascii="Times New Roman" w:cs="Times New Roman" w:eastAsia="Times New Roman" w:hAnsi="Times New Roman"/>
                <w:sz w:val="14"/>
                <w:szCs w:val="14"/>
                <w:color w:val="231F20"/>
              </w:rPr>
              <w:t>responsible</w:t>
            </w:r>
          </w:p>
        </w:tc>
        <w:tc>
          <w:tcPr>
            <w:tcW w:w="440" w:type="dxa"/>
            <w:vAlign w:val="bottom"/>
            <w:tcBorders>
              <w:top w:val="single" w:sz="8" w:color="231F20"/>
            </w:tcBorders>
          </w:tcPr>
          <w:p>
            <w:pPr>
              <w:ind w:left="160"/>
              <w:spacing w:after="0" w:line="151" w:lineRule="exact"/>
              <w:rPr>
                <w:sz w:val="20"/>
                <w:szCs w:val="20"/>
                <w:color w:val="auto"/>
              </w:rPr>
            </w:pPr>
            <w:r>
              <w:rPr>
                <w:rFonts w:ascii="Times New Roman" w:cs="Times New Roman" w:eastAsia="Times New Roman" w:hAnsi="Times New Roman"/>
                <w:sz w:val="14"/>
                <w:szCs w:val="14"/>
                <w:color w:val="231F20"/>
              </w:rPr>
              <w:t>for</w:t>
            </w:r>
          </w:p>
        </w:tc>
        <w:tc>
          <w:tcPr>
            <w:tcW w:w="140" w:type="dxa"/>
            <w:vAlign w:val="bottom"/>
            <w:tcBorders>
              <w:top w:val="single" w:sz="8" w:color="231F20"/>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231F20"/>
              </w:rPr>
              <w:t>structural,</w:t>
            </w:r>
          </w:p>
        </w:tc>
        <w:tc>
          <w:tcPr>
            <w:tcW w:w="860" w:type="dxa"/>
            <w:vAlign w:val="bottom"/>
          </w:tcPr>
          <w:p>
            <w:pPr>
              <w:jc w:val="right"/>
              <w:ind w:right="168"/>
              <w:spacing w:after="0" w:line="151" w:lineRule="exact"/>
              <w:rPr>
                <w:sz w:val="20"/>
                <w:szCs w:val="20"/>
                <w:color w:val="auto"/>
              </w:rPr>
            </w:pPr>
            <w:r>
              <w:rPr>
                <w:rFonts w:ascii="Times New Roman" w:cs="Times New Roman" w:eastAsia="Times New Roman" w:hAnsi="Times New Roman"/>
                <w:sz w:val="14"/>
                <w:szCs w:val="14"/>
                <w:color w:val="231F20"/>
              </w:rPr>
              <w:t>capital,</w:t>
            </w:r>
          </w:p>
        </w:tc>
        <w:tc>
          <w:tcPr>
            <w:tcW w:w="420" w:type="dxa"/>
            <w:vAlign w:val="bottom"/>
          </w:tcPr>
          <w:p>
            <w:pPr>
              <w:ind w:left="80"/>
              <w:spacing w:after="0" w:line="151" w:lineRule="exact"/>
              <w:rPr>
                <w:sz w:val="20"/>
                <w:szCs w:val="20"/>
                <w:color w:val="auto"/>
              </w:rPr>
            </w:pPr>
            <w:r>
              <w:rPr>
                <w:rFonts w:ascii="Times New Roman" w:cs="Times New Roman" w:eastAsia="Times New Roman" w:hAnsi="Times New Roman"/>
                <w:sz w:val="14"/>
                <w:szCs w:val="14"/>
                <w:color w:val="231F20"/>
              </w:rPr>
              <w:t>or</w:t>
            </w:r>
          </w:p>
        </w:tc>
        <w:tc>
          <w:tcPr>
            <w:tcW w:w="640" w:type="dxa"/>
            <w:vAlign w:val="bottom"/>
          </w:tcPr>
          <w:p>
            <w:pPr>
              <w:jc w:val="center"/>
              <w:ind w:right="28"/>
              <w:spacing w:after="0" w:line="151" w:lineRule="exact"/>
              <w:rPr>
                <w:sz w:val="20"/>
                <w:szCs w:val="20"/>
                <w:color w:val="auto"/>
              </w:rPr>
            </w:pPr>
            <w:r>
              <w:rPr>
                <w:rFonts w:ascii="Times New Roman" w:cs="Times New Roman" w:eastAsia="Times New Roman" w:hAnsi="Times New Roman"/>
                <w:sz w:val="14"/>
                <w:szCs w:val="14"/>
                <w:color w:val="231F20"/>
              </w:rPr>
              <w:t>major</w:t>
            </w:r>
          </w:p>
        </w:tc>
        <w:tc>
          <w:tcPr>
            <w:tcW w:w="660" w:type="dxa"/>
            <w:vAlign w:val="bottom"/>
          </w:tcPr>
          <w:p>
            <w:pPr>
              <w:jc w:val="right"/>
              <w:ind w:right="88"/>
              <w:spacing w:after="0" w:line="151" w:lineRule="exact"/>
              <w:rPr>
                <w:sz w:val="20"/>
                <w:szCs w:val="20"/>
                <w:color w:val="auto"/>
              </w:rPr>
            </w:pPr>
            <w:r>
              <w:rPr>
                <w:rFonts w:ascii="Times New Roman" w:cs="Times New Roman" w:eastAsia="Times New Roman" w:hAnsi="Times New Roman"/>
                <w:sz w:val="14"/>
                <w:szCs w:val="14"/>
                <w:color w:val="231F20"/>
              </w:rPr>
              <w:t>repairs</w:t>
            </w:r>
          </w:p>
        </w:tc>
        <w:tc>
          <w:tcPr>
            <w:tcW w:w="580" w:type="dxa"/>
            <w:vAlign w:val="bottom"/>
          </w:tcPr>
          <w:p>
            <w:pPr>
              <w:ind w:left="160"/>
              <w:spacing w:after="0" w:line="151" w:lineRule="exact"/>
              <w:rPr>
                <w:sz w:val="20"/>
                <w:szCs w:val="20"/>
                <w:color w:val="auto"/>
              </w:rPr>
            </w:pPr>
            <w:r>
              <w:rPr>
                <w:rFonts w:ascii="Times New Roman" w:cs="Times New Roman" w:eastAsia="Times New Roman" w:hAnsi="Times New Roman"/>
                <w:sz w:val="14"/>
                <w:szCs w:val="14"/>
                <w:color w:val="231F20"/>
              </w:rPr>
              <w:t>to</w:t>
            </w:r>
          </w:p>
        </w:tc>
        <w:tc>
          <w:tcPr>
            <w:tcW w:w="200" w:type="dxa"/>
            <w:vAlign w:val="bottom"/>
          </w:tcPr>
          <w:p>
            <w:pPr>
              <w:spacing w:after="0" w:line="151" w:lineRule="exact"/>
              <w:rPr>
                <w:sz w:val="20"/>
                <w:szCs w:val="20"/>
                <w:color w:val="auto"/>
              </w:rPr>
            </w:pPr>
            <w:r>
              <w:rPr>
                <w:rFonts w:ascii="Times New Roman" w:cs="Times New Roman" w:eastAsia="Times New Roman" w:hAnsi="Times New Roman"/>
                <w:sz w:val="14"/>
                <w:szCs w:val="14"/>
                <w:color w:val="231F20"/>
              </w:rPr>
              <w:t>the</w:t>
            </w:r>
          </w:p>
        </w:tc>
        <w:tc>
          <w:tcPr>
            <w:tcW w:w="260" w:type="dxa"/>
            <w:vAlign w:val="bottom"/>
          </w:tcPr>
          <w:p>
            <w:pPr>
              <w:spacing w:after="0"/>
              <w:rPr>
                <w:sz w:val="13"/>
                <w:szCs w:val="13"/>
                <w:color w:val="auto"/>
              </w:rPr>
            </w:pPr>
          </w:p>
        </w:tc>
        <w:tc>
          <w:tcPr>
            <w:tcW w:w="720" w:type="dxa"/>
            <w:vAlign w:val="bottom"/>
          </w:tcPr>
          <w:p>
            <w:pPr>
              <w:ind w:left="40"/>
              <w:spacing w:after="0" w:line="151" w:lineRule="exact"/>
              <w:rPr>
                <w:sz w:val="20"/>
                <w:szCs w:val="20"/>
                <w:color w:val="auto"/>
              </w:rPr>
            </w:pPr>
            <w:r>
              <w:rPr>
                <w:rFonts w:ascii="Times New Roman" w:cs="Times New Roman" w:eastAsia="Times New Roman" w:hAnsi="Times New Roman"/>
                <w:sz w:val="14"/>
                <w:szCs w:val="14"/>
                <w:color w:val="231F20"/>
              </w:rPr>
              <w:t>Subleased</w:t>
            </w:r>
          </w:p>
        </w:tc>
        <w:tc>
          <w:tcPr>
            <w:tcW w:w="7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231F20"/>
              </w:rPr>
              <w:t>Premises</w:t>
            </w:r>
          </w:p>
        </w:tc>
      </w:tr>
      <w:tr>
        <w:trPr>
          <w:trHeight w:val="178"/>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231F20"/>
              </w:rPr>
              <w:t>or</w:t>
            </w: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231F20"/>
              </w:rPr>
              <w:t>Building</w:t>
            </w:r>
          </w:p>
        </w:tc>
        <w:tc>
          <w:tcPr>
            <w:tcW w:w="460" w:type="dxa"/>
            <w:vAlign w:val="bottom"/>
          </w:tcPr>
          <w:p>
            <w:pPr>
              <w:spacing w:after="0"/>
              <w:rPr>
                <w:sz w:val="20"/>
                <w:szCs w:val="20"/>
                <w:color w:val="auto"/>
              </w:rPr>
            </w:pPr>
            <w:r>
              <w:rPr>
                <w:rFonts w:ascii="Times New Roman" w:cs="Times New Roman" w:eastAsia="Times New Roman" w:hAnsi="Times New Roman"/>
                <w:sz w:val="14"/>
                <w:szCs w:val="14"/>
                <w:color w:val="231F20"/>
              </w:rPr>
              <w:t>that</w:t>
            </w:r>
          </w:p>
        </w:tc>
        <w:tc>
          <w:tcPr>
            <w:tcW w:w="460" w:type="dxa"/>
            <w:vAlign w:val="bottom"/>
          </w:tcPr>
          <w:p>
            <w:pPr>
              <w:ind w:left="40"/>
              <w:spacing w:after="0"/>
              <w:rPr>
                <w:sz w:val="20"/>
                <w:szCs w:val="20"/>
                <w:color w:val="auto"/>
              </w:rPr>
            </w:pPr>
            <w:r>
              <w:rPr>
                <w:rFonts w:ascii="Times New Roman" w:cs="Times New Roman" w:eastAsia="Times New Roman" w:hAnsi="Times New Roman"/>
                <w:sz w:val="14"/>
                <w:szCs w:val="14"/>
                <w:color w:val="231F20"/>
              </w:rPr>
              <w:t>are</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231F20"/>
              </w:rPr>
              <w:t>the</w:t>
            </w: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231F20"/>
              </w:rPr>
              <w:t>responsibility</w:t>
            </w:r>
          </w:p>
        </w:tc>
        <w:tc>
          <w:tcPr>
            <w:tcW w:w="3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231F20"/>
              </w:rPr>
              <w:t>of</w:t>
            </w:r>
          </w:p>
        </w:tc>
        <w:tc>
          <w:tcPr>
            <w:tcW w:w="52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the</w:t>
            </w:r>
          </w:p>
        </w:tc>
        <w:tc>
          <w:tcPr>
            <w:tcW w:w="8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231F20"/>
              </w:rPr>
              <w:t>Landlord</w:t>
            </w:r>
          </w:p>
        </w:tc>
        <w:tc>
          <w:tcPr>
            <w:tcW w:w="4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under</w:t>
            </w:r>
          </w:p>
        </w:tc>
        <w:tc>
          <w:tcPr>
            <w:tcW w:w="640" w:type="dxa"/>
            <w:vAlign w:val="bottom"/>
          </w:tcPr>
          <w:p>
            <w:pPr>
              <w:ind w:left="260"/>
              <w:spacing w:after="0"/>
              <w:rPr>
                <w:sz w:val="20"/>
                <w:szCs w:val="20"/>
                <w:color w:val="auto"/>
              </w:rPr>
            </w:pPr>
            <w:r>
              <w:rPr>
                <w:rFonts w:ascii="Times New Roman" w:cs="Times New Roman" w:eastAsia="Times New Roman" w:hAnsi="Times New Roman"/>
                <w:sz w:val="14"/>
                <w:szCs w:val="14"/>
                <w:color w:val="231F20"/>
              </w:rPr>
              <w:t>the</w:t>
            </w: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231F20"/>
              </w:rPr>
              <w:t>Master</w:t>
            </w: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Lease.</w:t>
            </w:r>
          </w:p>
        </w:tc>
        <w:tc>
          <w:tcPr>
            <w:tcW w:w="200" w:type="dxa"/>
            <w:vAlign w:val="bottom"/>
          </w:tcPr>
          <w:p>
            <w:pPr>
              <w:spacing w:after="0"/>
              <w:rPr>
                <w:sz w:val="15"/>
                <w:szCs w:val="15"/>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All</w:t>
            </w:r>
          </w:p>
        </w:tc>
        <w:tc>
          <w:tcPr>
            <w:tcW w:w="720" w:type="dxa"/>
            <w:vAlign w:val="bottom"/>
          </w:tcPr>
          <w:p>
            <w:pPr>
              <w:ind w:left="240"/>
              <w:spacing w:after="0"/>
              <w:rPr>
                <w:sz w:val="20"/>
                <w:szCs w:val="20"/>
                <w:color w:val="auto"/>
              </w:rPr>
            </w:pPr>
            <w:r>
              <w:rPr>
                <w:rFonts w:ascii="Times New Roman" w:cs="Times New Roman" w:eastAsia="Times New Roman" w:hAnsi="Times New Roman"/>
                <w:sz w:val="14"/>
                <w:szCs w:val="14"/>
                <w:color w:val="231F20"/>
              </w:rPr>
              <w:t>such</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obligations</w:t>
            </w:r>
          </w:p>
        </w:tc>
      </w:tr>
    </w:tbl>
    <w:p>
      <w:pPr>
        <w:jc w:val="both"/>
        <w:spacing w:after="0" w:line="249" w:lineRule="auto"/>
        <w:rPr>
          <w:sz w:val="20"/>
          <w:szCs w:val="20"/>
          <w:color w:val="auto"/>
        </w:rPr>
      </w:pPr>
      <w:r>
        <w:rPr>
          <w:rFonts w:ascii="Times New Roman" w:cs="Times New Roman" w:eastAsia="Times New Roman" w:hAnsi="Times New Roman"/>
          <w:sz w:val="14"/>
          <w:szCs w:val="14"/>
          <w:color w:val="231F20"/>
        </w:rPr>
        <w:t>shall remain the responsibility of Landlord in accordance with Section 13(a) of the Master Lease, and Subtenant shall have no obligation to pay for or perform such repairs. Sublandlord shall promptly forward to Subtenant any notices, invoices, or other communications from Landlord regarding such repairs, maintenance, or assessments.</w:t>
      </w:r>
    </w:p>
    <w:p>
      <w:pPr>
        <w:spacing w:after="0" w:line="41" w:lineRule="exact"/>
        <w:rPr>
          <w:sz w:val="20"/>
          <w:szCs w:val="20"/>
          <w:color w:val="auto"/>
        </w:rPr>
      </w:pPr>
    </w:p>
    <w:p>
      <w:pPr>
        <w:jc w:val="both"/>
        <w:ind w:right="20" w:firstLine="864"/>
        <w:spacing w:after="0" w:line="261" w:lineRule="auto"/>
        <w:rPr>
          <w:sz w:val="20"/>
          <w:szCs w:val="20"/>
          <w:color w:val="auto"/>
        </w:rPr>
      </w:pPr>
      <w:r>
        <w:rPr>
          <w:rFonts w:ascii="Times New Roman" w:cs="Times New Roman" w:eastAsia="Times New Roman" w:hAnsi="Times New Roman"/>
          <w:sz w:val="14"/>
          <w:szCs w:val="14"/>
          <w:color w:val="231F20"/>
        </w:rPr>
        <w:t xml:space="preserve">17.19 </w:t>
      </w:r>
      <w:r>
        <w:rPr>
          <w:rFonts w:ascii="Times New Roman" w:cs="Times New Roman" w:eastAsia="Times New Roman" w:hAnsi="Times New Roman"/>
          <w:sz w:val="14"/>
          <w:szCs w:val="14"/>
          <w:u w:val="single" w:color="auto"/>
          <w:color w:val="231F20"/>
        </w:rPr>
        <w:t>Attornment</w:t>
      </w:r>
      <w:r>
        <w:rPr>
          <w:rFonts w:ascii="Times New Roman" w:cs="Times New Roman" w:eastAsia="Times New Roman" w:hAnsi="Times New Roman"/>
          <w:sz w:val="14"/>
          <w:szCs w:val="14"/>
          <w:color w:val="231F20"/>
        </w:rPr>
        <w:t>. In the event of any transfer or assignment of Sublandlord’s interest in the Sublease or the Master Lease, Subtenant agrees to recognize and attorn to the transferee or assignee as its landlord under this Sublease, provided that such transferee assumes in writing all obligations of Sublandlord hereunder accruing after the date of such transfer.</w:t>
      </w:r>
    </w:p>
    <w:p>
      <w:pPr>
        <w:spacing w:after="0" w:line="33" w:lineRule="exact"/>
        <w:rPr>
          <w:sz w:val="20"/>
          <w:szCs w:val="20"/>
          <w:color w:val="auto"/>
        </w:rPr>
      </w:pPr>
    </w:p>
    <w:p>
      <w:pPr>
        <w:jc w:val="both"/>
        <w:ind w:firstLine="852"/>
        <w:spacing w:after="0" w:line="251" w:lineRule="auto"/>
        <w:rPr>
          <w:sz w:val="20"/>
          <w:szCs w:val="20"/>
          <w:color w:val="auto"/>
        </w:rPr>
      </w:pPr>
      <w:r>
        <w:rPr>
          <w:rFonts w:ascii="Times New Roman" w:cs="Times New Roman" w:eastAsia="Times New Roman" w:hAnsi="Times New Roman"/>
          <w:sz w:val="14"/>
          <w:szCs w:val="14"/>
          <w:color w:val="231F20"/>
        </w:rPr>
        <w:t xml:space="preserve">17.20 </w:t>
      </w:r>
      <w:r>
        <w:rPr>
          <w:rFonts w:ascii="Times New Roman" w:cs="Times New Roman" w:eastAsia="Times New Roman" w:hAnsi="Times New Roman"/>
          <w:sz w:val="14"/>
          <w:szCs w:val="14"/>
          <w:u w:val="single" w:color="auto"/>
          <w:color w:val="231F20"/>
        </w:rPr>
        <w:t>Marketing and Events</w:t>
      </w:r>
      <w:r>
        <w:rPr>
          <w:rFonts w:ascii="Times New Roman" w:cs="Times New Roman" w:eastAsia="Times New Roman" w:hAnsi="Times New Roman"/>
          <w:sz w:val="14"/>
          <w:szCs w:val="14"/>
          <w:color w:val="231F20"/>
        </w:rPr>
        <w:t>. Notwithstanding the terms of the Master Lease, including, but not limited to Section 45(n) thereof, Subtenant shall have the right to promote the Subleased Premises as its new worldwide headquarters and to host events, provided such activities fall within the parameters of a professional office environment, including but not limited to a reasonable noise level and occupancy, solely within the Subleased Premises, provided that such activities comply with the reasonable rules of the Sublease and the Master Lease, and applicable laws but Subtenant will not be required to obtain the prior consent of either Sublandlord or Landlord.</w:t>
      </w:r>
    </w:p>
    <w:p>
      <w:pPr>
        <w:spacing w:after="0" w:line="40" w:lineRule="exact"/>
        <w:rPr>
          <w:sz w:val="20"/>
          <w:szCs w:val="20"/>
          <w:color w:val="auto"/>
        </w:rPr>
      </w:pPr>
    </w:p>
    <w:p>
      <w:pPr>
        <w:jc w:val="both"/>
        <w:ind w:firstLine="864"/>
        <w:spacing w:after="0" w:line="282" w:lineRule="auto"/>
        <w:rPr>
          <w:sz w:val="20"/>
          <w:szCs w:val="20"/>
          <w:color w:val="auto"/>
        </w:rPr>
      </w:pPr>
      <w:r>
        <w:rPr>
          <w:rFonts w:ascii="Times New Roman" w:cs="Times New Roman" w:eastAsia="Times New Roman" w:hAnsi="Times New Roman"/>
          <w:sz w:val="14"/>
          <w:szCs w:val="14"/>
          <w:color w:val="231F20"/>
        </w:rPr>
        <w:t xml:space="preserve">17.21 </w:t>
      </w:r>
      <w:r>
        <w:rPr>
          <w:rFonts w:ascii="Times New Roman" w:cs="Times New Roman" w:eastAsia="Times New Roman" w:hAnsi="Times New Roman"/>
          <w:sz w:val="14"/>
          <w:szCs w:val="14"/>
          <w:u w:val="single" w:color="auto"/>
          <w:color w:val="231F20"/>
        </w:rPr>
        <w:t>Financial Statements</w:t>
      </w:r>
      <w:r>
        <w:rPr>
          <w:rFonts w:ascii="Times New Roman" w:cs="Times New Roman" w:eastAsia="Times New Roman" w:hAnsi="Times New Roman"/>
          <w:sz w:val="14"/>
          <w:szCs w:val="14"/>
          <w:color w:val="231F20"/>
        </w:rPr>
        <w:t>. Notwithstanding the terms of Section 45(g) of the Master Lease as applied between Sublandlord and Subtenant, Subtenant shall not need to furnish financial statements more than once per year.</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b w:val="1"/>
          <w:bCs w:val="1"/>
          <w:color w:val="231F20"/>
        </w:rPr>
        <w:t>[REMAINDER OF PAGE INTENTIONALLY LEFT BLANK]</w:t>
      </w:r>
    </w:p>
    <w:p>
      <w:pPr>
        <w:spacing w:after="0" w:line="31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141605</wp:posOffset>
            </wp:positionV>
            <wp:extent cx="694055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6940550" cy="42545"/>
                    </a:xfrm>
                    <a:prstGeom prst="rect">
                      <a:avLst/>
                    </a:prstGeom>
                    <a:noFill/>
                  </pic:spPr>
                </pic:pic>
              </a:graphicData>
            </a:graphic>
          </wp:anchor>
        </w:drawing>
      </w:r>
    </w:p>
    <w:p>
      <w:pPr>
        <w:sectPr>
          <w:pgSz w:w="11900" w:h="16838" w:orient="portrait"/>
          <w:cols w:equalWidth="0" w:num="1">
            <w:col w:w="9580"/>
          </w:cols>
          <w:pgMar w:left="1160" w:top="751" w:right="1159" w:bottom="1440" w:gutter="0" w:footer="0" w:header="0"/>
        </w:sectPr>
      </w:pPr>
    </w:p>
    <w:bookmarkStart w:id="70" w:name="page71"/>
    <w:bookmarkEnd w:id="70"/>
    <w:p>
      <w:pPr>
        <w:ind w:left="140"/>
        <w:spacing w:after="0"/>
        <w:rPr>
          <w:sz w:val="20"/>
          <w:szCs w:val="20"/>
          <w:color w:val="auto"/>
        </w:rPr>
      </w:pPr>
      <w:r>
        <w:rPr>
          <w:rFonts w:ascii="Times New Roman" w:cs="Times New Roman" w:eastAsia="Times New Roman" w:hAnsi="Times New Roman"/>
          <w:sz w:val="14"/>
          <w:szCs w:val="14"/>
          <w:color w:val="231F20"/>
        </w:rPr>
        <w:t>IN WITNESS WHEREOF, Sublandlord and Subtenant have executed this Sublease as of the day and year first above written.</w:t>
      </w:r>
    </w:p>
    <w:p>
      <w:pPr>
        <w:sectPr>
          <w:pgSz w:w="11900" w:h="16838" w:orient="portrait"/>
          <w:cols w:equalWidth="0" w:num="1">
            <w:col w:w="9019"/>
          </w:cols>
          <w:pgMar w:left="1440" w:top="823" w:right="1440" w:bottom="1440" w:gutter="0" w:footer="0" w:header="0"/>
        </w:sectPr>
      </w:pPr>
    </w:p>
    <w:p>
      <w:pPr>
        <w:spacing w:after="0" w:line="7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b w:val="1"/>
          <w:bCs w:val="1"/>
          <w:color w:val="231F20"/>
        </w:rPr>
        <w:t>SUBLANDLORD:</w:t>
      </w:r>
    </w:p>
    <w:p>
      <w:pPr>
        <w:spacing w:after="0" w:line="7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b w:val="1"/>
          <w:bCs w:val="1"/>
          <w:color w:val="231F20"/>
        </w:rPr>
        <w:t>Heartflow, Inc.</w:t>
      </w:r>
      <w:r>
        <w:rPr>
          <w:rFonts w:ascii="Times New Roman" w:cs="Times New Roman" w:eastAsia="Times New Roman" w:hAnsi="Times New Roman"/>
          <w:sz w:val="14"/>
          <w:szCs w:val="14"/>
          <w:color w:val="231F20"/>
        </w:rPr>
        <w:t>, a Delaware corporation</w:t>
      </w:r>
    </w:p>
    <w:p>
      <w:pPr>
        <w:spacing w:after="0" w:line="21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231F20"/>
        </w:rPr>
        <w:t>By: /s/ Vikram Verghese</w:t>
      </w:r>
    </w:p>
    <w:p>
      <w:pPr>
        <w:spacing w:after="0" w:line="5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231F20"/>
        </w:rPr>
        <w:t xml:space="preserve">Name: </w:t>
      </w:r>
      <w:r>
        <w:rPr>
          <w:rFonts w:ascii="Times New Roman" w:cs="Times New Roman" w:eastAsia="Times New Roman" w:hAnsi="Times New Roman"/>
          <w:sz w:val="10"/>
          <w:szCs w:val="10"/>
          <w:color w:val="010202"/>
        </w:rPr>
        <w:t>Vikram Verghese</w:t>
      </w:r>
    </w:p>
    <w:p>
      <w:pPr>
        <w:spacing w:after="0" w:line="23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231F20"/>
        </w:rPr>
        <w:t xml:space="preserve">Title: </w:t>
      </w:r>
      <w:r>
        <w:rPr>
          <w:rFonts w:ascii="Times New Roman" w:cs="Times New Roman" w:eastAsia="Times New Roman" w:hAnsi="Times New Roman"/>
          <w:sz w:val="10"/>
          <w:szCs w:val="10"/>
          <w:color w:val="010202"/>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b w:val="1"/>
          <w:bCs w:val="1"/>
          <w:color w:val="231F20"/>
        </w:rPr>
        <w:t>SUBTENANT:</w:t>
      </w:r>
    </w:p>
    <w:p>
      <w:pPr>
        <w:spacing w:after="0" w:line="7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b w:val="1"/>
          <w:bCs w:val="1"/>
          <w:color w:val="231F20"/>
        </w:rPr>
        <w:t>Glean Technologies, Inc.</w:t>
      </w:r>
      <w:r>
        <w:rPr>
          <w:rFonts w:ascii="Times New Roman" w:cs="Times New Roman" w:eastAsia="Times New Roman" w:hAnsi="Times New Roman"/>
          <w:sz w:val="14"/>
          <w:szCs w:val="14"/>
          <w:color w:val="231F20"/>
        </w:rPr>
        <w:t>, a Delaware corporation</w:t>
      </w:r>
    </w:p>
    <w:p>
      <w:pPr>
        <w:spacing w:after="0" w:line="73" w:lineRule="exact"/>
        <w:rPr>
          <w:sz w:val="20"/>
          <w:szCs w:val="20"/>
          <w:color w:val="auto"/>
        </w:rPr>
      </w:pPr>
    </w:p>
    <w:p>
      <w:pPr>
        <w:ind w:left="2300"/>
        <w:spacing w:after="0"/>
        <w:tabs>
          <w:tab w:leader="none" w:pos="2640" w:val="left"/>
        </w:tabs>
        <w:rPr>
          <w:sz w:val="20"/>
          <w:szCs w:val="20"/>
          <w:color w:val="auto"/>
        </w:rPr>
      </w:pPr>
      <w:r>
        <w:rPr>
          <w:rFonts w:ascii="Times New Roman" w:cs="Times New Roman" w:eastAsia="Times New Roman" w:hAnsi="Times New Roman"/>
          <w:sz w:val="14"/>
          <w:szCs w:val="14"/>
          <w:color w:val="231F20"/>
        </w:rPr>
        <w:t>By:</w:t>
      </w:r>
      <w:r>
        <w:rPr>
          <w:sz w:val="20"/>
          <w:szCs w:val="20"/>
          <w:color w:val="auto"/>
        </w:rPr>
        <w:tab/>
      </w:r>
      <w:r>
        <w:rPr>
          <w:rFonts w:ascii="Times New Roman" w:cs="Times New Roman" w:eastAsia="Times New Roman" w:hAnsi="Times New Roman"/>
          <w:sz w:val="14"/>
          <w:szCs w:val="14"/>
          <w:b w:val="1"/>
          <w:bCs w:val="1"/>
          <w:color w:val="auto"/>
        </w:rPr>
        <w:t>[***]</w:t>
      </w:r>
    </w:p>
    <w:p>
      <w:pPr>
        <w:spacing w:after="0" w:line="73"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color w:val="231F20"/>
        </w:rPr>
        <w:t xml:space="preserve">Name: </w:t>
      </w:r>
      <w:r>
        <w:rPr>
          <w:rFonts w:ascii="Times New Roman" w:cs="Times New Roman" w:eastAsia="Times New Roman" w:hAnsi="Times New Roman"/>
          <w:sz w:val="14"/>
          <w:szCs w:val="14"/>
          <w:b w:val="1"/>
          <w:bCs w:val="1"/>
          <w:color w:val="000000"/>
        </w:rPr>
        <w:t>[***]</w:t>
      </w:r>
    </w:p>
    <w:p>
      <w:pPr>
        <w:spacing w:after="0" w:line="82" w:lineRule="exact"/>
        <w:rPr>
          <w:sz w:val="20"/>
          <w:szCs w:val="20"/>
          <w:color w:val="auto"/>
        </w:rPr>
      </w:pPr>
    </w:p>
    <w:p>
      <w:pPr>
        <w:ind w:left="2300"/>
        <w:spacing w:after="0"/>
        <w:tabs>
          <w:tab w:leader="none" w:pos="2740" w:val="left"/>
        </w:tabs>
        <w:rPr>
          <w:sz w:val="20"/>
          <w:szCs w:val="20"/>
          <w:color w:val="auto"/>
        </w:rPr>
      </w:pPr>
      <w:r>
        <w:rPr>
          <w:rFonts w:ascii="Times New Roman" w:cs="Times New Roman" w:eastAsia="Times New Roman" w:hAnsi="Times New Roman"/>
          <w:sz w:val="14"/>
          <w:szCs w:val="14"/>
          <w:color w:val="231F20"/>
        </w:rPr>
        <w:t>Title:</w:t>
      </w:r>
      <w:r>
        <w:rPr>
          <w:sz w:val="20"/>
          <w:szCs w:val="20"/>
          <w:color w:val="auto"/>
        </w:rPr>
        <w:tab/>
      </w: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[Signature Page to Sublease]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336550</wp:posOffset>
            </wp:positionV>
            <wp:extent cx="694055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6940550" cy="42545"/>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type w:val="continuous"/>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231F20"/>
        </w:rPr>
        <w:t>EXHIBIT A</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231F20"/>
        </w:rPr>
        <w:t>COPY OF MASTER LEASE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231F20"/>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231F20"/>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245110</wp:posOffset>
            </wp:positionV>
            <wp:extent cx="694055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6940550" cy="42545"/>
                    </a:xfrm>
                    <a:prstGeom prst="rect">
                      <a:avLst/>
                    </a:prstGeom>
                    <a:noFill/>
                  </pic:spPr>
                </pic:pic>
              </a:graphicData>
            </a:graphic>
          </wp:anchor>
        </w:drawing>
      </w:r>
    </w:p>
    <w:p>
      <w:pPr>
        <w:sectPr>
          <w:pgSz w:w="11900" w:h="16838" w:orient="portrait"/>
          <w:cols w:equalWidth="0" w:num="1">
            <w:col w:w="9019"/>
          </w:cols>
          <w:pgMar w:left="1440" w:top="821" w:right="1440"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231F20"/>
        </w:rPr>
        <w:t>EXHIBIT B</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231F20"/>
        </w:rPr>
        <w:t>LIST OF FF&amp;E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4063365" cy="37890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4063365" cy="378904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2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i w:val="1"/>
                <w:iCs w:val="1"/>
                <w:color w:val="231F20"/>
              </w:rPr>
              <w:t>Items and Quantity</w:t>
            </w:r>
          </w:p>
        </w:tc>
        <w:tc>
          <w:tcPr>
            <w:tcW w:w="3200" w:type="dxa"/>
            <w:vAlign w:val="bottom"/>
            <w:tcBorders>
              <w:top w:val="single" w:sz="8" w:color="auto"/>
            </w:tcBorders>
          </w:tcPr>
          <w:p>
            <w:pPr>
              <w:ind w:left="1960"/>
              <w:spacing w:after="0"/>
              <w:rPr>
                <w:sz w:val="20"/>
                <w:szCs w:val="20"/>
                <w:color w:val="auto"/>
              </w:rPr>
            </w:pPr>
            <w:r>
              <w:rPr>
                <w:rFonts w:ascii="Times New Roman" w:cs="Times New Roman" w:eastAsia="Times New Roman" w:hAnsi="Times New Roman"/>
                <w:sz w:val="14"/>
                <w:szCs w:val="14"/>
                <w:b w:val="1"/>
                <w:bCs w:val="1"/>
                <w:i w:val="1"/>
                <w:iCs w:val="1"/>
                <w:color w:val="231F20"/>
              </w:rPr>
              <w:t>Notes</w:t>
            </w:r>
          </w:p>
        </w:tc>
      </w:tr>
    </w:tbl>
    <w:p>
      <w:pPr>
        <w:spacing w:after="0" w:line="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231F20"/>
        </w:rPr>
        <w:t>Furniture</w:t>
      </w:r>
    </w:p>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231F20"/>
        </w:rPr>
        <w:t>"</w:t>
      </w:r>
    </w:p>
    <w:p>
      <w:pPr>
        <w:spacing w:after="0" w:line="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231F20"/>
        </w:rPr>
        <w:t>Workstations / desks (138), includes roughly (12) office desks</w:t>
      </w:r>
    </w:p>
    <w:p>
      <w:pPr>
        <w:spacing w:after="0" w:line="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231F20"/>
        </w:rPr>
        <w:t>"</w:t>
      </w:r>
    </w:p>
    <w:p>
      <w:pPr>
        <w:spacing w:after="0" w:line="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231F20"/>
        </w:rPr>
        <w:t>Task chairs (28)</w:t>
      </w:r>
    </w:p>
    <w:p>
      <w:pPr>
        <w:spacing w:after="0" w:line="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231F20"/>
        </w:rPr>
        <w:t>"</w:t>
      </w:r>
    </w:p>
    <w:p>
      <w:pPr>
        <w:spacing w:after="0" w:line="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231F20"/>
        </w:rPr>
        <w:t>Conference tables (15)</w:t>
      </w:r>
    </w:p>
    <w:p>
      <w:pPr>
        <w:spacing w:after="0" w:line="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231F20"/>
        </w:rPr>
        <w:t>"</w:t>
      </w:r>
    </w:p>
    <w:p>
      <w:pPr>
        <w:spacing w:after="0" w:line="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231F20"/>
        </w:rPr>
        <w:t>Lounge seating (35)</w:t>
      </w:r>
    </w:p>
    <w:p>
      <w:pPr>
        <w:spacing w:after="0" w:line="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231F20"/>
        </w:rPr>
        <w:t>"</w:t>
      </w:r>
    </w:p>
    <w:p>
      <w:pPr>
        <w:spacing w:after="0" w:line="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231F20"/>
        </w:rPr>
        <w:t>Storage cabinets (20)</w:t>
      </w:r>
    </w:p>
    <w:p>
      <w:pPr>
        <w:spacing w:after="0" w:line="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231F20"/>
        </w:rPr>
        <w:t>"</w:t>
      </w:r>
    </w:p>
    <w:p>
      <w:pPr>
        <w:spacing w:after="0" w:line="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231F20"/>
        </w:rPr>
        <w:t>Breakroom furniture: tables (8) , chairs (30) &amp; TV's (2)</w:t>
      </w:r>
    </w:p>
    <w:p>
      <w:pPr>
        <w:spacing w:after="0" w:line="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231F20"/>
        </w:rPr>
        <w:t>"</w:t>
      </w:r>
    </w:p>
    <w:p>
      <w:pPr>
        <w:spacing w:after="0" w:line="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231F20"/>
        </w:rPr>
        <w:t>Mobile whiteboards (16)</w:t>
      </w:r>
    </w:p>
    <w:p>
      <w:pPr>
        <w:spacing w:after="0" w:line="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231F20"/>
        </w:rPr>
        <w:t>Fixtures (Installed but Non-Permanent)</w:t>
      </w:r>
    </w:p>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231F20"/>
        </w:rPr>
        <w:t>"</w:t>
      </w:r>
    </w:p>
    <w:p>
      <w:pPr>
        <w:spacing w:after="0" w:line="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231F20"/>
        </w:rPr>
        <w:t>Wall-mounted whiteboards (19)</w:t>
      </w:r>
    </w:p>
    <w:p>
      <w:pPr>
        <w:spacing w:after="0" w:line="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231F20"/>
        </w:rPr>
        <w:t>"</w:t>
      </w:r>
    </w:p>
    <w:p>
      <w:pPr>
        <w:spacing w:after="0" w:line="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231F20"/>
        </w:rPr>
        <w:t>Mounted TVs (22)</w:t>
      </w:r>
    </w:p>
    <w:p>
      <w:pPr>
        <w:spacing w:after="0" w:line="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231F20"/>
        </w:rPr>
        <w:t>"</w:t>
      </w:r>
    </w:p>
    <w:p>
      <w:pPr>
        <w:spacing w:after="0" w:line="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231F20"/>
        </w:rPr>
        <w:t>AV brackets / mounts (11)</w:t>
      </w:r>
    </w:p>
    <w:p>
      <w:pPr>
        <w:spacing w:after="0" w:line="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231F20"/>
        </w:rPr>
        <w:t>Equipment (Non-IT)</w:t>
      </w:r>
    </w:p>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231F20"/>
        </w:rPr>
        <w:t>"</w:t>
      </w:r>
    </w:p>
    <w:p>
      <w:pPr>
        <w:spacing w:after="0" w:line="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231F20"/>
        </w:rPr>
        <w:t>Breakroom appliances: toasters (5), Air Fryer (2), Microwave (5)</w:t>
      </w:r>
    </w:p>
    <w:p>
      <w:pPr>
        <w:spacing w:after="0" w:line="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231F20"/>
        </w:rPr>
        <w:t>"</w:t>
      </w:r>
    </w:p>
    <w:p>
      <w:pPr>
        <w:spacing w:after="0" w:line="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231F20"/>
        </w:rPr>
        <w:t>Refrigerators (2)</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231F20"/>
        </w:rPr>
        <w:t>Coffee machines coffee pots (2), Keurig (2)</w:t>
      </w:r>
    </w:p>
    <w:p>
      <w:pPr>
        <w:sectPr>
          <w:pgSz w:w="11900" w:h="16838" w:orient="portrait"/>
          <w:cols w:equalWidth="0" w:num="1">
            <w:col w:w="9560"/>
          </w:cols>
          <w:pgMar w:left="1160" w:top="839" w:right="1179" w:bottom="1440" w:gutter="0" w:footer="0" w:header="0"/>
        </w:sectPr>
      </w:pPr>
    </w:p>
    <w:p>
      <w:pPr>
        <w:spacing w:after="0" w:line="30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231F20"/>
        </w:rPr>
        <w:t>*These fixtures, which shall remain the property of Sublandlord, Premises by Sublandlord and may be used by Subtenant during</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shall</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the</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231F20"/>
        </w:rPr>
        <w:t>be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Term;</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jc w:val="right"/>
        <w:spacing w:after="0" w:line="261" w:lineRule="auto"/>
        <w:rPr>
          <w:sz w:val="20"/>
          <w:szCs w:val="20"/>
          <w:color w:val="auto"/>
        </w:rPr>
      </w:pPr>
      <w:r>
        <w:rPr>
          <w:rFonts w:ascii="Times New Roman" w:cs="Times New Roman" w:eastAsia="Times New Roman" w:hAnsi="Times New Roman"/>
          <w:sz w:val="14"/>
          <w:szCs w:val="14"/>
          <w:color w:val="231F20"/>
        </w:rPr>
        <w:t>left     in provided,</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jc w:val="both"/>
        <w:ind w:hanging="26"/>
        <w:spacing w:after="0" w:line="261" w:lineRule="auto"/>
        <w:rPr>
          <w:sz w:val="20"/>
          <w:szCs w:val="20"/>
          <w:color w:val="auto"/>
        </w:rPr>
      </w:pPr>
      <w:r>
        <w:rPr>
          <w:rFonts w:ascii="Times New Roman" w:cs="Times New Roman" w:eastAsia="Times New Roman" w:hAnsi="Times New Roman"/>
          <w:sz w:val="14"/>
          <w:szCs w:val="14"/>
          <w:color w:val="231F20"/>
        </w:rPr>
        <w:t>the</w:t>
      </w:r>
      <w:r>
        <w:rPr>
          <w:sz w:val="20"/>
          <w:szCs w:val="20"/>
          <w:color w:val="auto"/>
        </w:rPr>
        <w:t xml:space="preserve"> </w:t>
      </w:r>
      <w:r>
        <w:rPr>
          <w:rFonts w:ascii="Times New Roman" w:cs="Times New Roman" w:eastAsia="Times New Roman" w:hAnsi="Times New Roman"/>
          <w:sz w:val="14"/>
          <w:szCs w:val="14"/>
          <w:color w:val="231F20"/>
        </w:rPr>
        <w:t>Subleased however, that</w:t>
      </w:r>
    </w:p>
    <w:p>
      <w:pPr>
        <w:spacing w:after="0" w:line="1" w:lineRule="exact"/>
        <w:rPr>
          <w:sz w:val="20"/>
          <w:szCs w:val="20"/>
          <w:color w:val="auto"/>
        </w:rPr>
      </w:pPr>
    </w:p>
    <w:p>
      <w:pPr>
        <w:sectPr>
          <w:pgSz w:w="11900" w:h="16838" w:orient="portrait"/>
          <w:cols w:equalWidth="0" w:num="5">
            <w:col w:w="6160" w:space="280"/>
            <w:col w:w="260" w:space="260"/>
            <w:col w:w="340" w:space="200"/>
            <w:col w:w="680" w:space="320"/>
            <w:col w:w="1060"/>
          </w:cols>
          <w:pgMar w:left="1160" w:top="839" w:right="117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231F20"/>
        </w:rPr>
        <w:t>these fixtures shall not be altered, removed, or replaced by Subtenant at any time during the Term.</w:t>
      </w:r>
    </w:p>
    <w:p>
      <w:pPr>
        <w:sectPr>
          <w:pgSz w:w="11900" w:h="16838" w:orient="portrait"/>
          <w:cols w:equalWidth="0" w:num="1">
            <w:col w:w="9560"/>
          </w:cols>
          <w:pgMar w:left="1160" w:top="839" w:right="11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231F20"/>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245110</wp:posOffset>
            </wp:positionV>
            <wp:extent cx="694055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6940550" cy="42545"/>
                    </a:xfrm>
                    <a:prstGeom prst="rect">
                      <a:avLst/>
                    </a:prstGeom>
                    <a:noFill/>
                  </pic:spPr>
                </pic:pic>
              </a:graphicData>
            </a:graphic>
          </wp:anchor>
        </w:drawing>
      </w:r>
    </w:p>
    <w:p>
      <w:pPr>
        <w:sectPr>
          <w:pgSz w:w="11900" w:h="16838" w:orient="portrait"/>
          <w:cols w:equalWidth="0" w:num="1">
            <w:col w:w="9560"/>
          </w:cols>
          <w:pgMar w:left="1160" w:top="839" w:right="1179" w:bottom="1440" w:gutter="0" w:footer="0" w:header="0"/>
          <w:type w:val="continuous"/>
        </w:sectPr>
      </w:pPr>
    </w:p>
    <w:bookmarkStart w:id="73" w:name="page74"/>
    <w:bookmarkEnd w:id="73"/>
    <w:p>
      <w:pPr>
        <w:jc w:val="center"/>
        <w:ind w:right="-459"/>
        <w:spacing w:after="0"/>
        <w:rPr>
          <w:sz w:val="20"/>
          <w:szCs w:val="20"/>
          <w:color w:val="auto"/>
        </w:rPr>
      </w:pPr>
      <w:r>
        <w:rPr>
          <w:rFonts w:ascii="Times New Roman" w:cs="Times New Roman" w:eastAsia="Times New Roman" w:hAnsi="Times New Roman"/>
          <w:sz w:val="14"/>
          <w:szCs w:val="14"/>
          <w:b w:val="1"/>
          <w:bCs w:val="1"/>
          <w:u w:val="single" w:color="auto"/>
          <w:color w:val="231F20"/>
        </w:rPr>
        <w:t>EXHIBIT C</w:t>
      </w:r>
      <w:r>
        <w:rPr>
          <w:rFonts w:ascii="Times New Roman" w:cs="Times New Roman" w:eastAsia="Times New Roman" w:hAnsi="Times New Roman"/>
          <w:sz w:val="14"/>
          <w:szCs w:val="14"/>
          <w:b w:val="1"/>
          <w:bCs w:val="1"/>
          <w:color w:val="231F20"/>
        </w:rPr>
        <w:t xml:space="preserve"> FORM OF BILL OF SALE</w:t>
      </w:r>
    </w:p>
    <w:p>
      <w:pPr>
        <w:spacing w:after="0" w:line="3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4"/>
          <w:szCs w:val="14"/>
          <w:b w:val="1"/>
          <w:bCs w:val="1"/>
          <w:color w:val="231F20"/>
        </w:rPr>
        <w:t>BILL OF SALE</w:t>
      </w:r>
    </w:p>
    <w:p>
      <w:pPr>
        <w:spacing w:after="0" w:line="102" w:lineRule="exact"/>
        <w:rPr>
          <w:sz w:val="20"/>
          <w:szCs w:val="20"/>
          <w:color w:val="auto"/>
        </w:rPr>
      </w:pPr>
    </w:p>
    <w:p>
      <w:pPr>
        <w:jc w:val="both"/>
        <w:ind w:right="20" w:firstLine="432"/>
        <w:spacing w:after="0" w:line="255" w:lineRule="auto"/>
        <w:rPr>
          <w:sz w:val="20"/>
          <w:szCs w:val="20"/>
          <w:color w:val="auto"/>
        </w:rPr>
      </w:pPr>
      <w:r>
        <w:rPr>
          <w:rFonts w:ascii="Times New Roman" w:cs="Times New Roman" w:eastAsia="Times New Roman" w:hAnsi="Times New Roman"/>
          <w:sz w:val="14"/>
          <w:szCs w:val="14"/>
          <w:color w:val="231F20"/>
        </w:rPr>
        <w:t>For the sum of One Dollar ($1.00) in hand paid and other good and valuable consideration, the receipt and sufficiency of which are hereby acknowledged, Heartflow, Inc., a Delaware corporation (“</w:t>
      </w:r>
      <w:r>
        <w:rPr>
          <w:rFonts w:ascii="Times New Roman" w:cs="Times New Roman" w:eastAsia="Times New Roman" w:hAnsi="Times New Roman"/>
          <w:sz w:val="14"/>
          <w:szCs w:val="14"/>
          <w:b w:val="1"/>
          <w:bCs w:val="1"/>
          <w:color w:val="231F20"/>
        </w:rPr>
        <w:t>Seller</w:t>
      </w:r>
      <w:r>
        <w:rPr>
          <w:rFonts w:ascii="Times New Roman" w:cs="Times New Roman" w:eastAsia="Times New Roman" w:hAnsi="Times New Roman"/>
          <w:sz w:val="14"/>
          <w:szCs w:val="14"/>
          <w:color w:val="231F20"/>
        </w:rPr>
        <w:t xml:space="preserve">”), does hereby sell, grant, assign, transfer, set over and convey to Glean Technologies, Inc., a </w:t>
      </w:r>
      <w:r>
        <w:rPr>
          <w:rFonts w:ascii="Times New Roman" w:cs="Times New Roman" w:eastAsia="Times New Roman" w:hAnsi="Times New Roman"/>
          <w:sz w:val="14"/>
          <w:szCs w:val="14"/>
          <w:u w:val="single" w:color="auto"/>
          <w:color w:val="231F20"/>
        </w:rPr>
        <w:t>Delaware</w:t>
      </w:r>
      <w:r>
        <w:rPr>
          <w:rFonts w:ascii="Times New Roman" w:cs="Times New Roman" w:eastAsia="Times New Roman" w:hAnsi="Times New Roman"/>
          <w:sz w:val="14"/>
          <w:szCs w:val="14"/>
          <w:color w:val="231F20"/>
        </w:rPr>
        <w:t xml:space="preserve"> corporation (“</w:t>
      </w:r>
      <w:r>
        <w:rPr>
          <w:rFonts w:ascii="Times New Roman" w:cs="Times New Roman" w:eastAsia="Times New Roman" w:hAnsi="Times New Roman"/>
          <w:sz w:val="14"/>
          <w:szCs w:val="14"/>
          <w:b w:val="1"/>
          <w:bCs w:val="1"/>
          <w:color w:val="231F20"/>
        </w:rPr>
        <w:t>Buyer</w:t>
      </w:r>
      <w:r>
        <w:rPr>
          <w:rFonts w:ascii="Times New Roman" w:cs="Times New Roman" w:eastAsia="Times New Roman" w:hAnsi="Times New Roman"/>
          <w:sz w:val="14"/>
          <w:szCs w:val="14"/>
          <w:color w:val="231F20"/>
        </w:rPr>
        <w:t>”), its successors and assigns, the personal property and furniture, fixtures and equipment owned by Seller and located within that certain premises located at 331 E. Evelyn Avenue, Mountain View, CA 94041 (“</w:t>
      </w:r>
      <w:r>
        <w:rPr>
          <w:rFonts w:ascii="Times New Roman" w:cs="Times New Roman" w:eastAsia="Times New Roman" w:hAnsi="Times New Roman"/>
          <w:sz w:val="14"/>
          <w:szCs w:val="14"/>
          <w:b w:val="1"/>
          <w:bCs w:val="1"/>
          <w:color w:val="231F20"/>
        </w:rPr>
        <w:t>Furniture</w:t>
      </w:r>
      <w:r>
        <w:rPr>
          <w:rFonts w:ascii="Times New Roman" w:cs="Times New Roman" w:eastAsia="Times New Roman" w:hAnsi="Times New Roman"/>
          <w:sz w:val="14"/>
          <w:szCs w:val="14"/>
          <w:color w:val="231F20"/>
        </w:rPr>
        <w:t>”).</w:t>
      </w:r>
    </w:p>
    <w:p>
      <w:pPr>
        <w:spacing w:after="0" w:line="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231F20"/>
        </w:rPr>
        <w:t>TO HAVE AND TO HOLD the Furniture unto the Buyer, its successors and assigns forever.</w:t>
      </w:r>
    </w:p>
    <w:p>
      <w:pPr>
        <w:spacing w:after="0" w:line="73"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4"/>
          <w:szCs w:val="14"/>
          <w:color w:val="231F20"/>
        </w:rPr>
        <w:t>Buyer acknowledges that Seller is selling and Buyer is buying the Furniture on an “as is, where is, with all faults” basis, and that, except as set forth in the immediately succeeding sentence, Buyer is not relying on any representations or warranties of any kind whatsoever, express or implied, including, without limitation, any implied warranties as to merchantability or fitness for a particular purpose. Seller represents and warrants to the Buyer that (i) Seller is the lawful owner of the Furniture; (ii) the Furniture is free from all liens, restrictions, leases, security interests, claims, charges or encumbrances whatsoever; and (iii) Seller has the legal right to sell the Furniture.</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231F20"/>
        </w:rPr>
        <w:t>Buyer shall take delivery of the Furniture in its “as-is, where-is, with all faults” condition.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Seller shall have no obligation to repair or replace any item of Furniture.</w:t>
      </w:r>
    </w:p>
    <w:p>
      <w:pPr>
        <w:spacing w:after="0" w:line="57" w:lineRule="exact"/>
        <w:rPr>
          <w:sz w:val="20"/>
          <w:szCs w:val="20"/>
          <w:color w:val="auto"/>
        </w:rPr>
      </w:pPr>
    </w:p>
    <w:p>
      <w:pPr>
        <w:ind w:left="420"/>
        <w:spacing w:after="0"/>
        <w:tabs>
          <w:tab w:leader="none" w:pos="960" w:val="left"/>
          <w:tab w:leader="none" w:pos="1460" w:val="left"/>
          <w:tab w:leader="none" w:pos="1880" w:val="left"/>
          <w:tab w:leader="none" w:pos="2420" w:val="left"/>
          <w:tab w:leader="none" w:pos="2980" w:val="left"/>
          <w:tab w:leader="none" w:pos="3420" w:val="left"/>
          <w:tab w:leader="none" w:pos="4240" w:val="left"/>
          <w:tab w:leader="none" w:pos="4680" w:val="left"/>
          <w:tab w:leader="none" w:pos="5180" w:val="left"/>
          <w:tab w:leader="none" w:pos="6040" w:val="left"/>
          <w:tab w:leader="none" w:pos="6440" w:val="left"/>
          <w:tab w:leader="none" w:pos="7380" w:val="left"/>
          <w:tab w:leader="none" w:pos="7940" w:val="left"/>
          <w:tab w:leader="none" w:pos="8400" w:val="left"/>
          <w:tab w:leader="none" w:pos="8960" w:val="left"/>
          <w:tab w:leader="none" w:pos="9380" w:val="left"/>
        </w:tabs>
        <w:rPr>
          <w:sz w:val="20"/>
          <w:szCs w:val="20"/>
          <w:color w:val="auto"/>
        </w:rPr>
      </w:pPr>
      <w:r>
        <w:rPr>
          <w:rFonts w:ascii="Times New Roman" w:cs="Times New Roman" w:eastAsia="Times New Roman" w:hAnsi="Times New Roman"/>
          <w:sz w:val="14"/>
          <w:szCs w:val="14"/>
          <w:color w:val="231F20"/>
        </w:rPr>
        <w:t>This</w:t>
      </w:r>
      <w:r>
        <w:rPr>
          <w:sz w:val="20"/>
          <w:szCs w:val="20"/>
          <w:color w:val="auto"/>
        </w:rPr>
        <w:tab/>
      </w:r>
      <w:r>
        <w:rPr>
          <w:rFonts w:ascii="Times New Roman" w:cs="Times New Roman" w:eastAsia="Times New Roman" w:hAnsi="Times New Roman"/>
          <w:sz w:val="14"/>
          <w:szCs w:val="14"/>
          <w:color w:val="231F20"/>
        </w:rPr>
        <w:t>Bill</w:t>
      </w:r>
      <w:r>
        <w:rPr>
          <w:sz w:val="20"/>
          <w:szCs w:val="20"/>
          <w:color w:val="auto"/>
        </w:rPr>
        <w:tab/>
      </w:r>
      <w:r>
        <w:rPr>
          <w:rFonts w:ascii="Times New Roman" w:cs="Times New Roman" w:eastAsia="Times New Roman" w:hAnsi="Times New Roman"/>
          <w:sz w:val="14"/>
          <w:szCs w:val="14"/>
          <w:color w:val="231F20"/>
        </w:rPr>
        <w:t>of</w:t>
      </w:r>
      <w:r>
        <w:rPr>
          <w:sz w:val="20"/>
          <w:szCs w:val="20"/>
          <w:color w:val="auto"/>
        </w:rPr>
        <w:tab/>
      </w:r>
      <w:r>
        <w:rPr>
          <w:rFonts w:ascii="Times New Roman" w:cs="Times New Roman" w:eastAsia="Times New Roman" w:hAnsi="Times New Roman"/>
          <w:sz w:val="14"/>
          <w:szCs w:val="14"/>
          <w:color w:val="231F20"/>
        </w:rPr>
        <w:t>Sale</w:t>
      </w:r>
      <w:r>
        <w:rPr>
          <w:sz w:val="20"/>
          <w:szCs w:val="20"/>
          <w:color w:val="auto"/>
        </w:rPr>
        <w:tab/>
      </w:r>
      <w:r>
        <w:rPr>
          <w:rFonts w:ascii="Times New Roman" w:cs="Times New Roman" w:eastAsia="Times New Roman" w:hAnsi="Times New Roman"/>
          <w:sz w:val="14"/>
          <w:szCs w:val="14"/>
          <w:color w:val="231F20"/>
        </w:rPr>
        <w:t>shall</w:t>
      </w:r>
      <w:r>
        <w:rPr>
          <w:sz w:val="20"/>
          <w:szCs w:val="20"/>
          <w:color w:val="auto"/>
        </w:rPr>
        <w:tab/>
      </w:r>
      <w:r>
        <w:rPr>
          <w:rFonts w:ascii="Times New Roman" w:cs="Times New Roman" w:eastAsia="Times New Roman" w:hAnsi="Times New Roman"/>
          <w:sz w:val="14"/>
          <w:szCs w:val="14"/>
          <w:color w:val="231F20"/>
        </w:rPr>
        <w:t>be</w:t>
      </w:r>
      <w:r>
        <w:rPr>
          <w:sz w:val="20"/>
          <w:szCs w:val="20"/>
          <w:color w:val="auto"/>
        </w:rPr>
        <w:tab/>
      </w:r>
      <w:r>
        <w:rPr>
          <w:rFonts w:ascii="Times New Roman" w:cs="Times New Roman" w:eastAsia="Times New Roman" w:hAnsi="Times New Roman"/>
          <w:sz w:val="14"/>
          <w:szCs w:val="14"/>
          <w:color w:val="231F20"/>
        </w:rPr>
        <w:t>governed</w:t>
      </w:r>
      <w:r>
        <w:rPr>
          <w:sz w:val="20"/>
          <w:szCs w:val="20"/>
          <w:color w:val="auto"/>
        </w:rPr>
        <w:tab/>
      </w:r>
      <w:r>
        <w:rPr>
          <w:rFonts w:ascii="Times New Roman" w:cs="Times New Roman" w:eastAsia="Times New Roman" w:hAnsi="Times New Roman"/>
          <w:sz w:val="14"/>
          <w:szCs w:val="14"/>
          <w:color w:val="231F20"/>
        </w:rPr>
        <w:t>by</w:t>
      </w:r>
      <w:r>
        <w:rPr>
          <w:sz w:val="20"/>
          <w:szCs w:val="20"/>
          <w:color w:val="auto"/>
        </w:rPr>
        <w:tab/>
      </w:r>
      <w:r>
        <w:rPr>
          <w:rFonts w:ascii="Times New Roman" w:cs="Times New Roman" w:eastAsia="Times New Roman" w:hAnsi="Times New Roman"/>
          <w:sz w:val="14"/>
          <w:szCs w:val="14"/>
          <w:color w:val="231F20"/>
        </w:rPr>
        <w:t>and</w:t>
      </w:r>
      <w:r>
        <w:rPr>
          <w:sz w:val="20"/>
          <w:szCs w:val="20"/>
          <w:color w:val="auto"/>
        </w:rPr>
        <w:tab/>
      </w:r>
      <w:r>
        <w:rPr>
          <w:rFonts w:ascii="Times New Roman" w:cs="Times New Roman" w:eastAsia="Times New Roman" w:hAnsi="Times New Roman"/>
          <w:sz w:val="14"/>
          <w:szCs w:val="14"/>
          <w:color w:val="231F20"/>
        </w:rPr>
        <w:t>construed</w:t>
      </w:r>
      <w:r>
        <w:rPr>
          <w:sz w:val="20"/>
          <w:szCs w:val="20"/>
          <w:color w:val="auto"/>
        </w:rPr>
        <w:tab/>
      </w:r>
      <w:r>
        <w:rPr>
          <w:rFonts w:ascii="Times New Roman" w:cs="Times New Roman" w:eastAsia="Times New Roman" w:hAnsi="Times New Roman"/>
          <w:sz w:val="14"/>
          <w:szCs w:val="14"/>
          <w:color w:val="231F20"/>
        </w:rPr>
        <w:t>in</w:t>
      </w:r>
      <w:r>
        <w:rPr>
          <w:sz w:val="20"/>
          <w:szCs w:val="20"/>
          <w:color w:val="auto"/>
        </w:rPr>
        <w:tab/>
      </w:r>
      <w:r>
        <w:rPr>
          <w:rFonts w:ascii="Times New Roman" w:cs="Times New Roman" w:eastAsia="Times New Roman" w:hAnsi="Times New Roman"/>
          <w:sz w:val="14"/>
          <w:szCs w:val="14"/>
          <w:color w:val="231F20"/>
        </w:rPr>
        <w:t>accordance</w:t>
      </w:r>
      <w:r>
        <w:rPr>
          <w:sz w:val="20"/>
          <w:szCs w:val="20"/>
          <w:color w:val="auto"/>
        </w:rPr>
        <w:tab/>
      </w:r>
      <w:r>
        <w:rPr>
          <w:rFonts w:ascii="Times New Roman" w:cs="Times New Roman" w:eastAsia="Times New Roman" w:hAnsi="Times New Roman"/>
          <w:sz w:val="14"/>
          <w:szCs w:val="14"/>
          <w:color w:val="231F20"/>
        </w:rPr>
        <w:t>with</w:t>
      </w:r>
      <w:r>
        <w:rPr>
          <w:sz w:val="20"/>
          <w:szCs w:val="20"/>
          <w:color w:val="auto"/>
        </w:rPr>
        <w:tab/>
      </w:r>
      <w:r>
        <w:rPr>
          <w:rFonts w:ascii="Times New Roman" w:cs="Times New Roman" w:eastAsia="Times New Roman" w:hAnsi="Times New Roman"/>
          <w:sz w:val="14"/>
          <w:szCs w:val="14"/>
          <w:color w:val="231F20"/>
        </w:rPr>
        <w:t>the</w:t>
      </w:r>
      <w:r>
        <w:rPr>
          <w:sz w:val="20"/>
          <w:szCs w:val="20"/>
          <w:color w:val="auto"/>
        </w:rPr>
        <w:tab/>
      </w:r>
      <w:r>
        <w:rPr>
          <w:rFonts w:ascii="Times New Roman" w:cs="Times New Roman" w:eastAsia="Times New Roman" w:hAnsi="Times New Roman"/>
          <w:sz w:val="14"/>
          <w:szCs w:val="14"/>
          <w:color w:val="231F20"/>
        </w:rPr>
        <w:t>laws</w:t>
      </w:r>
      <w:r>
        <w:rPr>
          <w:sz w:val="20"/>
          <w:szCs w:val="20"/>
          <w:color w:val="auto"/>
        </w:rPr>
        <w:tab/>
      </w:r>
      <w:r>
        <w:rPr>
          <w:rFonts w:ascii="Times New Roman" w:cs="Times New Roman" w:eastAsia="Times New Roman" w:hAnsi="Times New Roman"/>
          <w:sz w:val="14"/>
          <w:szCs w:val="14"/>
          <w:color w:val="231F20"/>
        </w:rPr>
        <w:t>of</w:t>
      </w:r>
      <w:r>
        <w:rPr>
          <w:sz w:val="20"/>
          <w:szCs w:val="20"/>
          <w:color w:val="auto"/>
        </w:rPr>
        <w:tab/>
      </w:r>
      <w:r>
        <w:rPr>
          <w:rFonts w:ascii="Times New Roman" w:cs="Times New Roman" w:eastAsia="Times New Roman" w:hAnsi="Times New Roman"/>
          <w:sz w:val="14"/>
          <w:szCs w:val="14"/>
          <w:color w:val="231F20"/>
        </w:rPr>
        <w:t>the</w:t>
      </w:r>
    </w:p>
    <w:p>
      <w:pPr>
        <w:spacing w:after="0" w:line="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231F20"/>
        </w:rPr>
        <w:t>State of California. Any waiver by either party of any breach of any term or condition of this Bill of Sale shall not operate as a waiver of any other breach of such term or condition or of any other term or condition, nor shall any failure to enforce such provision hereof operate as a waiver of such provision or of any other provision hereof, nor constitute nor be deemed as a waiver or release of any other party for anything arising out of, connected with or based upon this Bill of Sale. In the event of any litigation involving the parties arising out of this Bill of Sale, the prevailing party shall be entitled to recover from the other party such reasonable attorneys’ fees and costs as may reasonably be incurred, as awarded by the court hearing the matter.</w:t>
      </w:r>
    </w:p>
    <w:p>
      <w:pPr>
        <w:spacing w:after="0" w:line="4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231F20"/>
        </w:rPr>
        <w:t>This Bill of Sale may be executed in one or more counterparts, each of which shall be deemed an original but all of which taken together shall constitute one and the same instrument.</w:t>
      </w:r>
    </w:p>
    <w:p>
      <w:pPr>
        <w:spacing w:after="0" w:line="18"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4"/>
          <w:szCs w:val="14"/>
          <w:color w:val="231F20"/>
        </w:rPr>
        <w:t>This Bill of Sale shall be binding upon and shall inure to the benefit of the parties hereto and their respective heirs, executors, administrators, legal representatives,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1267460</wp:posOffset>
            </wp:positionV>
            <wp:extent cx="694055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6940550" cy="42545"/>
                    </a:xfrm>
                    <a:prstGeom prst="rect">
                      <a:avLst/>
                    </a:prstGeom>
                    <a:noFill/>
                  </pic:spPr>
                </pic:pic>
              </a:graphicData>
            </a:graphic>
          </wp:anchor>
        </w:drawing>
      </w:r>
    </w:p>
    <w:p>
      <w:pPr>
        <w:sectPr>
          <w:pgSz w:w="11900" w:h="16838" w:orient="portrait"/>
          <w:cols w:equalWidth="0" w:num="1">
            <w:col w:w="9580"/>
          </w:cols>
          <w:pgMar w:left="1160" w:top="839" w:right="1159" w:bottom="1440"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254635</wp:posOffset>
            </wp:positionV>
            <wp:extent cx="6940550" cy="52590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6940550" cy="5259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768350</wp:posOffset>
            </wp:positionH>
            <wp:positionV relativeFrom="page">
              <wp:posOffset>351790</wp:posOffset>
            </wp:positionV>
            <wp:extent cx="3520440" cy="46805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3520440" cy="468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231F20"/>
        </w:rPr>
        <w:t>[Signatures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245110</wp:posOffset>
            </wp:positionV>
            <wp:extent cx="694055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694055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61"/>
        </w:trPr>
        <w:tc>
          <w:tcPr>
            <w:tcW w:w="1540" w:type="dxa"/>
            <w:vAlign w:val="bottom"/>
          </w:tcPr>
          <w:p>
            <w:pPr>
              <w:ind w:left="860"/>
              <w:spacing w:after="0"/>
              <w:rPr>
                <w:sz w:val="20"/>
                <w:szCs w:val="20"/>
                <w:color w:val="auto"/>
              </w:rPr>
            </w:pPr>
            <w:r>
              <w:rPr>
                <w:rFonts w:ascii="Times New Roman" w:cs="Times New Roman" w:eastAsia="Times New Roman" w:hAnsi="Times New Roman"/>
                <w:sz w:val="14"/>
                <w:szCs w:val="14"/>
                <w:color w:val="231F20"/>
              </w:rPr>
              <w:t>Dated this</w:t>
            </w:r>
          </w:p>
        </w:tc>
        <w:tc>
          <w:tcPr>
            <w:tcW w:w="1560" w:type="dxa"/>
            <w:vAlign w:val="bottom"/>
          </w:tcPr>
          <w:p>
            <w:pPr>
              <w:ind w:left="360"/>
              <w:spacing w:after="0"/>
              <w:rPr>
                <w:sz w:val="20"/>
                <w:szCs w:val="20"/>
                <w:color w:val="auto"/>
              </w:rPr>
            </w:pPr>
            <w:r>
              <w:rPr>
                <w:rFonts w:ascii="Times New Roman" w:cs="Times New Roman" w:eastAsia="Times New Roman" w:hAnsi="Times New Roman"/>
                <w:sz w:val="14"/>
                <w:szCs w:val="14"/>
                <w:color w:val="231F20"/>
              </w:rPr>
              <w:t>day of</w:t>
            </w:r>
          </w:p>
        </w:tc>
        <w:tc>
          <w:tcPr>
            <w:tcW w:w="778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231F20"/>
              </w:rPr>
              <w:t>, 2026.</w:t>
            </w:r>
          </w:p>
        </w:tc>
      </w:tr>
      <w:tr>
        <w:trPr>
          <w:trHeight w:val="174"/>
        </w:trPr>
        <w:tc>
          <w:tcPr>
            <w:tcW w:w="1540" w:type="dxa"/>
            <w:vAlign w:val="bottom"/>
          </w:tcPr>
          <w:p>
            <w:pPr>
              <w:spacing w:after="0"/>
              <w:rPr>
                <w:sz w:val="15"/>
                <w:szCs w:val="15"/>
                <w:color w:val="auto"/>
              </w:rPr>
            </w:pPr>
          </w:p>
        </w:tc>
        <w:tc>
          <w:tcPr>
            <w:tcW w:w="1560" w:type="dxa"/>
            <w:vAlign w:val="bottom"/>
          </w:tcPr>
          <w:p>
            <w:pPr>
              <w:ind w:left="80"/>
              <w:spacing w:after="0"/>
              <w:rPr>
                <w:sz w:val="20"/>
                <w:szCs w:val="20"/>
                <w:color w:val="auto"/>
              </w:rPr>
            </w:pPr>
            <w:r>
              <w:rPr>
                <w:rFonts w:ascii="Times New Roman" w:cs="Times New Roman" w:eastAsia="Times New Roman" w:hAnsi="Times New Roman"/>
                <w:sz w:val="11"/>
                <w:szCs w:val="11"/>
                <w:color w:val="010202"/>
              </w:rPr>
              <w:t>3/11/2026 I 6:27 PM PDT</w:t>
            </w:r>
          </w:p>
        </w:tc>
        <w:tc>
          <w:tcPr>
            <w:tcW w:w="820" w:type="dxa"/>
            <w:vAlign w:val="bottom"/>
          </w:tcPr>
          <w:p>
            <w:pPr>
              <w:spacing w:after="0"/>
              <w:rPr>
                <w:sz w:val="15"/>
                <w:szCs w:val="15"/>
                <w:color w:val="auto"/>
              </w:rPr>
            </w:pPr>
          </w:p>
        </w:tc>
        <w:tc>
          <w:tcPr>
            <w:tcW w:w="140" w:type="dxa"/>
            <w:vAlign w:val="bottom"/>
            <w:tcBorders>
              <w:top w:val="single" w:sz="8" w:color="231F20"/>
            </w:tcBorders>
          </w:tcPr>
          <w:p>
            <w:pPr>
              <w:spacing w:after="0"/>
              <w:rPr>
                <w:sz w:val="15"/>
                <w:szCs w:val="15"/>
                <w:color w:val="auto"/>
              </w:rPr>
            </w:pPr>
          </w:p>
        </w:tc>
        <w:tc>
          <w:tcPr>
            <w:tcW w:w="6820" w:type="dxa"/>
            <w:vAlign w:val="bottom"/>
          </w:tcPr>
          <w:p>
            <w:pPr>
              <w:spacing w:after="0"/>
              <w:rPr>
                <w:sz w:val="15"/>
                <w:szCs w:val="15"/>
                <w:color w:val="auto"/>
              </w:rPr>
            </w:pPr>
          </w:p>
        </w:tc>
      </w:tr>
      <w:tr>
        <w:trPr>
          <w:trHeight w:val="328"/>
        </w:trPr>
        <w:tc>
          <w:tcPr>
            <w:tcW w:w="1540" w:type="dxa"/>
            <w:vAlign w:val="bottom"/>
          </w:tcPr>
          <w:p>
            <w:pPr>
              <w:ind w:left="860"/>
              <w:spacing w:after="0"/>
              <w:rPr>
                <w:sz w:val="20"/>
                <w:szCs w:val="20"/>
                <w:color w:val="auto"/>
              </w:rPr>
            </w:pPr>
            <w:r>
              <w:rPr>
                <w:rFonts w:ascii="Times New Roman" w:cs="Times New Roman" w:eastAsia="Times New Roman" w:hAnsi="Times New Roman"/>
                <w:sz w:val="14"/>
                <w:szCs w:val="14"/>
                <w:color w:val="231F20"/>
              </w:rPr>
              <w:t>SELLER:</w:t>
            </w:r>
          </w:p>
        </w:tc>
        <w:tc>
          <w:tcPr>
            <w:tcW w:w="1560" w:type="dxa"/>
            <w:vAlign w:val="bottom"/>
          </w:tcPr>
          <w:p>
            <w:pPr>
              <w:spacing w:after="0"/>
              <w:rPr>
                <w:sz w:val="24"/>
                <w:szCs w:val="24"/>
                <w:color w:val="auto"/>
              </w:rPr>
            </w:pPr>
          </w:p>
        </w:tc>
        <w:tc>
          <w:tcPr>
            <w:tcW w:w="778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231F20"/>
              </w:rPr>
              <w:t>HEARTFLOW, INC.,</w:t>
            </w:r>
          </w:p>
        </w:tc>
      </w:tr>
      <w:tr>
        <w:trPr>
          <w:trHeight w:val="188"/>
        </w:trPr>
        <w:tc>
          <w:tcPr>
            <w:tcW w:w="15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7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231F20"/>
              </w:rPr>
              <w:t>a Delaware corporation</w:t>
            </w:r>
          </w:p>
        </w:tc>
      </w:tr>
      <w:tr>
        <w:trPr>
          <w:trHeight w:val="486"/>
        </w:trPr>
        <w:tc>
          <w:tcPr>
            <w:tcW w:w="1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7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231F20"/>
              </w:rPr>
              <w:t>By: /s/ Vikram Verghese</w:t>
            </w:r>
          </w:p>
        </w:tc>
      </w:tr>
      <w:tr>
        <w:trPr>
          <w:trHeight w:val="207"/>
        </w:trPr>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7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231F20"/>
              </w:rPr>
              <w:t xml:space="preserve">Title: </w:t>
            </w:r>
            <w:r>
              <w:rPr>
                <w:rFonts w:ascii="Times New Roman" w:cs="Times New Roman" w:eastAsia="Times New Roman" w:hAnsi="Times New Roman"/>
                <w:sz w:val="10"/>
                <w:szCs w:val="10"/>
                <w:color w:val="010202"/>
              </w:rPr>
              <w:t>Chief Financial Officer</w:t>
            </w:r>
          </w:p>
        </w:tc>
      </w:tr>
      <w:tr>
        <w:trPr>
          <w:trHeight w:val="694"/>
        </w:trPr>
        <w:tc>
          <w:tcPr>
            <w:tcW w:w="1540" w:type="dxa"/>
            <w:vAlign w:val="bottom"/>
          </w:tcPr>
          <w:p>
            <w:pPr>
              <w:ind w:left="860"/>
              <w:spacing w:after="0"/>
              <w:rPr>
                <w:sz w:val="20"/>
                <w:szCs w:val="20"/>
                <w:color w:val="auto"/>
              </w:rPr>
            </w:pPr>
            <w:r>
              <w:rPr>
                <w:rFonts w:ascii="Times New Roman" w:cs="Times New Roman" w:eastAsia="Times New Roman" w:hAnsi="Times New Roman"/>
                <w:sz w:val="14"/>
                <w:szCs w:val="14"/>
                <w:color w:val="231F20"/>
              </w:rPr>
              <w:t>BUYER:</w:t>
            </w:r>
          </w:p>
        </w:tc>
        <w:tc>
          <w:tcPr>
            <w:tcW w:w="1560" w:type="dxa"/>
            <w:vAlign w:val="bottom"/>
          </w:tcPr>
          <w:p>
            <w:pPr>
              <w:spacing w:after="0"/>
              <w:rPr>
                <w:sz w:val="24"/>
                <w:szCs w:val="24"/>
                <w:color w:val="auto"/>
              </w:rPr>
            </w:pPr>
          </w:p>
        </w:tc>
        <w:tc>
          <w:tcPr>
            <w:tcW w:w="778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231F20"/>
              </w:rPr>
              <w:t>GLEAN TECHNOLOGIES, INC.,</w:t>
            </w:r>
          </w:p>
        </w:tc>
      </w:tr>
      <w:tr>
        <w:trPr>
          <w:trHeight w:val="188"/>
        </w:trPr>
        <w:tc>
          <w:tcPr>
            <w:tcW w:w="15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7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231F20"/>
              </w:rPr>
              <w:t>a Delaware corporation</w:t>
            </w:r>
          </w:p>
        </w:tc>
      </w:tr>
      <w:tr>
        <w:trPr>
          <w:trHeight w:val="486"/>
        </w:trPr>
        <w:tc>
          <w:tcPr>
            <w:tcW w:w="1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7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231F20"/>
              </w:rPr>
              <w:t>By:_</w:t>
            </w:r>
            <w:r>
              <w:rPr>
                <w:rFonts w:ascii="Times New Roman" w:cs="Times New Roman" w:eastAsia="Times New Roman" w:hAnsi="Times New Roman"/>
                <w:sz w:val="14"/>
                <w:szCs w:val="14"/>
                <w:b w:val="1"/>
                <w:bCs w:val="1"/>
                <w:color w:val="000000"/>
              </w:rPr>
              <w:t>[***]</w:t>
            </w:r>
          </w:p>
        </w:tc>
      </w:tr>
      <w:tr>
        <w:trPr>
          <w:trHeight w:val="207"/>
        </w:trPr>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7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231F20"/>
              </w:rPr>
              <w:t>Title:_</w:t>
            </w:r>
            <w:r>
              <w:rPr>
                <w:rFonts w:ascii="Times New Roman" w:cs="Times New Roman" w:eastAsia="Times New Roman" w:hAnsi="Times New Roman"/>
                <w:sz w:val="14"/>
                <w:szCs w:val="14"/>
                <w:b w:val="1"/>
                <w:bCs w:val="1"/>
                <w:color w:val="000000"/>
              </w:rPr>
              <w:t>[***]_______</w:t>
            </w:r>
          </w:p>
        </w:tc>
      </w:tr>
      <w:tr>
        <w:trPr>
          <w:trHeight w:val="449"/>
        </w:trPr>
        <w:tc>
          <w:tcPr>
            <w:tcW w:w="15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-29210</wp:posOffset>
            </wp:positionV>
            <wp:extent cx="3111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-29210</wp:posOffset>
            </wp:positionV>
            <wp:extent cx="3111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2321560</wp:posOffset>
            </wp:positionH>
            <wp:positionV relativeFrom="paragraph">
              <wp:posOffset>-1450975</wp:posOffset>
            </wp:positionV>
            <wp:extent cx="2286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22860" cy="5715"/>
                    </a:xfrm>
                    <a:prstGeom prst="rect">
                      <a:avLst/>
                    </a:prstGeom>
                    <a:noFill/>
                  </pic:spPr>
                </pic:pic>
              </a:graphicData>
            </a:graphic>
          </wp:anchor>
        </w:drawing>
      </w:r>
    </w:p>
    <w:p>
      <w:pPr>
        <w:sectPr>
          <w:pgSz w:w="11900" w:h="16838" w:orient="portrait"/>
          <w:cols w:equalWidth="0" w:num="1">
            <w:col w:w="10880"/>
          </w:cols>
          <w:pgMar w:left="300" w:top="816" w:right="71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RULES 13a-14(a) AND 15d-14(a) UNDER THE SECURITIES EXCHANGE ACT OF 1934,</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John C.M. Farquhar, certify that:</w:t>
      </w:r>
    </w:p>
    <w:p>
      <w:pPr>
        <w:spacing w:after="0" w:line="150" w:lineRule="exact"/>
        <w:rPr>
          <w:sz w:val="20"/>
          <w:szCs w:val="20"/>
          <w:color w:val="auto"/>
        </w:rPr>
      </w:pPr>
    </w:p>
    <w:p>
      <w:pPr>
        <w:ind w:left="440" w:hanging="224"/>
        <w:spacing w:after="0"/>
        <w:tabs>
          <w:tab w:leader="none" w:pos="4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Heartflow, Inc.;</w:t>
      </w:r>
    </w:p>
    <w:p>
      <w:pPr>
        <w:spacing w:after="0" w:line="150" w:lineRule="exact"/>
        <w:rPr>
          <w:rFonts w:ascii="Times New Roman" w:cs="Times New Roman" w:eastAsia="Times New Roman" w:hAnsi="Times New Roman"/>
          <w:sz w:val="12"/>
          <w:szCs w:val="12"/>
          <w:color w:val="auto"/>
        </w:rPr>
      </w:pPr>
    </w:p>
    <w:p>
      <w:pPr>
        <w:ind w:left="440" w:right="40" w:hanging="224"/>
        <w:spacing w:after="0" w:line="279" w:lineRule="auto"/>
        <w:tabs>
          <w:tab w:leader="none" w:pos="4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2"/>
          <w:szCs w:val="12"/>
          <w:color w:val="auto"/>
        </w:rPr>
      </w:pPr>
    </w:p>
    <w:p>
      <w:pPr>
        <w:ind w:left="440" w:right="160" w:hanging="224"/>
        <w:spacing w:after="0" w:line="279" w:lineRule="auto"/>
        <w:tabs>
          <w:tab w:leader="none" w:pos="4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2"/>
          <w:szCs w:val="12"/>
          <w:color w:val="auto"/>
        </w:rPr>
      </w:pPr>
    </w:p>
    <w:p>
      <w:pPr>
        <w:ind w:left="440" w:hanging="224"/>
        <w:spacing w:after="0" w:line="279" w:lineRule="auto"/>
        <w:tabs>
          <w:tab w:leader="none" w:pos="4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for the registrant and have:</w:t>
      </w:r>
    </w:p>
    <w:p>
      <w:pPr>
        <w:spacing w:after="0" w:line="111" w:lineRule="exact"/>
        <w:rPr>
          <w:rFonts w:ascii="Times New Roman" w:cs="Times New Roman" w:eastAsia="Times New Roman" w:hAnsi="Times New Roman"/>
          <w:sz w:val="12"/>
          <w:szCs w:val="12"/>
          <w:color w:val="auto"/>
        </w:rPr>
      </w:pPr>
    </w:p>
    <w:p>
      <w:pPr>
        <w:ind w:left="860" w:right="80" w:hanging="212"/>
        <w:spacing w:after="0" w:line="279" w:lineRule="auto"/>
        <w:tabs>
          <w:tab w:leader="none" w:pos="860" w:val="left"/>
        </w:tabs>
        <w:numPr>
          <w:ilvl w:val="1"/>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2"/>
          <w:szCs w:val="12"/>
          <w:color w:val="auto"/>
        </w:rPr>
      </w:pPr>
    </w:p>
    <w:p>
      <w:pPr>
        <w:ind w:left="860" w:hanging="212"/>
        <w:spacing w:after="0"/>
        <w:tabs>
          <w:tab w:leader="none" w:pos="860" w:val="left"/>
        </w:tabs>
        <w:numPr>
          <w:ilvl w:val="1"/>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[Omitted];</w:t>
      </w:r>
    </w:p>
    <w:p>
      <w:pPr>
        <w:spacing w:after="0" w:line="150" w:lineRule="exact"/>
        <w:rPr>
          <w:rFonts w:ascii="Times New Roman" w:cs="Times New Roman" w:eastAsia="Times New Roman" w:hAnsi="Times New Roman"/>
          <w:sz w:val="12"/>
          <w:szCs w:val="12"/>
          <w:color w:val="auto"/>
        </w:rPr>
      </w:pPr>
    </w:p>
    <w:p>
      <w:pPr>
        <w:ind w:left="860" w:hanging="212"/>
        <w:spacing w:after="0" w:line="279" w:lineRule="auto"/>
        <w:tabs>
          <w:tab w:leader="none" w:pos="860" w:val="left"/>
        </w:tabs>
        <w:numPr>
          <w:ilvl w:val="1"/>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2"/>
          <w:szCs w:val="12"/>
          <w:color w:val="auto"/>
        </w:rPr>
      </w:pPr>
    </w:p>
    <w:p>
      <w:pPr>
        <w:ind w:left="860" w:right="320" w:hanging="212"/>
        <w:spacing w:after="0" w:line="279" w:lineRule="auto"/>
        <w:tabs>
          <w:tab w:leader="none" w:pos="860" w:val="left"/>
        </w:tabs>
        <w:numPr>
          <w:ilvl w:val="1"/>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2"/>
          <w:szCs w:val="12"/>
          <w:color w:val="auto"/>
        </w:rPr>
      </w:pPr>
    </w:p>
    <w:p>
      <w:pPr>
        <w:ind w:left="440" w:right="120" w:hanging="224"/>
        <w:spacing w:after="0" w:line="279" w:lineRule="auto"/>
        <w:tabs>
          <w:tab w:leader="none" w:pos="4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2"/>
          <w:szCs w:val="12"/>
          <w:color w:val="auto"/>
        </w:rPr>
      </w:pPr>
    </w:p>
    <w:p>
      <w:pPr>
        <w:ind w:left="860" w:hanging="212"/>
        <w:spacing w:after="0" w:line="279" w:lineRule="auto"/>
        <w:tabs>
          <w:tab w:leader="none" w:pos="860" w:val="left"/>
        </w:tabs>
        <w:numPr>
          <w:ilvl w:val="1"/>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2"/>
          <w:szCs w:val="12"/>
          <w:color w:val="auto"/>
        </w:rPr>
      </w:pPr>
    </w:p>
    <w:p>
      <w:pPr>
        <w:ind w:left="860" w:hanging="212"/>
        <w:spacing w:after="0"/>
        <w:tabs>
          <w:tab w:leader="none" w:pos="860" w:val="left"/>
        </w:tabs>
        <w:numPr>
          <w:ilvl w:val="1"/>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ind w:left="40"/>
        <w:spacing w:after="0"/>
        <w:tabs>
          <w:tab w:leader="none" w:pos="5100" w:val="left"/>
          <w:tab w:leader="none" w:pos="5740" w:val="left"/>
        </w:tabs>
        <w:rPr>
          <w:sz w:val="20"/>
          <w:szCs w:val="20"/>
          <w:color w:val="auto"/>
        </w:rPr>
      </w:pPr>
      <w:r>
        <w:rPr>
          <w:rFonts w:ascii="Times New Roman" w:cs="Times New Roman" w:eastAsia="Times New Roman" w:hAnsi="Times New Roman"/>
          <w:sz w:val="12"/>
          <w:szCs w:val="12"/>
          <w:color w:val="auto"/>
        </w:rPr>
        <w:t>Date: May 14, 2026</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John C.M. Farquhar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3629025</wp:posOffset>
            </wp:positionH>
            <wp:positionV relativeFrom="paragraph">
              <wp:posOffset>22225</wp:posOffset>
            </wp:positionV>
            <wp:extent cx="272605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2726055" cy="5715"/>
                    </a:xfrm>
                    <a:prstGeom prst="rect">
                      <a:avLst/>
                    </a:prstGeom>
                    <a:noFill/>
                  </pic:spPr>
                </pic:pic>
              </a:graphicData>
            </a:graphic>
          </wp:anchor>
        </w:drawing>
      </w:r>
    </w:p>
    <w:p>
      <w:pPr>
        <w:spacing w:after="0" w:line="3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2"/>
          <w:szCs w:val="12"/>
          <w:color w:val="auto"/>
        </w:rPr>
        <w:t>John C.M. Farquhar</w:t>
      </w:r>
    </w:p>
    <w:p>
      <w:pPr>
        <w:spacing w:after="0" w:line="5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2"/>
          <w:szCs w:val="12"/>
          <w:i w:val="1"/>
          <w:iCs w:val="1"/>
          <w:color w:val="auto"/>
        </w:rPr>
        <w:t>President and Chief Executive Officer</w:t>
      </w:r>
    </w:p>
    <w:p>
      <w:pPr>
        <w:spacing w:after="0" w:line="6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2"/>
          <w:szCs w:val="12"/>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359410</wp:posOffset>
            </wp:positionV>
            <wp:extent cx="639191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6391910" cy="42545"/>
                    </a:xfrm>
                    <a:prstGeom prst="rect">
                      <a:avLst/>
                    </a:prstGeom>
                    <a:noFill/>
                  </pic:spPr>
                </pic:pic>
              </a:graphicData>
            </a:graphic>
          </wp:anchor>
        </w:drawing>
      </w:r>
    </w:p>
    <w:p>
      <w:pPr>
        <w:sectPr>
          <w:pgSz w:w="11900" w:h="16838" w:orient="portrait"/>
          <w:cols w:equalWidth="0" w:num="1">
            <w:col w:w="10000"/>
          </w:cols>
          <w:pgMar w:left="940" w:top="125" w:right="95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RULES 13a-14(a) AND 15d-14(a) UNDER THE SECURITIES EXCHANGE ACT OF 1934,</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Vikram Verghese, certify that:</w:t>
      </w:r>
    </w:p>
    <w:p>
      <w:pPr>
        <w:spacing w:after="0" w:line="150" w:lineRule="exact"/>
        <w:rPr>
          <w:sz w:val="20"/>
          <w:szCs w:val="20"/>
          <w:color w:val="auto"/>
        </w:rPr>
      </w:pPr>
    </w:p>
    <w:p>
      <w:pPr>
        <w:ind w:left="440" w:hanging="224"/>
        <w:spacing w:after="0"/>
        <w:tabs>
          <w:tab w:leader="none" w:pos="44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Heartflow, Inc.;</w:t>
      </w:r>
    </w:p>
    <w:p>
      <w:pPr>
        <w:spacing w:after="0" w:line="150" w:lineRule="exact"/>
        <w:rPr>
          <w:rFonts w:ascii="Times New Roman" w:cs="Times New Roman" w:eastAsia="Times New Roman" w:hAnsi="Times New Roman"/>
          <w:sz w:val="12"/>
          <w:szCs w:val="12"/>
          <w:color w:val="auto"/>
        </w:rPr>
      </w:pPr>
    </w:p>
    <w:p>
      <w:pPr>
        <w:ind w:left="440" w:right="40" w:hanging="224"/>
        <w:spacing w:after="0" w:line="279" w:lineRule="auto"/>
        <w:tabs>
          <w:tab w:leader="none" w:pos="44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2"/>
          <w:szCs w:val="12"/>
          <w:color w:val="auto"/>
        </w:rPr>
      </w:pPr>
    </w:p>
    <w:p>
      <w:pPr>
        <w:ind w:left="440" w:right="160" w:hanging="224"/>
        <w:spacing w:after="0" w:line="279" w:lineRule="auto"/>
        <w:tabs>
          <w:tab w:leader="none" w:pos="44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2"/>
          <w:szCs w:val="12"/>
          <w:color w:val="auto"/>
        </w:rPr>
      </w:pPr>
    </w:p>
    <w:p>
      <w:pPr>
        <w:ind w:left="440" w:hanging="224"/>
        <w:spacing w:after="0" w:line="279" w:lineRule="auto"/>
        <w:tabs>
          <w:tab w:leader="none" w:pos="44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for the registrant and have:</w:t>
      </w:r>
    </w:p>
    <w:p>
      <w:pPr>
        <w:spacing w:after="0" w:line="111" w:lineRule="exact"/>
        <w:rPr>
          <w:rFonts w:ascii="Times New Roman" w:cs="Times New Roman" w:eastAsia="Times New Roman" w:hAnsi="Times New Roman"/>
          <w:sz w:val="12"/>
          <w:szCs w:val="12"/>
          <w:color w:val="auto"/>
        </w:rPr>
      </w:pPr>
    </w:p>
    <w:p>
      <w:pPr>
        <w:ind w:left="860" w:right="80" w:hanging="212"/>
        <w:spacing w:after="0" w:line="279" w:lineRule="auto"/>
        <w:tabs>
          <w:tab w:leader="none" w:pos="860" w:val="left"/>
        </w:tabs>
        <w:numPr>
          <w:ilvl w:val="1"/>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2"/>
          <w:szCs w:val="12"/>
          <w:color w:val="auto"/>
        </w:rPr>
      </w:pPr>
    </w:p>
    <w:p>
      <w:pPr>
        <w:ind w:left="860" w:hanging="212"/>
        <w:spacing w:after="0"/>
        <w:tabs>
          <w:tab w:leader="none" w:pos="860" w:val="left"/>
        </w:tabs>
        <w:numPr>
          <w:ilvl w:val="1"/>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[Omitted];</w:t>
      </w:r>
    </w:p>
    <w:p>
      <w:pPr>
        <w:spacing w:after="0" w:line="150" w:lineRule="exact"/>
        <w:rPr>
          <w:rFonts w:ascii="Times New Roman" w:cs="Times New Roman" w:eastAsia="Times New Roman" w:hAnsi="Times New Roman"/>
          <w:sz w:val="12"/>
          <w:szCs w:val="12"/>
          <w:color w:val="auto"/>
        </w:rPr>
      </w:pPr>
    </w:p>
    <w:p>
      <w:pPr>
        <w:ind w:left="860" w:hanging="212"/>
        <w:spacing w:after="0" w:line="279" w:lineRule="auto"/>
        <w:tabs>
          <w:tab w:leader="none" w:pos="860" w:val="left"/>
        </w:tabs>
        <w:numPr>
          <w:ilvl w:val="1"/>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2"/>
          <w:szCs w:val="12"/>
          <w:color w:val="auto"/>
        </w:rPr>
      </w:pPr>
    </w:p>
    <w:p>
      <w:pPr>
        <w:ind w:left="860" w:right="320" w:hanging="212"/>
        <w:spacing w:after="0" w:line="279" w:lineRule="auto"/>
        <w:tabs>
          <w:tab w:leader="none" w:pos="860" w:val="left"/>
        </w:tabs>
        <w:numPr>
          <w:ilvl w:val="1"/>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2"/>
          <w:szCs w:val="12"/>
          <w:color w:val="auto"/>
        </w:rPr>
      </w:pPr>
    </w:p>
    <w:p>
      <w:pPr>
        <w:ind w:left="440" w:right="120" w:hanging="224"/>
        <w:spacing w:after="0" w:line="279" w:lineRule="auto"/>
        <w:tabs>
          <w:tab w:leader="none" w:pos="44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2"/>
          <w:szCs w:val="12"/>
          <w:color w:val="auto"/>
        </w:rPr>
      </w:pPr>
    </w:p>
    <w:p>
      <w:pPr>
        <w:ind w:left="860" w:hanging="212"/>
        <w:spacing w:after="0" w:line="279" w:lineRule="auto"/>
        <w:tabs>
          <w:tab w:leader="none" w:pos="860" w:val="left"/>
        </w:tabs>
        <w:numPr>
          <w:ilvl w:val="1"/>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2"/>
          <w:szCs w:val="12"/>
          <w:color w:val="auto"/>
        </w:rPr>
      </w:pPr>
    </w:p>
    <w:p>
      <w:pPr>
        <w:ind w:left="860" w:hanging="212"/>
        <w:spacing w:after="0"/>
        <w:tabs>
          <w:tab w:leader="none" w:pos="860" w:val="left"/>
        </w:tabs>
        <w:numPr>
          <w:ilvl w:val="1"/>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ind w:left="40"/>
        <w:spacing w:after="0"/>
        <w:tabs>
          <w:tab w:leader="none" w:pos="5100" w:val="left"/>
          <w:tab w:leader="none" w:pos="5720" w:val="left"/>
        </w:tabs>
        <w:rPr>
          <w:sz w:val="20"/>
          <w:szCs w:val="20"/>
          <w:color w:val="auto"/>
        </w:rPr>
      </w:pPr>
      <w:r>
        <w:rPr>
          <w:rFonts w:ascii="Times New Roman" w:cs="Times New Roman" w:eastAsia="Times New Roman" w:hAnsi="Times New Roman"/>
          <w:sz w:val="12"/>
          <w:szCs w:val="12"/>
          <w:color w:val="auto"/>
        </w:rPr>
        <w:t>Date: May 14, 2026</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Vikram Verghese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22225</wp:posOffset>
            </wp:positionV>
            <wp:extent cx="273748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2737485" cy="5715"/>
                    </a:xfrm>
                    <a:prstGeom prst="rect">
                      <a:avLst/>
                    </a:prstGeom>
                    <a:noFill/>
                  </pic:spPr>
                </pic:pic>
              </a:graphicData>
            </a:graphic>
          </wp:anchor>
        </w:drawing>
      </w:r>
    </w:p>
    <w:p>
      <w:pPr>
        <w:spacing w:after="0" w:line="3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2"/>
          <w:szCs w:val="12"/>
          <w:color w:val="auto"/>
        </w:rPr>
        <w:t>Vikram Verghese</w:t>
      </w:r>
    </w:p>
    <w:p>
      <w:pPr>
        <w:spacing w:after="0" w:line="5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2"/>
          <w:szCs w:val="12"/>
          <w:i w:val="1"/>
          <w:iCs w:val="1"/>
          <w:color w:val="auto"/>
        </w:rPr>
        <w:t>Chief Financial Officer</w:t>
      </w:r>
    </w:p>
    <w:p>
      <w:pPr>
        <w:spacing w:after="0" w:line="6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359410</wp:posOffset>
            </wp:positionV>
            <wp:extent cx="639191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6391910" cy="42545"/>
                    </a:xfrm>
                    <a:prstGeom prst="rect">
                      <a:avLst/>
                    </a:prstGeom>
                    <a:noFill/>
                  </pic:spPr>
                </pic:pic>
              </a:graphicData>
            </a:graphic>
          </wp:anchor>
        </w:drawing>
      </w:r>
    </w:p>
    <w:p>
      <w:pPr>
        <w:sectPr>
          <w:pgSz w:w="11900" w:h="16838" w:orient="portrait"/>
          <w:cols w:equalWidth="0" w:num="1">
            <w:col w:w="10000"/>
          </w:cols>
          <w:pgMar w:left="940" w:top="125" w:right="959" w:bottom="1440" w:gutter="0" w:footer="0" w:header="0"/>
        </w:sectPr>
      </w:pPr>
    </w:p>
    <w:bookmarkStart w:id="79" w:name="page80"/>
    <w:bookmarkEnd w:id="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338455</wp:posOffset>
            </wp:positionH>
            <wp:positionV relativeFrom="page">
              <wp:posOffset>2025015</wp:posOffset>
            </wp:positionV>
            <wp:extent cx="670623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6706235" cy="4254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2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6"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2"/>
          <w:szCs w:val="12"/>
          <w:b w:val="1"/>
          <w:bCs w:val="1"/>
          <w:color w:val="auto"/>
        </w:rPr>
        <w:t>18 U.S.C. SECTION 1350, AS ADOPTED PURSUANT TO</w:t>
      </w:r>
    </w:p>
    <w:p>
      <w:pPr>
        <w:spacing w:after="0" w:line="6"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50" w:lineRule="exact"/>
        <w:rPr>
          <w:sz w:val="20"/>
          <w:szCs w:val="20"/>
          <w:color w:val="auto"/>
        </w:rPr>
      </w:pPr>
    </w:p>
    <w:p>
      <w:pPr>
        <w:ind w:left="980" w:right="240" w:firstLine="432"/>
        <w:spacing w:after="0" w:line="250" w:lineRule="auto"/>
        <w:rPr>
          <w:sz w:val="20"/>
          <w:szCs w:val="20"/>
          <w:color w:val="auto"/>
        </w:rPr>
      </w:pPr>
      <w:r>
        <w:rPr>
          <w:rFonts w:ascii="Times New Roman" w:cs="Times New Roman" w:eastAsia="Times New Roman" w:hAnsi="Times New Roman"/>
          <w:sz w:val="12"/>
          <w:szCs w:val="12"/>
          <w:color w:val="auto"/>
        </w:rPr>
        <w:t>In connection with the Quarterly Report of Heartflow, Inc. (the “Company”) on Form 10-Q for the period ended March 31, 2026 as filed with the Securities and Exchange Commission on the date hereof (the “Report”), I certify that, to the best of my knowledge, pursuant to 18 U.S.C. § 1350, as adopted pursuant to § 906 of the Sarbanes-Oxley Act of 2002, that:</w:t>
      </w:r>
    </w:p>
    <w:p>
      <w:pPr>
        <w:spacing w:after="0" w:line="145" w:lineRule="exact"/>
        <w:rPr>
          <w:sz w:val="20"/>
          <w:szCs w:val="20"/>
          <w:color w:val="auto"/>
        </w:rPr>
      </w:pPr>
    </w:p>
    <w:p>
      <w:pPr>
        <w:ind w:left="1980" w:hanging="128"/>
        <w:spacing w:after="0"/>
        <w:tabs>
          <w:tab w:leader="none" w:pos="198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as amended; and</w:t>
      </w:r>
    </w:p>
    <w:p>
      <w:pPr>
        <w:spacing w:after="0" w:line="6" w:lineRule="exact"/>
        <w:rPr>
          <w:rFonts w:ascii="Times New Roman" w:cs="Times New Roman" w:eastAsia="Times New Roman" w:hAnsi="Times New Roman"/>
          <w:sz w:val="12"/>
          <w:szCs w:val="12"/>
          <w:color w:val="auto"/>
        </w:rPr>
      </w:pPr>
    </w:p>
    <w:p>
      <w:pPr>
        <w:spacing w:after="0" w:line="6" w:lineRule="exact"/>
        <w:rPr>
          <w:rFonts w:ascii="Times New Roman" w:cs="Times New Roman" w:eastAsia="Times New Roman" w:hAnsi="Times New Roman"/>
          <w:sz w:val="12"/>
          <w:szCs w:val="12"/>
          <w:color w:val="auto"/>
        </w:rPr>
      </w:pPr>
    </w:p>
    <w:p>
      <w:pPr>
        <w:ind w:left="1980" w:hanging="128"/>
        <w:spacing w:after="0"/>
        <w:tabs>
          <w:tab w:leader="none" w:pos="198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tbl>
      <w:tblPr>
        <w:tblLayout w:type="fixed"/>
        <w:tblInd w:w="980" w:type="dxa"/>
        <w:tblCellMar>
          <w:top w:w="0" w:type="dxa"/>
          <w:left w:w="0" w:type="dxa"/>
          <w:bottom w:w="0" w:type="dxa"/>
          <w:right w:w="0" w:type="dxa"/>
        </w:tblCellMar>
      </w:tblPr>
      <w:tr>
        <w:trPr>
          <w:trHeight w:val="162"/>
        </w:trPr>
        <w:tc>
          <w:tcPr>
            <w:tcW w:w="28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Date: May 14, 2026</w:t>
            </w:r>
          </w:p>
        </w:tc>
        <w:tc>
          <w:tcPr>
            <w:tcW w:w="2460" w:type="dxa"/>
            <w:vAlign w:val="bottom"/>
          </w:tcPr>
          <w:p>
            <w:pPr>
              <w:ind w:left="1860"/>
              <w:spacing w:after="0"/>
              <w:rPr>
                <w:sz w:val="20"/>
                <w:szCs w:val="20"/>
                <w:color w:val="auto"/>
              </w:rPr>
            </w:pPr>
            <w:r>
              <w:rPr>
                <w:rFonts w:ascii="Times New Roman" w:cs="Times New Roman" w:eastAsia="Times New Roman" w:hAnsi="Times New Roman"/>
                <w:sz w:val="12"/>
                <w:szCs w:val="12"/>
                <w:color w:val="auto"/>
              </w:rPr>
              <w:t>By:</w:t>
            </w:r>
          </w:p>
        </w:tc>
        <w:tc>
          <w:tcPr>
            <w:tcW w:w="3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/s/ John C.M. Farquhar</w:t>
            </w:r>
          </w:p>
        </w:tc>
      </w:tr>
      <w:tr>
        <w:trPr>
          <w:trHeight w:val="188"/>
        </w:trPr>
        <w:tc>
          <w:tcPr>
            <w:tcW w:w="28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John C.M. Farquhar</w:t>
            </w:r>
          </w:p>
        </w:tc>
      </w:tr>
      <w:tr>
        <w:trPr>
          <w:trHeight w:val="198"/>
        </w:trPr>
        <w:tc>
          <w:tcPr>
            <w:tcW w:w="28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820" w:type="dxa"/>
            <w:vAlign w:val="bottom"/>
          </w:tcPr>
          <w:p>
            <w:pPr>
              <w:ind w:left="40"/>
              <w:spacing w:after="0"/>
              <w:rPr>
                <w:sz w:val="20"/>
                <w:szCs w:val="20"/>
                <w:color w:val="auto"/>
              </w:rPr>
            </w:pPr>
            <w:r>
              <w:rPr>
                <w:rFonts w:ascii="Times New Roman" w:cs="Times New Roman" w:eastAsia="Times New Roman" w:hAnsi="Times New Roman"/>
                <w:sz w:val="12"/>
                <w:szCs w:val="12"/>
                <w:i w:val="1"/>
                <w:iCs w:val="1"/>
                <w:color w:val="auto"/>
              </w:rPr>
              <w:t>President and Chief Executive Officer</w:t>
            </w:r>
          </w:p>
        </w:tc>
      </w:tr>
      <w:tr>
        <w:trPr>
          <w:trHeight w:val="188"/>
        </w:trPr>
        <w:tc>
          <w:tcPr>
            <w:tcW w:w="28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20" w:type="dxa"/>
            <w:vAlign w:val="bottom"/>
          </w:tcPr>
          <w:p>
            <w:pPr>
              <w:ind w:left="40"/>
              <w:spacing w:after="0"/>
              <w:rPr>
                <w:sz w:val="20"/>
                <w:szCs w:val="20"/>
                <w:color w:val="auto"/>
              </w:rPr>
            </w:pPr>
            <w:r>
              <w:rPr>
                <w:rFonts w:ascii="Times New Roman" w:cs="Times New Roman" w:eastAsia="Times New Roman" w:hAnsi="Times New Roman"/>
                <w:sz w:val="12"/>
                <w:szCs w:val="12"/>
                <w:i w:val="1"/>
                <w:iCs w:val="1"/>
                <w:color w:val="auto"/>
              </w:rPr>
              <w:t>(Principal Executive Officer)</w:t>
            </w:r>
          </w:p>
        </w:tc>
      </w:tr>
    </w:tbl>
    <w:p>
      <w:pPr>
        <w:sectPr>
          <w:pgSz w:w="11900" w:h="17038" w:orient="portrait"/>
          <w:cols w:equalWidth="0" w:num="1">
            <w:col w:w="11060"/>
          </w:cols>
          <w:pgMar w:left="0" w:top="125" w:right="839" w:bottom="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338455</wp:posOffset>
            </wp:positionH>
            <wp:positionV relativeFrom="page">
              <wp:posOffset>2025015</wp:posOffset>
            </wp:positionV>
            <wp:extent cx="670623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6706235" cy="42545"/>
                    </a:xfrm>
                    <a:prstGeom prst="rect">
                      <a:avLst/>
                    </a:prstGeom>
                    <a:noFill/>
                  </pic:spPr>
                </pic:pic>
              </a:graphicData>
            </a:graphic>
          </wp:anchor>
        </w:drawing>
        <w:t>Exhibit 32.2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18 U.S.C. SECTION 1350, 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50" w:lineRule="exact"/>
        <w:rPr>
          <w:sz w:val="20"/>
          <w:szCs w:val="20"/>
          <w:color w:val="auto"/>
        </w:rPr>
      </w:pPr>
    </w:p>
    <w:p>
      <w:pPr>
        <w:ind w:left="420" w:right="240" w:firstLine="432"/>
        <w:spacing w:after="0" w:line="250" w:lineRule="auto"/>
        <w:rPr>
          <w:sz w:val="20"/>
          <w:szCs w:val="20"/>
          <w:color w:val="auto"/>
        </w:rPr>
      </w:pPr>
      <w:r>
        <w:rPr>
          <w:rFonts w:ascii="Times New Roman" w:cs="Times New Roman" w:eastAsia="Times New Roman" w:hAnsi="Times New Roman"/>
          <w:sz w:val="12"/>
          <w:szCs w:val="12"/>
          <w:color w:val="auto"/>
        </w:rPr>
        <w:t>In connection with the Quarterly Report of Heartflow, Inc. (the “Company”) on Form 10-Q for the period ended March 31, 2026 as filed with the Securities and Exchange Commission on the date hereof (the “Report”), I certify that, to the best of my knowledge, pursuant to 18 U.S.C. § 1350, as adopted pursuant to § 906 of the Sarbanes-Oxley Act of 2002, that:</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2"/>
          <w:szCs w:val="12"/>
          <w:color w:val="auto"/>
        </w:rPr>
        <w:t>1. The Report fully complies with the requirements of section 13(a) or 15(d) of the Securities Exchange Act of 1934, as amended; and</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2"/>
          <w:szCs w:val="12"/>
          <w:color w:val="auto"/>
        </w:rPr>
        <w:t>2. 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28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Date: May 14, 2026</w:t>
            </w:r>
          </w:p>
        </w:tc>
        <w:tc>
          <w:tcPr>
            <w:tcW w:w="2460" w:type="dxa"/>
            <w:vAlign w:val="bottom"/>
          </w:tcPr>
          <w:p>
            <w:pPr>
              <w:ind w:left="1860"/>
              <w:spacing w:after="0"/>
              <w:rPr>
                <w:sz w:val="20"/>
                <w:szCs w:val="20"/>
                <w:color w:val="auto"/>
              </w:rPr>
            </w:pPr>
            <w:r>
              <w:rPr>
                <w:rFonts w:ascii="Times New Roman" w:cs="Times New Roman" w:eastAsia="Times New Roman" w:hAnsi="Times New Roman"/>
                <w:sz w:val="12"/>
                <w:szCs w:val="12"/>
                <w:color w:val="auto"/>
              </w:rPr>
              <w:t>By:</w:t>
            </w:r>
          </w:p>
        </w:tc>
        <w:tc>
          <w:tcPr>
            <w:tcW w:w="3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/s/ Vikram Verghese</w:t>
            </w:r>
          </w:p>
        </w:tc>
      </w:tr>
      <w:tr>
        <w:trPr>
          <w:trHeight w:val="188"/>
        </w:trPr>
        <w:tc>
          <w:tcPr>
            <w:tcW w:w="28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Vikram Verghese</w:t>
            </w:r>
          </w:p>
        </w:tc>
      </w:tr>
      <w:tr>
        <w:trPr>
          <w:trHeight w:val="198"/>
        </w:trPr>
        <w:tc>
          <w:tcPr>
            <w:tcW w:w="28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820" w:type="dxa"/>
            <w:vAlign w:val="bottom"/>
          </w:tcPr>
          <w:p>
            <w:pPr>
              <w:ind w:left="40"/>
              <w:spacing w:after="0"/>
              <w:rPr>
                <w:sz w:val="20"/>
                <w:szCs w:val="20"/>
                <w:color w:val="auto"/>
              </w:rPr>
            </w:pPr>
            <w:r>
              <w:rPr>
                <w:rFonts w:ascii="Times New Roman" w:cs="Times New Roman" w:eastAsia="Times New Roman" w:hAnsi="Times New Roman"/>
                <w:sz w:val="12"/>
                <w:szCs w:val="12"/>
                <w:i w:val="1"/>
                <w:iCs w:val="1"/>
                <w:color w:val="auto"/>
              </w:rPr>
              <w:t>Chief Financial Officer</w:t>
            </w:r>
          </w:p>
        </w:tc>
      </w:tr>
      <w:tr>
        <w:trPr>
          <w:trHeight w:val="188"/>
        </w:trPr>
        <w:tc>
          <w:tcPr>
            <w:tcW w:w="28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20" w:type="dxa"/>
            <w:vAlign w:val="bottom"/>
          </w:tcPr>
          <w:p>
            <w:pPr>
              <w:ind w:left="40"/>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tc>
      </w:tr>
    </w:tbl>
    <w:p>
      <w:pPr>
        <w:spacing w:after="0" w:line="1" w:lineRule="exact"/>
        <w:rPr>
          <w:sz w:val="20"/>
          <w:szCs w:val="20"/>
          <w:color w:val="auto"/>
        </w:rPr>
      </w:pPr>
    </w:p>
    <w:sectPr>
      <w:pgSz w:w="11900" w:h="16838" w:orient="portrait"/>
      <w:cols w:equalWidth="0" w:num="1">
        <w:col w:w="10500"/>
      </w:cols>
      <w:pgMar w:left="560" w:top="125"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x"/>
      <w:numFmt w:val="bullet"/>
      <w:start w:val="1"/>
    </w:lvl>
  </w:abstractNum>
  <w:abstractNum w:abstractNumId="1">
    <w:nsid w:val="7C83E458"/>
    <w:multiLevelType w:val="hybridMultilevel"/>
    <w:lvl w:ilvl="0">
      <w:lvlJc w:val="left"/>
      <w:lvlText w:val="o"/>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1."/>
      <w:numFmt w:val="upperLetter"/>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2"/>
    </w:lvl>
  </w:abstractNum>
  <w:abstractNum w:abstractNumId="11">
    <w:nsid w:val="75A2A8D4"/>
    <w:multiLevelType w:val="hybridMultilevel"/>
    <w:lvl w:ilvl="0">
      <w:lvlJc w:val="left"/>
      <w:lvlText w:val="%1."/>
      <w:numFmt w:val="decimal"/>
      <w:start w:val="3"/>
    </w:lvl>
  </w:abstractNum>
  <w:abstractNum w:abstractNumId="12">
    <w:nsid w:val="8EDBDAB"/>
    <w:multiLevelType w:val="hybridMultilevel"/>
    <w:lvl w:ilvl="0">
      <w:lvlJc w:val="left"/>
      <w:lvlText w:val="%1."/>
      <w:numFmt w:val="decimal"/>
      <w:start w:val="4"/>
    </w:lvl>
  </w:abstractNum>
  <w:abstractNum w:abstractNumId="13">
    <w:nsid w:val="79838CB2"/>
    <w:multiLevelType w:val="hybridMultilevel"/>
    <w:lvl w:ilvl="0">
      <w:lvlJc w:val="left"/>
      <w:lvlText w:val="%1."/>
      <w:numFmt w:val="decimal"/>
      <w:start w:val="5"/>
    </w:lvl>
  </w:abstractNum>
  <w:abstractNum w:abstractNumId="14">
    <w:nsid w:val="4353D0CD"/>
    <w:multiLevelType w:val="hybridMultilevel"/>
    <w:lvl w:ilvl="0">
      <w:lvlJc w:val="left"/>
      <w:lvlText w:val="%1."/>
      <w:numFmt w:val="decimal"/>
      <w:start w:val="6"/>
    </w:lvl>
  </w:abstractNum>
  <w:abstractNum w:abstractNumId="15">
    <w:nsid w:val="B03E0C6"/>
    <w:multiLevelType w:val="hybridMultilevel"/>
    <w:lvl w:ilvl="0">
      <w:lvlJc w:val="left"/>
      <w:lvlText w:val="%1."/>
      <w:numFmt w:val="decimal"/>
      <w:start w:val="7"/>
    </w:lvl>
  </w:abstractNum>
  <w:abstractNum w:abstractNumId="16">
    <w:nsid w:val="189A769B"/>
    <w:multiLevelType w:val="hybridMultilevel"/>
    <w:lvl w:ilvl="0">
      <w:lvlJc w:val="left"/>
      <w:lvlText w:val="(%1)"/>
      <w:numFmt w:val="lowerLetter"/>
      <w:start w:val="1"/>
    </w:lvl>
  </w:abstractNum>
  <w:abstractNum w:abstractNumId="17">
    <w:nsid w:val="54E49EB4"/>
    <w:multiLevelType w:val="hybridMultilevel"/>
    <w:lvl w:ilvl="0">
      <w:lvlJc w:val="left"/>
      <w:lvlText w:val="(%1)"/>
      <w:numFmt w:val="lowerLetter"/>
      <w:start w:val="3"/>
    </w:lvl>
  </w:abstractNum>
  <w:abstractNum w:abstractNumId="18">
    <w:nsid w:val="71F32454"/>
    <w:multiLevelType w:val="hybridMultilevel"/>
    <w:lvl w:ilvl="0">
      <w:lvlJc w:val="left"/>
      <w:lvlText w:val="(%1)"/>
      <w:numFmt w:val="lowerLetter"/>
      <w:start w:val="7"/>
    </w:lvl>
  </w:abstractNum>
  <w:abstractNum w:abstractNumId="19">
    <w:nsid w:val="2CA88611"/>
    <w:multiLevelType w:val="hybridMultilevel"/>
    <w:lvl w:ilvl="0">
      <w:lvlJc w:val="left"/>
      <w:lvlText w:val="(%1)"/>
      <w:numFmt w:val="lowerLetter"/>
      <w:start w:val="1"/>
    </w:lvl>
  </w:abstractNum>
  <w:abstractNum w:abstractNumId="20">
    <w:nsid w:val="836C40E"/>
    <w:multiLevelType w:val="hybridMultilevel"/>
    <w:lvl w:ilvl="0">
      <w:lvlJc w:val="left"/>
      <w:lvlText w:val="%1."/>
      <w:numFmt w:val="decimal"/>
      <w:start w:val="8"/>
    </w:lvl>
  </w:abstractNum>
  <w:abstractNum w:abstractNumId="21">
    <w:nsid w:val="2901D82"/>
    <w:multiLevelType w:val="hybridMultilevel"/>
    <w:lvl w:ilvl="0">
      <w:lvlJc w:val="left"/>
      <w:lvlText w:val="%1."/>
      <w:numFmt w:val="decimal"/>
      <w:start w:val="9"/>
    </w:lvl>
  </w:abstractNum>
  <w:abstractNum w:abstractNumId="22">
    <w:nsid w:val="3A95F874"/>
    <w:multiLevelType w:val="hybridMultilevel"/>
    <w:lvl w:ilvl="0">
      <w:lvlJc w:val="left"/>
      <w:lvlText w:val="%1."/>
      <w:numFmt w:val="decimal"/>
      <w:start w:val="10"/>
    </w:lvl>
  </w:abstractNum>
  <w:abstractNum w:abstractNumId="23">
    <w:nsid w:val="8138641"/>
    <w:multiLevelType w:val="hybridMultilevel"/>
    <w:lvl w:ilvl="0">
      <w:lvlJc w:val="left"/>
      <w:lvlText w:val="%1."/>
      <w:numFmt w:val="decimal"/>
      <w:start w:val="11"/>
    </w:lvl>
  </w:abstractNum>
  <w:abstractNum w:abstractNumId="24">
    <w:nsid w:val="1E7FF521"/>
    <w:multiLevelType w:val="hybridMultilevel"/>
    <w:lvl w:ilvl="0">
      <w:lvlJc w:val="left"/>
      <w:lvlText w:val="%1."/>
      <w:numFmt w:val="decimal"/>
      <w:start w:val="13"/>
    </w:lvl>
  </w:abstractNum>
  <w:abstractNum w:abstractNumId="25">
    <w:nsid w:val="7C3DBD3D"/>
    <w:multiLevelType w:val="hybridMultilevel"/>
    <w:lvl w:ilvl="0">
      <w:lvlJc w:val="left"/>
      <w:lvlText w:val="%1."/>
      <w:numFmt w:val="decimal"/>
      <w:start w:val="14"/>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1)"/>
      <w:numFmt w:val="lowerLetter"/>
      <w:start w:val="3"/>
    </w:lvl>
  </w:abstractNum>
  <w:abstractNum w:abstractNumId="28">
    <w:nsid w:val="22221A70"/>
    <w:multiLevelType w:val="hybridMultilevel"/>
    <w:lvl w:ilvl="0">
      <w:lvlJc w:val="left"/>
      <w:lvlText w:val="(%1)"/>
      <w:numFmt w:val="lowerLetter"/>
      <w:start w:val="4"/>
    </w:lvl>
  </w:abstractNum>
  <w:abstractNum w:abstractNumId="29">
    <w:nsid w:val="4516DDE9"/>
    <w:multiLevelType w:val="hybridMultilevel"/>
    <w:lvl w:ilvl="0">
      <w:lvlJc w:val="left"/>
      <w:lvlText w:val="%1."/>
      <w:numFmt w:val="decimal"/>
      <w:start w:val="15"/>
    </w:lvl>
  </w:abstractNum>
  <w:abstractNum w:abstractNumId="30">
    <w:nsid w:val="3006C83E"/>
    <w:multiLevelType w:val="hybridMultilevel"/>
    <w:lvl w:ilvl="0">
      <w:lvlJc w:val="left"/>
      <w:lvlText w:val="%1."/>
      <w:numFmt w:val="decimal"/>
      <w:start w:val="16"/>
    </w:lvl>
  </w:abstractNum>
  <w:abstractNum w:abstractNumId="31">
    <w:nsid w:val="614FD4A1"/>
    <w:multiLevelType w:val="hybridMultilevel"/>
    <w:lvl w:ilvl="0">
      <w:lvlJc w:val="left"/>
      <w:lvlText w:val="(%1)"/>
      <w:numFmt w:val="decimal"/>
      <w:start w:val="30"/>
    </w:lvl>
  </w:abstractNum>
  <w:abstractNum w:abstractNumId="32">
    <w:nsid w:val="419AC241"/>
    <w:multiLevelType w:val="hybridMultilevel"/>
    <w:lvl w:ilvl="0">
      <w:lvlJc w:val="left"/>
      <w:lvlText w:val="%1."/>
      <w:numFmt w:val="decimal"/>
      <w:start w:val="17"/>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jpe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jpeg"/><Relationship Id="rId95" Type="http://schemas.openxmlformats.org/officeDocument/2006/relationships/image" Target="media/image86.jpe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jpe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70" Type="http://schemas.openxmlformats.org/officeDocument/2006/relationships/hyperlink" Target="http://www.sec.gov/Archives/edgar/data/1464521/000162828025039636/exhibit31-8xk.htm" TargetMode="External"/><Relationship Id="rId71" Type="http://schemas.openxmlformats.org/officeDocument/2006/relationships/hyperlink" Target="http://www.sec.gov/Archives/edgar/data/1464521/000162828025039636/exhibit32-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2026-05-14T15:57:35Z</dcterms:created>
  <dcterms:modified xsi:type="dcterms:W3CDTF">2026-05-14T15:57:35Z</dcterms:modified>
</cp:coreProperties>
</file>