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190500</wp:posOffset>
            </wp:positionV>
            <wp:extent cx="7133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1714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3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0"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25" w:lineRule="exact"/>
        <w:rPr>
          <w:sz w:val="24"/>
          <w:szCs w:val="24"/>
          <w:color w:val="auto"/>
        </w:rPr>
      </w:pPr>
    </w:p>
    <w:p>
      <w:pPr>
        <w:ind w:left="180" w:hanging="173"/>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472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100" w:type="dxa"/>
            <w:vAlign w:val="bottom"/>
            <w:gridSpan w:val="4"/>
          </w:tcPr>
          <w:p>
            <w:pPr>
              <w:jc w:val="center"/>
              <w:ind w:right="4073"/>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001-42790</w:t>
            </w:r>
          </w:p>
        </w:tc>
        <w:tc>
          <w:tcPr>
            <w:tcW w:w="0" w:type="dxa"/>
            <w:vAlign w:val="bottom"/>
          </w:tcPr>
          <w:p>
            <w:pPr>
              <w:spacing w:after="0"/>
              <w:rPr>
                <w:sz w:val="1"/>
                <w:szCs w:val="1"/>
                <w:color w:val="auto"/>
              </w:rPr>
            </w:pPr>
          </w:p>
        </w:tc>
      </w:tr>
      <w:tr>
        <w:trPr>
          <w:trHeight w:val="333"/>
        </w:trPr>
        <w:tc>
          <w:tcPr>
            <w:tcW w:w="3560" w:type="dxa"/>
            <w:vAlign w:val="bottom"/>
          </w:tcPr>
          <w:p>
            <w:pPr>
              <w:spacing w:after="0"/>
              <w:rPr>
                <w:sz w:val="24"/>
                <w:szCs w:val="24"/>
                <w:color w:val="auto"/>
              </w:rPr>
            </w:pPr>
          </w:p>
        </w:tc>
        <w:tc>
          <w:tcPr>
            <w:tcW w:w="2960" w:type="dxa"/>
            <w:vAlign w:val="bottom"/>
            <w:gridSpan w:val="3"/>
          </w:tcPr>
          <w:p>
            <w:pPr>
              <w:jc w:val="center"/>
              <w:ind w:left="1078"/>
              <w:spacing w:after="0"/>
              <w:rPr>
                <w:sz w:val="20"/>
                <w:szCs w:val="20"/>
                <w:color w:val="auto"/>
              </w:rPr>
            </w:pPr>
            <w:r>
              <w:rPr>
                <w:rFonts w:ascii="Times New Roman" w:cs="Times New Roman" w:eastAsia="Times New Roman" w:hAnsi="Times New Roman"/>
                <w:sz w:val="18"/>
                <w:szCs w:val="18"/>
                <w:color w:val="auto"/>
                <w:w w:val="99"/>
              </w:rPr>
              <w:t>_________________</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3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00" w:type="dxa"/>
            <w:vAlign w:val="bottom"/>
            <w:gridSpan w:val="4"/>
          </w:tcPr>
          <w:p>
            <w:pPr>
              <w:jc w:val="center"/>
              <w:ind w:right="4073"/>
              <w:spacing w:after="0"/>
              <w:rPr>
                <w:sz w:val="20"/>
                <w:szCs w:val="20"/>
                <w:color w:val="auto"/>
              </w:rPr>
            </w:pPr>
            <w:r>
              <w:rPr>
                <w:rFonts w:ascii="Times New Roman" w:cs="Times New Roman" w:eastAsia="Times New Roman" w:hAnsi="Times New Roman"/>
                <w:sz w:val="39"/>
                <w:szCs w:val="39"/>
                <w:b w:val="1"/>
                <w:bCs w:val="1"/>
                <w:color w:val="auto"/>
                <w:w w:val="99"/>
              </w:rPr>
              <w:t>Heartflow, Inc.</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100" w:type="dxa"/>
            <w:vAlign w:val="bottom"/>
            <w:gridSpan w:val="4"/>
          </w:tcPr>
          <w:p>
            <w:pPr>
              <w:jc w:val="center"/>
              <w:ind w:right="4073"/>
              <w:spacing w:after="0" w:line="136" w:lineRule="exact"/>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0" w:type="dxa"/>
            <w:vAlign w:val="bottom"/>
          </w:tcPr>
          <w:p>
            <w:pPr>
              <w:spacing w:after="0"/>
              <w:rPr>
                <w:sz w:val="1"/>
                <w:szCs w:val="1"/>
                <w:color w:val="auto"/>
              </w:rPr>
            </w:pPr>
          </w:p>
        </w:tc>
      </w:tr>
      <w:tr>
        <w:trPr>
          <w:trHeight w:val="233"/>
        </w:trPr>
        <w:tc>
          <w:tcPr>
            <w:tcW w:w="3560" w:type="dxa"/>
            <w:vAlign w:val="bottom"/>
          </w:tcPr>
          <w:p>
            <w:pPr>
              <w:spacing w:after="0"/>
              <w:rPr>
                <w:sz w:val="20"/>
                <w:szCs w:val="20"/>
                <w:color w:val="auto"/>
              </w:rPr>
            </w:pPr>
          </w:p>
        </w:tc>
        <w:tc>
          <w:tcPr>
            <w:tcW w:w="2960" w:type="dxa"/>
            <w:vAlign w:val="bottom"/>
            <w:gridSpan w:val="3"/>
          </w:tcPr>
          <w:p>
            <w:pPr>
              <w:jc w:val="center"/>
              <w:ind w:left="1078"/>
              <w:spacing w:after="0"/>
              <w:rPr>
                <w:sz w:val="20"/>
                <w:szCs w:val="20"/>
                <w:color w:val="auto"/>
              </w:rPr>
            </w:pPr>
            <w:r>
              <w:rPr>
                <w:rFonts w:ascii="Times New Roman" w:cs="Times New Roman" w:eastAsia="Times New Roman" w:hAnsi="Times New Roman"/>
                <w:sz w:val="18"/>
                <w:szCs w:val="18"/>
                <w:color w:val="auto"/>
                <w:w w:val="99"/>
              </w:rPr>
              <w:t>_________________</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3560" w:type="dxa"/>
            <w:vAlign w:val="bottom"/>
          </w:tcPr>
          <w:p>
            <w:pPr>
              <w:jc w:val="center"/>
              <w:ind w:left="114"/>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720" w:type="dxa"/>
            <w:vAlign w:val="bottom"/>
            <w:gridSpan w:val="3"/>
          </w:tcPr>
          <w:p>
            <w:pPr>
              <w:jc w:val="center"/>
              <w:ind w:left="895"/>
              <w:spacing w:after="0"/>
              <w:rPr>
                <w:sz w:val="20"/>
                <w:szCs w:val="20"/>
                <w:color w:val="auto"/>
              </w:rPr>
            </w:pPr>
            <w:r>
              <w:rPr>
                <w:rFonts w:ascii="Times New Roman" w:cs="Times New Roman" w:eastAsia="Times New Roman" w:hAnsi="Times New Roman"/>
                <w:sz w:val="12"/>
                <w:szCs w:val="12"/>
                <w:b w:val="1"/>
                <w:bCs w:val="1"/>
                <w:color w:val="auto"/>
              </w:rPr>
              <w:t>26-0506743</w:t>
            </w:r>
          </w:p>
        </w:tc>
        <w:tc>
          <w:tcPr>
            <w:tcW w:w="0" w:type="dxa"/>
            <w:vAlign w:val="bottom"/>
          </w:tcPr>
          <w:p>
            <w:pPr>
              <w:spacing w:after="0"/>
              <w:rPr>
                <w:sz w:val="1"/>
                <w:szCs w:val="1"/>
                <w:color w:val="auto"/>
              </w:rPr>
            </w:pPr>
          </w:p>
        </w:tc>
      </w:tr>
      <w:tr>
        <w:trPr>
          <w:trHeight w:val="134"/>
        </w:trPr>
        <w:tc>
          <w:tcPr>
            <w:tcW w:w="3560" w:type="dxa"/>
            <w:vAlign w:val="bottom"/>
          </w:tcPr>
          <w:p>
            <w:pPr>
              <w:jc w:val="center"/>
              <w:ind w:left="134"/>
              <w:spacing w:after="0" w:line="134"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20" w:type="dxa"/>
            <w:vAlign w:val="bottom"/>
          </w:tcPr>
          <w:p>
            <w:pPr>
              <w:jc w:val="center"/>
              <w:ind w:left="113"/>
              <w:spacing w:after="0" w:line="134"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34"/>
        </w:trPr>
        <w:tc>
          <w:tcPr>
            <w:tcW w:w="3560" w:type="dxa"/>
            <w:vAlign w:val="bottom"/>
          </w:tcPr>
          <w:p>
            <w:pPr>
              <w:jc w:val="center"/>
              <w:ind w:left="134"/>
              <w:spacing w:after="0" w:line="134" w:lineRule="exact"/>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20" w:type="dxa"/>
            <w:vAlign w:val="bottom"/>
          </w:tcPr>
          <w:p>
            <w:pPr>
              <w:jc w:val="center"/>
              <w:ind w:left="113"/>
              <w:spacing w:after="0" w:line="134" w:lineRule="exact"/>
              <w:rPr>
                <w:sz w:val="20"/>
                <w:szCs w:val="20"/>
                <w:color w:val="auto"/>
              </w:rPr>
            </w:pPr>
            <w:r>
              <w:rPr>
                <w:rFonts w:ascii="Times New Roman" w:cs="Times New Roman" w:eastAsia="Times New Roman" w:hAnsi="Times New Roman"/>
                <w:sz w:val="12"/>
                <w:szCs w:val="12"/>
                <w:b w:val="1"/>
                <w:bCs w:val="1"/>
                <w:color w:val="auto"/>
              </w:rPr>
              <w:t>Identification No.)</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100" w:type="dxa"/>
            <w:vAlign w:val="bottom"/>
            <w:gridSpan w:val="4"/>
          </w:tcPr>
          <w:p>
            <w:pPr>
              <w:jc w:val="center"/>
              <w:ind w:right="4053"/>
              <w:spacing w:after="0"/>
              <w:rPr>
                <w:sz w:val="20"/>
                <w:szCs w:val="20"/>
                <w:color w:val="auto"/>
              </w:rPr>
            </w:pPr>
            <w:r>
              <w:rPr>
                <w:rFonts w:ascii="Times New Roman" w:cs="Times New Roman" w:eastAsia="Times New Roman" w:hAnsi="Times New Roman"/>
                <w:sz w:val="12"/>
                <w:szCs w:val="12"/>
                <w:b w:val="1"/>
                <w:bCs w:val="1"/>
                <w:color w:val="auto"/>
              </w:rPr>
              <w:t>331 E. Evelyn Avenue, Mountain View, CA 94041</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100" w:type="dxa"/>
            <w:vAlign w:val="bottom"/>
            <w:gridSpan w:val="4"/>
          </w:tcPr>
          <w:p>
            <w:pPr>
              <w:jc w:val="center"/>
              <w:ind w:right="4073"/>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(Zip Code)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7680" w:type="dxa"/>
            <w:vAlign w:val="bottom"/>
            <w:gridSpan w:val="6"/>
          </w:tcPr>
          <w:p>
            <w:pPr>
              <w:jc w:val="center"/>
              <w:ind w:right="3473"/>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(650) 241-1221</w:t>
            </w:r>
          </w:p>
        </w:tc>
        <w:tc>
          <w:tcPr>
            <w:tcW w:w="0" w:type="dxa"/>
            <w:vAlign w:val="bottom"/>
          </w:tcPr>
          <w:p>
            <w:pPr>
              <w:spacing w:after="0"/>
              <w:rPr>
                <w:sz w:val="1"/>
                <w:szCs w:val="1"/>
                <w:color w:val="auto"/>
              </w:rPr>
            </w:pPr>
          </w:p>
        </w:tc>
      </w:tr>
      <w:tr>
        <w:trPr>
          <w:trHeight w:val="233"/>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960" w:type="dxa"/>
            <w:vAlign w:val="bottom"/>
            <w:gridSpan w:val="3"/>
          </w:tcPr>
          <w:p>
            <w:pPr>
              <w:jc w:val="center"/>
              <w:ind w:left="1078"/>
              <w:spacing w:after="0"/>
              <w:rPr>
                <w:sz w:val="20"/>
                <w:szCs w:val="20"/>
                <w:color w:val="auto"/>
              </w:rPr>
            </w:pPr>
            <w:r>
              <w:rPr>
                <w:rFonts w:ascii="Times New Roman" w:cs="Times New Roman" w:eastAsia="Times New Roman" w:hAnsi="Times New Roman"/>
                <w:sz w:val="18"/>
                <w:szCs w:val="18"/>
                <w:color w:val="auto"/>
                <w:w w:val="99"/>
              </w:rPr>
              <w:t>_________________</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5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356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Borders>
              <w:bottom w:val="single" w:sz="8" w:color="auto"/>
            </w:tcBorders>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8"/>
        </w:trPr>
        <w:tc>
          <w:tcPr>
            <w:tcW w:w="3560" w:type="dxa"/>
            <w:vAlign w:val="bottom"/>
            <w:vMerge w:val="restart"/>
          </w:tcPr>
          <w:p>
            <w:pPr>
              <w:jc w:val="center"/>
              <w:ind w:left="494"/>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80" w:type="dxa"/>
            <w:vAlign w:val="bottom"/>
            <w:vMerge w:val="restart"/>
          </w:tcPr>
          <w:p>
            <w:pPr>
              <w:jc w:val="center"/>
              <w:ind w:left="655"/>
              <w:spacing w:after="0"/>
              <w:rPr>
                <w:sz w:val="20"/>
                <w:szCs w:val="20"/>
                <w:color w:val="auto"/>
              </w:rPr>
            </w:pPr>
            <w:r>
              <w:rPr>
                <w:rFonts w:ascii="Times New Roman" w:cs="Times New Roman" w:eastAsia="Times New Roman" w:hAnsi="Times New Roman"/>
                <w:sz w:val="14"/>
                <w:szCs w:val="14"/>
                <w:color w:val="auto"/>
              </w:rPr>
              <w:t>HTFL</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44"/>
        </w:trPr>
        <w:tc>
          <w:tcPr>
            <w:tcW w:w="35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3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39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240"/>
          </w:cols>
          <w:pgMar w:left="320" w:top="313" w:right="339" w:bottom="1440" w:gutter="0" w:footer="0" w:header="0"/>
        </w:sectPr>
      </w:pPr>
    </w:p>
    <w:p>
      <w:pPr>
        <w:ind w:left="8400"/>
        <w:spacing w:after="0" w:line="185" w:lineRule="auto"/>
        <w:rPr>
          <w:sz w:val="20"/>
          <w:szCs w:val="20"/>
          <w:color w:val="auto"/>
        </w:rPr>
      </w:pPr>
      <w:r>
        <w:rPr>
          <w:rFonts w:ascii="Times New Roman" w:cs="Times New Roman" w:eastAsia="Times New Roman" w:hAnsi="Times New Roman"/>
          <w:sz w:val="9"/>
          <w:szCs w:val="9"/>
          <w:color w:val="auto"/>
        </w:rPr>
        <w:t>(Nasdaq Global Select Market)</w:t>
      </w:r>
    </w:p>
    <w:p>
      <w:pPr>
        <w:sectPr>
          <w:pgSz w:w="11900" w:h="16838" w:orient="portrait"/>
          <w:cols w:equalWidth="0" w:num="1">
            <w:col w:w="11240"/>
          </w:cols>
          <w:pgMar w:left="320" w:top="313" w:right="33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32" w:lineRule="exact"/>
        <w:rPr>
          <w:sz w:val="24"/>
          <w:szCs w:val="24"/>
          <w:color w:val="auto"/>
        </w:rPr>
      </w:pPr>
    </w:p>
    <w:p>
      <w:pPr>
        <w:ind w:right="4140"/>
        <w:spacing w:after="0" w:line="211"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Times New Roman" w:cs="Times New Roman" w:eastAsia="Times New Roman" w:hAnsi="Times New Roman"/>
          <w:sz w:val="12"/>
          <w:szCs w:val="12"/>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2"/>
          <w:szCs w:val="12"/>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color w:val="auto"/>
        </w:rPr>
        <w:t>No</w:t>
      </w:r>
      <w:r>
        <w:rPr>
          <w:rFonts w:ascii="Times New Roman" w:cs="Times New Roman" w:eastAsia="Times New Roman" w:hAnsi="Times New Roman"/>
          <w:sz w:val="13"/>
          <w:szCs w:val="13"/>
          <w:color w:val="auto"/>
        </w:rPr>
        <w:t xml:space="preserve"> </w:t>
      </w:r>
      <w:r>
        <w:rPr>
          <w:rFonts w:ascii="Wingdings" w:cs="Wingdings" w:eastAsia="Wingdings" w:hAnsi="Wingdings"/>
          <w:sz w:val="12"/>
          <w:szCs w:val="12"/>
          <w:b w:val="1"/>
          <w:bCs w:val="1"/>
          <w:color w:val="auto"/>
        </w:rPr>
        <w:t>x</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w:t>
      </w:r>
      <w:r>
        <w:rPr>
          <w:rFonts w:ascii="Times New Roman" w:cs="Times New Roman" w:eastAsia="Times New Roman" w:hAnsi="Times New Roman"/>
          <w:sz w:val="12"/>
          <w:szCs w:val="12"/>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2"/>
          <w:szCs w:val="12"/>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color w:val="auto"/>
        </w:rPr>
        <w:t>No</w:t>
      </w:r>
      <w:r>
        <w:rPr>
          <w:rFonts w:ascii="Times New Roman" w:cs="Times New Roman" w:eastAsia="Times New Roman" w:hAnsi="Times New Roman"/>
          <w:sz w:val="13"/>
          <w:szCs w:val="13"/>
          <w:color w:val="auto"/>
        </w:rPr>
        <w:t xml:space="preserve"> </w:t>
      </w:r>
      <w:r>
        <w:rPr>
          <w:rFonts w:ascii="Wingdings" w:cs="Wingdings" w:eastAsia="Wingdings" w:hAnsi="Wingdings"/>
          <w:sz w:val="12"/>
          <w:szCs w:val="12"/>
          <w:b w:val="1"/>
          <w:bCs w:val="1"/>
          <w:color w:val="auto"/>
        </w:rPr>
        <w:t>x</w:t>
      </w:r>
    </w:p>
    <w:p>
      <w:pPr>
        <w:spacing w:after="0" w:line="25" w:lineRule="exact"/>
        <w:rPr>
          <w:sz w:val="24"/>
          <w:szCs w:val="24"/>
          <w:color w:val="auto"/>
        </w:rPr>
      </w:pPr>
    </w:p>
    <w:p>
      <w:pPr>
        <w:ind w:right="28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2"/>
          <w:szCs w:val="12"/>
          <w:color w:val="auto"/>
        </w:rPr>
        <w:t>Yes</w:t>
      </w:r>
      <w:r>
        <w:rPr>
          <w:rFonts w:ascii="Times New Roman" w:cs="Times New Roman" w:eastAsia="Times New Roman" w:hAnsi="Times New Roman"/>
          <w:sz w:val="13"/>
          <w:szCs w:val="13"/>
          <w:color w:val="auto"/>
        </w:rPr>
        <w:t xml:space="preserve"> </w:t>
      </w:r>
      <w:r>
        <w:rPr>
          <w:rFonts w:ascii="Wingdings" w:cs="Wingdings" w:eastAsia="Wingdings" w:hAnsi="Wingdings"/>
          <w:sz w:val="12"/>
          <w:szCs w:val="12"/>
          <w:b w:val="1"/>
          <w:bCs w:val="1"/>
          <w:color w:val="auto"/>
        </w:rPr>
        <w:t>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2"/>
          <w:szCs w:val="12"/>
          <w:color w:val="auto"/>
        </w:rPr>
        <w:t>☐</w:t>
      </w:r>
    </w:p>
    <w:p>
      <w:pPr>
        <w:spacing w:after="0" w:line="25" w:lineRule="exact"/>
        <w:rPr>
          <w:sz w:val="24"/>
          <w:szCs w:val="24"/>
          <w:color w:val="auto"/>
        </w:rPr>
      </w:pPr>
    </w:p>
    <w:p>
      <w:pPr>
        <w:ind w:right="30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2"/>
          <w:szCs w:val="12"/>
          <w:color w:val="auto"/>
        </w:rPr>
        <w:t>Yes</w:t>
      </w:r>
      <w:r>
        <w:rPr>
          <w:rFonts w:ascii="Times New Roman" w:cs="Times New Roman" w:eastAsia="Times New Roman" w:hAnsi="Times New Roman"/>
          <w:sz w:val="13"/>
          <w:szCs w:val="13"/>
          <w:color w:val="auto"/>
        </w:rPr>
        <w:t xml:space="preserve"> </w:t>
      </w:r>
      <w:r>
        <w:rPr>
          <w:rFonts w:ascii="Wingdings" w:cs="Wingdings" w:eastAsia="Wingdings" w:hAnsi="Wingdings"/>
          <w:sz w:val="12"/>
          <w:szCs w:val="12"/>
          <w:b w:val="1"/>
          <w:bCs w:val="1"/>
          <w:color w:val="auto"/>
        </w:rPr>
        <w:t>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2"/>
          <w:szCs w:val="12"/>
          <w:color w:val="auto"/>
        </w:rPr>
        <w:t>☐</w:t>
      </w:r>
    </w:p>
    <w:p>
      <w:pPr>
        <w:spacing w:after="0" w:line="47" w:lineRule="exact"/>
        <w:rPr>
          <w:sz w:val="24"/>
          <w:szCs w:val="24"/>
          <w:color w:val="auto"/>
        </w:rPr>
      </w:pPr>
    </w:p>
    <w:p>
      <w:pPr>
        <w:ind w:right="20"/>
        <w:spacing w:after="0" w:line="33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30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c>
          <w:tcPr>
            <w:tcW w:w="34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Accelerated filer</w:t>
            </w:r>
          </w:p>
        </w:tc>
        <w:tc>
          <w:tcPr>
            <w:tcW w:w="1980" w:type="dxa"/>
            <w:vAlign w:val="bottom"/>
          </w:tcPr>
          <w:p>
            <w:pPr>
              <w:ind w:left="18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42"/>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300" w:type="dxa"/>
            <w:vAlign w:val="bottom"/>
          </w:tcPr>
          <w:p>
            <w:pPr>
              <w:ind w:left="1980"/>
              <w:spacing w:after="0"/>
              <w:rPr>
                <w:sz w:val="20"/>
                <w:szCs w:val="20"/>
                <w:color w:val="auto"/>
              </w:rPr>
            </w:pPr>
            <w:r>
              <w:rPr>
                <w:rFonts w:ascii="Wingdings" w:cs="Wingdings" w:eastAsia="Wingdings" w:hAnsi="Wingdings"/>
                <w:sz w:val="12"/>
                <w:szCs w:val="12"/>
                <w:b w:val="1"/>
                <w:bCs w:val="1"/>
                <w:color w:val="auto"/>
              </w:rPr>
              <w:t>x</w:t>
            </w:r>
          </w:p>
        </w:tc>
        <w:tc>
          <w:tcPr>
            <w:tcW w:w="34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980" w:type="dxa"/>
            <w:vAlign w:val="bottom"/>
          </w:tcPr>
          <w:p>
            <w:pPr>
              <w:ind w:left="18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63"/>
        </w:trPr>
        <w:tc>
          <w:tcPr>
            <w:tcW w:w="3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Emerging growth company</w:t>
            </w:r>
          </w:p>
        </w:tc>
        <w:tc>
          <w:tcPr>
            <w:tcW w:w="1980" w:type="dxa"/>
            <w:vAlign w:val="bottom"/>
          </w:tcPr>
          <w:p>
            <w:pPr>
              <w:ind w:left="1860"/>
              <w:spacing w:after="0"/>
              <w:rPr>
                <w:sz w:val="20"/>
                <w:szCs w:val="20"/>
                <w:color w:val="auto"/>
              </w:rPr>
            </w:pPr>
            <w:r>
              <w:rPr>
                <w:rFonts w:ascii="Wingdings" w:cs="Wingdings" w:eastAsia="Wingdings" w:hAnsi="Wingdings"/>
                <w:sz w:val="12"/>
                <w:szCs w:val="12"/>
                <w:b w:val="1"/>
                <w:bCs w:val="1"/>
                <w:color w:val="auto"/>
                <w:w w:val="78"/>
              </w:rPr>
              <w:t>x</w:t>
            </w:r>
          </w:p>
        </w:tc>
      </w:tr>
    </w:tbl>
    <w:p>
      <w:pPr>
        <w:spacing w:after="0" w:line="243" w:lineRule="exact"/>
        <w:rPr>
          <w:sz w:val="24"/>
          <w:szCs w:val="24"/>
          <w:color w:val="auto"/>
        </w:rPr>
      </w:pPr>
    </w:p>
    <w:p>
      <w:pPr>
        <w:ind w:left="20" w:right="280"/>
        <w:spacing w:after="0" w:line="16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3" w:lineRule="exact"/>
        <w:rPr>
          <w:sz w:val="24"/>
          <w:szCs w:val="24"/>
          <w:color w:val="auto"/>
        </w:rPr>
      </w:pPr>
    </w:p>
    <w:p>
      <w:pPr>
        <w:ind w:left="20" w:right="10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2" w:lineRule="exact"/>
        <w:rPr>
          <w:sz w:val="24"/>
          <w:szCs w:val="24"/>
          <w:color w:val="auto"/>
        </w:rPr>
      </w:pPr>
    </w:p>
    <w:p>
      <w:pPr>
        <w:ind w:left="20" w:right="300"/>
        <w:spacing w:after="0" w:line="168"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 w:lineRule="exact"/>
        <w:rPr>
          <w:sz w:val="24"/>
          <w:szCs w:val="24"/>
          <w:color w:val="auto"/>
        </w:rPr>
      </w:pPr>
    </w:p>
    <w:p>
      <w:pPr>
        <w:ind w:left="20" w:right="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Times New Roman" w:cs="Times New Roman" w:eastAsia="Times New Roman" w:hAnsi="Times New Roman"/>
          <w:sz w:val="12"/>
          <w:szCs w:val="12"/>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2"/>
          <w:szCs w:val="12"/>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color w:val="auto"/>
        </w:rPr>
        <w:t>No</w:t>
      </w:r>
      <w:r>
        <w:rPr>
          <w:rFonts w:ascii="Times New Roman" w:cs="Times New Roman" w:eastAsia="Times New Roman" w:hAnsi="Times New Roman"/>
          <w:sz w:val="13"/>
          <w:szCs w:val="13"/>
          <w:color w:val="auto"/>
        </w:rPr>
        <w:t xml:space="preserve"> </w:t>
      </w:r>
      <w:r>
        <w:rPr>
          <w:rFonts w:ascii="Wingdings" w:cs="Wingdings" w:eastAsia="Wingdings" w:hAnsi="Wingdings"/>
          <w:sz w:val="12"/>
          <w:szCs w:val="12"/>
          <w:b w:val="1"/>
          <w:bCs w:val="1"/>
          <w:color w:val="auto"/>
        </w:rPr>
        <w:t>x</w:t>
      </w:r>
    </w:p>
    <w:p>
      <w:pPr>
        <w:spacing w:after="0" w:line="62" w:lineRule="exact"/>
        <w:rPr>
          <w:sz w:val="24"/>
          <w:szCs w:val="24"/>
          <w:color w:val="auto"/>
        </w:rPr>
      </w:pPr>
    </w:p>
    <w:p>
      <w:pPr>
        <w:ind w:left="20" w:right="180"/>
        <w:spacing w:after="0" w:line="268" w:lineRule="auto"/>
        <w:rPr>
          <w:sz w:val="20"/>
          <w:szCs w:val="20"/>
          <w:color w:val="auto"/>
        </w:rPr>
      </w:pPr>
      <w:r>
        <w:rPr>
          <w:rFonts w:ascii="Times New Roman" w:cs="Times New Roman" w:eastAsia="Times New Roman" w:hAnsi="Times New Roman"/>
          <w:sz w:val="13"/>
          <w:szCs w:val="13"/>
          <w:color w:val="auto"/>
        </w:rPr>
        <w:t>As of June 30, 2025, the last business day of the registrant’s most recently completed second fiscal quarter, there was no established public market for the registrant’s common stock. Therefore, the aggregate market value of its common stock held by non-affiliates as of such date cannot be calculated. The registrant’s common stock began trading on the Nasdaq Global Select Market on August 8, 2025.</w:t>
      </w:r>
    </w:p>
    <w:p>
      <w:pPr>
        <w:ind w:left="20"/>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28, 2026 was 85,757,754.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8" w:lineRule="exact"/>
        <w:rPr>
          <w:sz w:val="24"/>
          <w:szCs w:val="24"/>
          <w:color w:val="auto"/>
        </w:rPr>
      </w:pPr>
    </w:p>
    <w:p>
      <w:pPr>
        <w:ind w:left="20" w:right="160"/>
        <w:spacing w:after="0" w:line="274"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registrant’s 2026 Annual Meeting of Stockholders, to be filed within 120 days of the registrant’s fiscal year ended December 31, 2025,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7133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122555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703580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type w:val="continuous"/>
        </w:sectPr>
      </w:pPr>
    </w:p>
    <w:bookmarkStart w:id="1" w:name="page2"/>
    <w:bookmarkEnd w:id="1"/>
    <w:tbl>
      <w:tblPr>
        <w:tblLayout w:type="fixed"/>
        <w:tblInd w:w="140" w:type="dxa"/>
        <w:tblCellMar>
          <w:top w:w="0" w:type="dxa"/>
          <w:left w:w="0" w:type="dxa"/>
          <w:bottom w:w="0" w:type="dxa"/>
          <w:right w:w="0" w:type="dxa"/>
        </w:tblCellMar>
      </w:tblPr>
      <w:tr>
        <w:trPr>
          <w:trHeight w:val="258"/>
        </w:trPr>
        <w:tc>
          <w:tcPr>
            <w:tcW w:w="960" w:type="dxa"/>
            <w:vAlign w:val="bottom"/>
          </w:tcPr>
          <w:p>
            <w:pPr>
              <w:spacing w:after="0"/>
              <w:rPr>
                <w:sz w:val="22"/>
                <w:szCs w:val="22"/>
                <w:color w:val="auto"/>
              </w:rPr>
            </w:pPr>
          </w:p>
        </w:tc>
        <w:tc>
          <w:tcPr>
            <w:tcW w:w="8900" w:type="dxa"/>
            <w:vAlign w:val="bottom"/>
          </w:tcPr>
          <w:p>
            <w:pPr>
              <w:ind w:left="37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960" w:type="dxa"/>
            <w:vAlign w:val="bottom"/>
          </w:tcPr>
          <w:p>
            <w:pPr>
              <w:spacing w:after="0"/>
              <w:rPr>
                <w:sz w:val="22"/>
                <w:szCs w:val="22"/>
                <w:color w:val="auto"/>
              </w:rPr>
            </w:pPr>
          </w:p>
        </w:tc>
      </w:tr>
      <w:tr>
        <w:trPr>
          <w:trHeight w:val="397"/>
        </w:trPr>
        <w:tc>
          <w:tcPr>
            <w:tcW w:w="96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328"/>
        </w:trPr>
        <w:tc>
          <w:tcPr>
            <w:tcW w:w="960" w:type="dxa"/>
            <w:vAlign w:val="bottom"/>
          </w:tcPr>
          <w:p>
            <w:pPr>
              <w:spacing w:after="0"/>
              <w:rPr>
                <w:sz w:val="24"/>
                <w:szCs w:val="24"/>
                <w:color w:val="auto"/>
              </w:rPr>
            </w:pPr>
          </w:p>
        </w:tc>
        <w:tc>
          <w:tcPr>
            <w:tcW w:w="8900" w:type="dxa"/>
            <w:vAlign w:val="bottom"/>
          </w:tcPr>
          <w:p>
            <w:pPr>
              <w:jc w:val="center"/>
              <w:ind w:left="231"/>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60" w:type="dxa"/>
            <w:vAlign w:val="bottom"/>
          </w:tcPr>
          <w:p>
            <w:pPr>
              <w:spacing w:after="0"/>
              <w:rPr>
                <w:sz w:val="24"/>
                <w:szCs w:val="24"/>
                <w:color w:val="auto"/>
              </w:rPr>
            </w:pP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1.</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3</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1A.</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28</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1B</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73</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1C.</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Cybersecurity</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73</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2.</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Properties</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74</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3.</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74</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0000FF"/>
                <w:w w:val="88"/>
              </w:rPr>
              <w:t>75</w:t>
            </w:r>
          </w:p>
        </w:tc>
      </w:tr>
      <w:tr>
        <w:trPr>
          <w:trHeight w:val="328"/>
        </w:trPr>
        <w:tc>
          <w:tcPr>
            <w:tcW w:w="960" w:type="dxa"/>
            <w:vAlign w:val="bottom"/>
          </w:tcPr>
          <w:p>
            <w:pPr>
              <w:spacing w:after="0"/>
              <w:rPr>
                <w:sz w:val="24"/>
                <w:szCs w:val="24"/>
                <w:color w:val="auto"/>
              </w:rPr>
            </w:pPr>
          </w:p>
        </w:tc>
        <w:tc>
          <w:tcPr>
            <w:tcW w:w="8900" w:type="dxa"/>
            <w:vAlign w:val="bottom"/>
          </w:tcPr>
          <w:p>
            <w:pPr>
              <w:jc w:val="center"/>
              <w:ind w:left="231"/>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960" w:type="dxa"/>
            <w:vAlign w:val="bottom"/>
          </w:tcPr>
          <w:p>
            <w:pPr>
              <w:spacing w:after="0"/>
              <w:rPr>
                <w:sz w:val="24"/>
                <w:szCs w:val="24"/>
                <w:color w:val="auto"/>
              </w:rPr>
            </w:pP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5.</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76</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6.</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[Reserved]</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77</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7.</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78</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7A.</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89</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8.</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w w:val="88"/>
              </w:rPr>
              <w:t>91</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9.</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rPr>
              <w:t>129</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9A.</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rPr>
              <w:t>129</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9B.</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rPr>
              <w:t>129</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9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6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0000FF"/>
              </w:rPr>
              <w:t>129</w:t>
            </w:r>
          </w:p>
        </w:tc>
      </w:tr>
      <w:tr>
        <w:trPr>
          <w:trHeight w:val="328"/>
        </w:trPr>
        <w:tc>
          <w:tcPr>
            <w:tcW w:w="960" w:type="dxa"/>
            <w:vAlign w:val="bottom"/>
          </w:tcPr>
          <w:p>
            <w:pPr>
              <w:spacing w:after="0"/>
              <w:rPr>
                <w:sz w:val="24"/>
                <w:szCs w:val="24"/>
                <w:color w:val="auto"/>
              </w:rPr>
            </w:pPr>
          </w:p>
        </w:tc>
        <w:tc>
          <w:tcPr>
            <w:tcW w:w="8900" w:type="dxa"/>
            <w:vAlign w:val="bottom"/>
          </w:tcPr>
          <w:p>
            <w:pPr>
              <w:jc w:val="center"/>
              <w:ind w:left="231"/>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960" w:type="dxa"/>
            <w:vAlign w:val="bottom"/>
          </w:tcPr>
          <w:p>
            <w:pPr>
              <w:spacing w:after="0"/>
              <w:rPr>
                <w:sz w:val="24"/>
                <w:szCs w:val="24"/>
                <w:color w:val="auto"/>
              </w:rPr>
            </w:pP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10.</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rPr>
              <w:t>129</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11.</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Executive Compensation</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rPr>
              <w:t>130</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12.</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rPr>
              <w:t>130</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13.</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rPr>
              <w:t>130</w:t>
            </w: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9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6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0000FF"/>
              </w:rPr>
              <w:t>130</w:t>
            </w:r>
          </w:p>
        </w:tc>
      </w:tr>
      <w:tr>
        <w:trPr>
          <w:trHeight w:val="328"/>
        </w:trPr>
        <w:tc>
          <w:tcPr>
            <w:tcW w:w="960" w:type="dxa"/>
            <w:vAlign w:val="bottom"/>
          </w:tcPr>
          <w:p>
            <w:pPr>
              <w:spacing w:after="0"/>
              <w:rPr>
                <w:sz w:val="24"/>
                <w:szCs w:val="24"/>
                <w:color w:val="auto"/>
              </w:rPr>
            </w:pPr>
          </w:p>
        </w:tc>
        <w:tc>
          <w:tcPr>
            <w:tcW w:w="8900" w:type="dxa"/>
            <w:vAlign w:val="bottom"/>
          </w:tcPr>
          <w:p>
            <w:pPr>
              <w:jc w:val="center"/>
              <w:ind w:left="231"/>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960" w:type="dxa"/>
            <w:vAlign w:val="bottom"/>
          </w:tcPr>
          <w:p>
            <w:pPr>
              <w:spacing w:after="0"/>
              <w:rPr>
                <w:sz w:val="24"/>
                <w:szCs w:val="24"/>
                <w:color w:val="auto"/>
              </w:rPr>
            </w:pP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15.</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rPr>
              <w:t>131</w:t>
            </w:r>
          </w:p>
        </w:tc>
      </w:tr>
      <w:tr>
        <w:trPr>
          <w:trHeight w:val="187"/>
        </w:trPr>
        <w:tc>
          <w:tcPr>
            <w:tcW w:w="9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Item 16.</w:t>
            </w:r>
          </w:p>
        </w:tc>
        <w:tc>
          <w:tcPr>
            <w:tcW w:w="8900" w:type="dxa"/>
            <w:vAlign w:val="bottom"/>
          </w:tcPr>
          <w:p>
            <w:pPr>
              <w:ind w:left="300"/>
              <w:spacing w:after="0" w:line="187" w:lineRule="exact"/>
              <w:rPr>
                <w:sz w:val="20"/>
                <w:szCs w:val="20"/>
                <w:color w:val="auto"/>
              </w:rPr>
            </w:pPr>
            <w:r>
              <w:rPr>
                <w:rFonts w:ascii="Times New Roman" w:cs="Times New Roman" w:eastAsia="Times New Roman" w:hAnsi="Times New Roman"/>
                <w:sz w:val="18"/>
                <w:szCs w:val="18"/>
                <w:color w:val="0000FF"/>
              </w:rPr>
              <w:t>Form 10-K Summary</w:t>
            </w:r>
          </w:p>
        </w:tc>
        <w:tc>
          <w:tcPr>
            <w:tcW w:w="960" w:type="dxa"/>
            <w:vAlign w:val="bottom"/>
          </w:tcPr>
          <w:p>
            <w:pPr>
              <w:jc w:val="center"/>
              <w:ind w:left="511"/>
              <w:spacing w:after="0" w:line="187" w:lineRule="exact"/>
              <w:rPr>
                <w:sz w:val="20"/>
                <w:szCs w:val="20"/>
                <w:color w:val="auto"/>
              </w:rPr>
            </w:pPr>
            <w:r>
              <w:rPr>
                <w:rFonts w:ascii="Times New Roman" w:cs="Times New Roman" w:eastAsia="Times New Roman" w:hAnsi="Times New Roman"/>
                <w:sz w:val="18"/>
                <w:szCs w:val="18"/>
                <w:color w:val="0000FF"/>
              </w:rPr>
              <w:t>132</w:t>
            </w:r>
          </w:p>
        </w:tc>
      </w:tr>
      <w:tr>
        <w:trPr>
          <w:trHeight w:val="233"/>
        </w:trPr>
        <w:tc>
          <w:tcPr>
            <w:tcW w:w="960" w:type="dxa"/>
            <w:vAlign w:val="bottom"/>
          </w:tcPr>
          <w:p>
            <w:pPr>
              <w:spacing w:after="0"/>
              <w:rPr>
                <w:sz w:val="20"/>
                <w:szCs w:val="20"/>
                <w:color w:val="auto"/>
              </w:rPr>
            </w:pPr>
          </w:p>
        </w:tc>
        <w:tc>
          <w:tcPr>
            <w:tcW w:w="89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0000FF"/>
              </w:rPr>
              <w:t>133</w:t>
            </w:r>
          </w:p>
        </w:tc>
      </w:tr>
    </w:tbl>
    <w:p>
      <w:pPr>
        <w:spacing w:after="0" w:line="3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“Heartflow,” the Heartflow logos, and other trade names, trademarks, or service marks of Heartflow appearing in this Annual Report are the property of Heartflow. Other trade names, trademarks, or service marks appearing in this Annual Report are the property of their respective holders. We do not intend our use or display of other companies’ trade names, trademarks, or service marks to imply a relationship with, or endorsement or sponsorship of us by, these other companies. Solely for convenience, trade names, trademarks, and service marks referred to in this Annual Report appear without the ®, ™, and SM symbols, but those references are not intended to indicate, in any way, that we will not assert, to the fullest extent under applicable law, our rights or that the applicable owner will not assert its rights, to these trade names, trademarks, and service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805815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p>
      <w:pPr>
        <w:spacing w:after="0" w:line="180"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8"/>
          <w:szCs w:val="18"/>
          <w:color w:val="auto"/>
        </w:rPr>
        <w:t>This Annual Report on Form 10-K (the “Annual Report”) contains express or implied forward-looking statements within the meaning of the Private Securities Litigation Reform Act of 1995 that involve substantial risks and uncertainties. We intend such forward-looking statements contained in this Annual Report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including statements regarding our strategy, future financial condition, future operations, projected costs, prospects, plans, objectives of management, and expected market growth, are forward-looking statements. In some cases, you can identify forward-looking statements by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w:t>
      </w:r>
    </w:p>
    <w:p>
      <w:pPr>
        <w:spacing w:after="0" w:line="162"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Forward-looking statements contained in this Annual Report include, but are not limited to, statements regarding our future results of operations and financial positions, plans for our current and future products, anticipated product launches, the impact of macroeconomic conditions, industry and business trends, and our expectations regarding business strategy, plans, market growth, regulatory climate, competitive landscape and our objectives for future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w:t>
      </w:r>
    </w:p>
    <w:p>
      <w:pPr>
        <w:spacing w:after="0" w:line="223" w:lineRule="auto"/>
        <w:rPr>
          <w:sz w:val="20"/>
          <w:szCs w:val="20"/>
          <w:color w:val="auto"/>
        </w:rPr>
      </w:pPr>
      <w:r>
        <w:rPr>
          <w:rFonts w:ascii="Times New Roman" w:cs="Times New Roman" w:eastAsia="Times New Roman" w:hAnsi="Times New Roman"/>
          <w:sz w:val="18"/>
          <w:szCs w:val="18"/>
          <w:color w:val="auto"/>
        </w:rPr>
        <w:t>looking statements contained in this Annual Report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Annual Report, we cannot guarantee that the future results, levels of activity, performance, or events and circumstances reflected in the forward-looking statements will be achieved or occur at all. Forward-looking statements involve known and unknown risks and uncertainties and are subject to other important factors that may cause our actual results, performance or achievements to be materially different from any future results, performance or achievements expressed or implied by the forward-looking statements, including, but not limited to, those factors discussed in Part I, Item 1A, “Risk Factors” in this Annual Report, as such risks and uncertainties may be amended, supplemented or superseded from time to time by our subsequent periodic reports on Form 10-Q and Form 10-K we file with the United States Securities and Exchange Commission. We qualify all of our forward-looking statements by these cautionary statements. Moreover, we operate in a very competitive and rapidly changing</w:t>
      </w:r>
    </w:p>
    <w:p>
      <w:pPr>
        <w:spacing w:after="0" w:line="6" w:lineRule="exact"/>
        <w:rPr>
          <w:sz w:val="20"/>
          <w:szCs w:val="20"/>
          <w:color w:val="auto"/>
        </w:rPr>
      </w:pPr>
    </w:p>
    <w:p>
      <w:pPr>
        <w:ind w:right="3040"/>
        <w:spacing w:after="0" w:line="250" w:lineRule="auto"/>
        <w:rPr>
          <w:sz w:val="20"/>
          <w:szCs w:val="20"/>
          <w:color w:val="auto"/>
        </w:rPr>
      </w:pPr>
      <w:r>
        <w:rPr>
          <w:rFonts w:ascii="Times New Roman" w:cs="Times New Roman" w:eastAsia="Times New Roman" w:hAnsi="Times New Roman"/>
          <w:sz w:val="17"/>
          <w:szCs w:val="17"/>
          <w:color w:val="auto"/>
        </w:rPr>
        <w:t>environment. New risks and uncertainties emerge from time to time, and it is not possible for us to predict all risks and uncertainties that could have an impact on the forward-looking statements contained in this Annual Report.</w:t>
      </w:r>
    </w:p>
    <w:p>
      <w:pPr>
        <w:spacing w:after="0" w:line="147"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p>
    <w:p>
      <w:pPr>
        <w:spacing w:after="0" w:line="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We provide software and artificial intelligence (“AI”) designed to deliver a more accurate and clinically effective non-invasive solution for diagnosing and managing coronary artery disease (“CAD”), a leading cause of death worldwide. As of December 31, 2025, our Heartflow Platform has been used to assess CAD in more than 600,000 patients, including 219,000 in 2025 alone. We believe that we are the most widely adopted AI-powered test for CAD. Our novel platform leverages AI and advanced computational fluid dynamics to create a personalized 3D model of a patient’s heart from a single coronary computed tomography angiography (“CCTA”), a specialized type of scan that provides detailed images of the heart’s arteries. Our Heartflow Platform delivers actionable insights on blood flow, stenosis, plaque volume and plaque composition thereby overcoming the limitations of traditional non-invasive imaging tests which rely on indirect measures of coronary disease and lead to higher false negative and false positive rates, as demonstrated by our PRECISE trial. We believe the differentiated accuracy and clinical utility of our Heartflow Platform, along with its ability to enhance workflows, will continue to support our growth and advance the “CCTA + Heartflow” pathway as the definitive standard for the non-invasive diagnosis and management of CAD.</w:t>
      </w:r>
    </w:p>
    <w:p>
      <w:pPr>
        <w:spacing w:after="0" w:line="157"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Cardiovascular disease is the leading cause of death worldwide, with CAD being the most lethal form. CAD occurs when plaque—a buildup of cholesterol, fat, calcium and other substances—accumulates on the walls of the coronary arteries, restricting blood flow and increasing the risk of heart attack or stroke. This condition is responsible for half of all cardiovascular-related deaths globally. In the United States alone, the Centers for Disease Control (“CDC”) estimates that approximately 805,000 people suffer a heart attack each year. Despite significant advancements in therapeutic and interventional treatments, CAD remains a leading cause of death globally because healthcare systems generally lack scalable methods to efficiently detect, diagnose and quantify CAD at a personalized level.</w:t>
      </w:r>
    </w:p>
    <w:p>
      <w:pPr>
        <w:spacing w:after="0" w:line="146"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CCTA has emerged as a leading non-invasive imaging method for evaluating CAD, offering direct and detailed visualization of the coronary arteries. Unlike traditional stress-based non-invasive tests (“NITs”), CCTA enables physicians to identify the presence and extent of coronary blockage. As a result, CCTA has become the preferred first-line test for patients with suspected CAD, as evidenced by the AHA and ACC guidelines elevating CCTA to Class 1, Level A. However, while CCTA provides superior anatomical imaging, it does not independently quantify the severity of CAD, assess blood flow limitations, or characterize plaque composition—critical factors for determining the most appropriate, personalized course of treatment for a patient.</w:t>
      </w:r>
    </w:p>
    <w:p>
      <w:pPr>
        <w:spacing w:after="0" w:line="15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Our Heartflow Platform builds upon the well-established strengths of CCTA by going beyond its limitations and providing new quantified insights and compelling visualizations of data. By applying our advanced AI-powered technology to a single CCTA scan, we generate a precise, patient-specific analysis that quantifies blood flow, measures plaque burden, and characterizes plaque composition—at every point in the major coronary arteries.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84"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Heartflow enhances CCTA, the most advanced non-invasive imaging modality for assessing CAD, with AI-powered analysis to deliver more accurate and clinically actionable insights for diagnosing and managing CAD. The Heartflow Platform applies deep learning, an advanced form of AI, and computational fluid dynamics to CCTA images to create a personalized 3D model of a patient’s heart based on a single CCTA image. This model provides actionable insights into blood flow, stenosis, plaque volume and plaque composition allowing precise diagnosis, risk stratification, and treatment planning – without the need for an invasive procedure.</w:t>
      </w:r>
    </w:p>
    <w:p>
      <w:pPr>
        <w:spacing w:after="0" w:line="14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We designed our AI-powered software platform to be highly scalable, seamlessly integrate into existing physician workflows for diagnosing CAD, and improve as we ingest more data over time. By leveraging AI to process massive volumes of cases and a “human-in-the loop” quality control process, where learnings are fed back into our algorithms to improve their performance and efficiency, we have scaled our platform to deliver accurate, timely results to benefit physicians and patients alike. Our cloud-based technology has enabled us to rapidly scale to an installed base of more than 1,465 accounts in the United States as of December 31, 2025. We have also built a substantial and growing data asset that has driven refinement of our algorithms for over 10 years and as 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8"/>
          <w:szCs w:val="18"/>
          <w:color w:val="auto"/>
        </w:rPr>
        <w:t>December 31, 2025, we have analyzed and annotated more than 160 million annotated CCTA images. Additionally, through our bi-directional data sharing relationship with our customers we ensure platform enhancements, delivering immediate and tangible benefits through new features, workflow efficiencies, and improved performance.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CCTA + Heartflow Pathway</w:t>
      </w:r>
    </w:p>
    <w:p>
      <w:pPr>
        <w:spacing w:after="0" w:line="18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When a patient presents with symptoms of CAD and their physician follows the AHA and ACC Class 1, Level A chest pain guidelines by referring the patient for a CCTA, the patient will undergo standard CCTA imaging at the relevant hospital or outpatient facility. At Heartflow-enabled accounts, CCTA images are securely transmitted directly to our cloud-based platform through our embedded software in the hospital or outpatient imaging center. Leveraging proprietary AI and advanced computational fluid dynamics, we create a personalized, 3D digital model of the patient’s coronary arteries, unlocking critical insights beyond what is visible on standard imaging.</w:t>
      </w:r>
    </w:p>
    <w:p>
      <w:pPr>
        <w:spacing w:after="0" w:line="15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Our Heartflow Platform seamlessly integrates into our customer workflows, providing clinically actionable insights directly to the account, which we believe is sufficient for the workflows of our customers. We deliver the Heartflow RoadMap Analysis automatically to the imaging cardiologist or radiologist for every acceptable CCTA patient at our accounts to help drive more efficient CCTA interpretation, workflows and revascularization strategies. In conjunction with the Heartflow RoadMap Analysis, we also provide physicians with a case list that catalogs all their CCTAs and identifies the cases where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Heartflow Plaque Analysis or both would enable them to accurately diagnose clinically significant CAD and plan treatment. With a single</w:t>
      </w:r>
    </w:p>
    <w:p>
      <w:pPr>
        <w:spacing w:after="0" w:line="182" w:lineRule="auto"/>
        <w:rPr>
          <w:sz w:val="20"/>
          <w:szCs w:val="20"/>
          <w:color w:val="auto"/>
        </w:rPr>
      </w:pPr>
      <w:r>
        <w:rPr>
          <w:rFonts w:ascii="Times New Roman" w:cs="Times New Roman" w:eastAsia="Times New Roman" w:hAnsi="Times New Roman"/>
          <w:sz w:val="16"/>
          <w:szCs w:val="16"/>
          <w:color w:val="auto"/>
        </w:rPr>
        <w:t>click, Physicians can access these analyses on-demand, and we bill the account directly for each product selected. Because Heartflow FFR</w:t>
      </w:r>
      <w:r>
        <w:rPr>
          <w:rFonts w:ascii="Times New Roman" w:cs="Times New Roman" w:eastAsia="Times New Roman" w:hAnsi="Times New Roman"/>
          <w:sz w:val="26"/>
          <w:szCs w:val="26"/>
          <w:color w:val="auto"/>
          <w:vertAlign w:val="subscript"/>
        </w:rPr>
        <w:t>CT</w:t>
      </w:r>
      <w:r>
        <w:rPr>
          <w:rFonts w:ascii="Times New Roman" w:cs="Times New Roman" w:eastAsia="Times New Roman" w:hAnsi="Times New Roman"/>
          <w:sz w:val="16"/>
          <w:szCs w:val="16"/>
          <w:color w:val="auto"/>
        </w:rPr>
        <w:t xml:space="preserve"> Analysis and</w:t>
      </w:r>
    </w:p>
    <w:p>
      <w:pPr>
        <w:spacing w:after="0" w:line="1" w:lineRule="exact"/>
        <w:rPr>
          <w:sz w:val="20"/>
          <w:szCs w:val="20"/>
          <w:color w:val="auto"/>
        </w:rPr>
      </w:pPr>
    </w:p>
    <w:p>
      <w:pPr>
        <w:ind w:right="800"/>
        <w:spacing w:after="0" w:line="239" w:lineRule="auto"/>
        <w:rPr>
          <w:sz w:val="20"/>
          <w:szCs w:val="20"/>
          <w:color w:val="auto"/>
        </w:rPr>
      </w:pPr>
      <w:r>
        <w:rPr>
          <w:rFonts w:ascii="Times New Roman" w:cs="Times New Roman" w:eastAsia="Times New Roman" w:hAnsi="Times New Roman"/>
          <w:sz w:val="18"/>
          <w:szCs w:val="18"/>
          <w:color w:val="auto"/>
        </w:rPr>
        <w:t>Heartflow Plaque Analysis have distinct clinical indications and dedicated billing codes, our workflow helps ensure physicians can order the most appropriate analyses for each patient, supporting both high-quality care and efficient reimbursement processes.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Heartflow Platform Portfolio</w:t>
      </w:r>
    </w:p>
    <w:p>
      <w:pPr>
        <w:spacing w:after="0" w:line="184"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To date, we have developed three software products (with a fourth product expected to launch in the second quarter of 2026) under the Heartflow Platform that provide physicians with the critical insights needed to effectively diagnose and manage CAD:</w:t>
      </w:r>
    </w:p>
    <w:p>
      <w:pPr>
        <w:spacing w:after="0" w:line="175"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i w:val="1"/>
          <w:iCs w:val="1"/>
          <w:color w:val="auto"/>
        </w:rPr>
        <w:t>Heartflow RoadMap Analysis</w:t>
      </w:r>
      <w:r>
        <w:rPr>
          <w:rFonts w:ascii="Times New Roman" w:cs="Times New Roman" w:eastAsia="Times New Roman" w:hAnsi="Times New Roman"/>
          <w:sz w:val="17"/>
          <w:szCs w:val="17"/>
          <w:color w:val="auto"/>
        </w:rPr>
        <w:t>: The Heartflow RoadMap Analysis provides a highly intuitive anatomic visualization of the patient’s coronary anatomy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CCTA images. It rapidly orients the imaging physician to clinically relevant areas of the patient anatomy and provides a preview of what they will review in the native CCTA images to aid the physician in accurately, efficiently and consistently identifying stenosis in the coronary arteries. Heartflow RoadMap Analysis supports more efficient radiology workflow, improving CCTA read times by 25% and increasing consistency between reviewing physicians by approximately 40%, as demonstrated in our SMART-CT study. Physicians use Heartflow Roadmap Analysis as a first-line assessment tool along with CCTA interpretation to determine whether to order our more detailed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or Heartflow Plaque Analysis reports. The Heartflow RoadMap</w:t>
      </w:r>
    </w:p>
    <w:p>
      <w:pPr>
        <w:spacing w:after="0" w:line="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Analysis was cleared by the FDA in October 2022, and we began providing it to our customers in the second quarter of 2023. We generally provide Heartflow RoadMap Analysis to accounts as an integrated feature to enhance the efficiency and consistency of their CCTA programs, and it is not a stand-alone product. We believe the efficiency that Heartflow RoadMap Analysis provides our customers has resulted in enhanced customer loyalty and retention.</w:t>
      </w:r>
    </w:p>
    <w:p>
      <w:pPr>
        <w:spacing w:after="0" w:line="1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i w:val="1"/>
          <w:iCs w:val="1"/>
          <w:color w:val="auto"/>
        </w:rPr>
        <w:t>Heartflow FFR</w:t>
      </w:r>
      <w:r>
        <w:rPr>
          <w:rFonts w:ascii="Times New Roman" w:cs="Times New Roman" w:eastAsia="Times New Roman" w:hAnsi="Times New Roman"/>
          <w:sz w:val="29"/>
          <w:szCs w:val="29"/>
          <w:i w:val="1"/>
          <w:iCs w:val="1"/>
          <w:color w:val="auto"/>
          <w:vertAlign w:val="subscript"/>
        </w:rPr>
        <w:t>CT</w:t>
      </w:r>
      <w:r>
        <w:rPr>
          <w:rFonts w:ascii="Times New Roman" w:cs="Times New Roman" w:eastAsia="Times New Roman" w:hAnsi="Times New Roman"/>
          <w:sz w:val="18"/>
          <w:szCs w:val="18"/>
          <w:i w:val="1"/>
          <w:iCs w:val="1"/>
          <w:color w:val="auto"/>
        </w:rPr>
        <w:t xml:space="preserve"> Analysis</w:t>
      </w:r>
      <w:r>
        <w:rPr>
          <w:rFonts w:ascii="Times New Roman" w:cs="Times New Roman" w:eastAsia="Times New Roman" w:hAnsi="Times New Roman"/>
          <w:sz w:val="18"/>
          <w:szCs w:val="18"/>
          <w:color w:val="auto"/>
        </w:rPr>
        <w:t>: Our flagship product,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consists of a patient-specific, interactive, 3D anatomical reconstruction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coronary anatomy that calculates blood flow and identifies clinically significant CAD to determine the need for intervention, which is CAD with a fractional flow reserve (“FFR”) value of 0.80 or below, at every point in the major coronary arteries. FFR measures the severity of blood flow restriction in the coronary arteries on a scale of 1.0 (no restriction) to 0.0 (complete blockage) by assessing pressure differences across a stenosis during induced stress, guiding decisions on whether a patient requires invasive revascularization.</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0" w:lineRule="exact"/>
        <w:rPr>
          <w:sz w:val="20"/>
          <w:szCs w:val="20"/>
          <w:color w:val="auto"/>
        </w:rPr>
      </w:pPr>
    </w:p>
    <w:p>
      <w:pPr>
        <w:ind w:right="380"/>
        <w:spacing w:after="0" w:line="229" w:lineRule="auto"/>
        <w:rPr>
          <w:sz w:val="20"/>
          <w:szCs w:val="20"/>
          <w:color w:val="auto"/>
        </w:rPr>
      </w:pPr>
      <w:r>
        <w:rPr>
          <w:rFonts w:ascii="Times New Roman" w:cs="Times New Roman" w:eastAsia="Times New Roman" w:hAnsi="Times New Roman"/>
          <w:sz w:val="17"/>
          <w:szCs w:val="17"/>
          <w:color w:val="auto"/>
        </w:rPr>
        <w:t>The model is color-coded along vessel length, indicating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values which assist the physician in rapidly and precisely assessing blood flow through the coronary arteries.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has the highest diagnostic accuracy for a non-invasive CAD test and has</w:t>
      </w:r>
    </w:p>
    <w:p>
      <w:pPr>
        <w:spacing w:after="0" w:line="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demonstrated a high level of concordance to invasive FFR, as seen in our PRECISE, NXT and PACIFIC trials. Our product can measure the FFR value and determine whether a lesion is clinically significant – a “clinically significant lesion” means an FFR value of 0.80 or below. Because FFR values are the guideline directed measure to determine the need for invasive revascularization, this data offers a more clinically accurate, non-invasive basis for determining the need for interventional treatment.</w:t>
      </w:r>
    </w:p>
    <w:p>
      <w:pPr>
        <w:spacing w:after="0" w:line="27" w:lineRule="exact"/>
        <w:rPr>
          <w:sz w:val="20"/>
          <w:szCs w:val="20"/>
          <w:color w:val="auto"/>
        </w:rPr>
      </w:pPr>
    </w:p>
    <w:p>
      <w:pPr>
        <w:ind w:right="40"/>
        <w:spacing w:after="0" w:line="199" w:lineRule="auto"/>
        <w:rPr>
          <w:sz w:val="20"/>
          <w:szCs w:val="20"/>
          <w:color w:val="auto"/>
        </w:rPr>
      </w:pPr>
      <w:r>
        <w:rPr>
          <w:rFonts w:ascii="Times New Roman" w:cs="Times New Roman" w:eastAsia="Times New Roman" w:hAnsi="Times New Roman"/>
          <w:sz w:val="17"/>
          <w:szCs w:val="17"/>
          <w:color w:val="auto"/>
        </w:rPr>
        <w:t>Current AHA and ACC guidelines support CCTA +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as a more efficient care pathway. The guidelines designate CCTA as a Class 1, Level A test for CAD in certain patients with stable or acute chest pain and no known CAD, with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given a Class 2a, Level B recognition to help physicians guide patient treatment decisions. This CCTA +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pathway enables physicians to identify lesions that require revascularization in less than two hours, and guidelines recommend patients with positive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findings be sent directly to</w:t>
      </w:r>
    </w:p>
    <w:p>
      <w:pPr>
        <w:spacing w:after="0" w:line="2" w:lineRule="exact"/>
        <w:rPr>
          <w:sz w:val="20"/>
          <w:szCs w:val="20"/>
          <w:color w:val="auto"/>
        </w:rPr>
      </w:pPr>
    </w:p>
    <w:p>
      <w:pPr>
        <w:ind w:right="340"/>
        <w:spacing w:after="0" w:line="231" w:lineRule="auto"/>
        <w:rPr>
          <w:sz w:val="20"/>
          <w:szCs w:val="20"/>
          <w:color w:val="auto"/>
        </w:rPr>
      </w:pPr>
      <w:r>
        <w:rPr>
          <w:rFonts w:ascii="Times New Roman" w:cs="Times New Roman" w:eastAsia="Times New Roman" w:hAnsi="Times New Roman"/>
          <w:sz w:val="18"/>
          <w:szCs w:val="18"/>
          <w:color w:val="auto"/>
        </w:rPr>
        <w:t>the cardiac catheterization lab for possible treatment. Comparatively, AHA and ACC guidelines provide stress-based testing a Class 1, Level B recommendation, suggesting patients with suspected CAD and positive stress-based test findings first initiate guideline directed medical therapy. Only if symptoms are not resolved by medical therapy, which can last weeks or months, are patients then sent to the cardiac catheterization lab.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is indicated for patients with stenosis levels between 40% and 90% in any vessel because a physician’s review of a CCTA</w:t>
      </w:r>
    </w:p>
    <w:p>
      <w:pPr>
        <w:spacing w:after="0" w:line="41" w:lineRule="exact"/>
        <w:rPr>
          <w:sz w:val="20"/>
          <w:szCs w:val="20"/>
          <w:color w:val="auto"/>
        </w:rPr>
      </w:pPr>
    </w:p>
    <w:p>
      <w:pPr>
        <w:spacing w:after="0" w:line="198" w:lineRule="auto"/>
        <w:rPr>
          <w:sz w:val="20"/>
          <w:szCs w:val="20"/>
          <w:color w:val="auto"/>
        </w:rPr>
      </w:pPr>
      <w:r>
        <w:rPr>
          <w:rFonts w:ascii="Times New Roman" w:cs="Times New Roman" w:eastAsia="Times New Roman" w:hAnsi="Times New Roman"/>
          <w:sz w:val="17"/>
          <w:szCs w:val="17"/>
          <w:color w:val="auto"/>
        </w:rPr>
        <w:t>alone may not appropriately identify the need for treatment in these cases. For example, in the figure below, two patients with &gt;70% stenosis based on CCTA alone would likely be referred for invasive coronary angiography (“ICA”). However,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provides a more individualized response</w:t>
      </w:r>
    </w:p>
    <w:p>
      <w:pPr>
        <w:spacing w:after="0" w:line="1" w:lineRule="exact"/>
        <w:rPr>
          <w:sz w:val="20"/>
          <w:szCs w:val="20"/>
          <w:color w:val="auto"/>
        </w:rPr>
      </w:pPr>
    </w:p>
    <w:p>
      <w:pPr>
        <w:ind w:right="280"/>
        <w:spacing w:after="0" w:line="180" w:lineRule="auto"/>
        <w:rPr>
          <w:sz w:val="20"/>
          <w:szCs w:val="20"/>
          <w:color w:val="auto"/>
        </w:rPr>
      </w:pPr>
      <w:r>
        <w:rPr>
          <w:rFonts w:ascii="Times New Roman" w:cs="Times New Roman" w:eastAsia="Times New Roman" w:hAnsi="Times New Roman"/>
          <w:sz w:val="17"/>
          <w:szCs w:val="17"/>
          <w:color w:val="auto"/>
        </w:rPr>
        <w:t>and reveals that Patient A has an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value &gt;0.80—but indicating no need for intervention—while Patient B has an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value &lt;0.80 and should be referred for revascularization. As of December 31, 2025,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represented 98% of our total revenue.</w:t>
      </w:r>
    </w:p>
    <w:p>
      <w:pPr>
        <w:spacing w:after="0" w:line="15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i w:val="1"/>
          <w:iCs w:val="1"/>
          <w:color w:val="auto"/>
        </w:rPr>
        <w:t>Heartflow Plaque Analysis</w:t>
      </w:r>
      <w:r>
        <w:rPr>
          <w:rFonts w:ascii="Times New Roman" w:cs="Times New Roman" w:eastAsia="Times New Roman" w:hAnsi="Times New Roman"/>
          <w:sz w:val="18"/>
          <w:szCs w:val="18"/>
          <w:color w:val="auto"/>
        </w:rPr>
        <w:t>: Heartflow Plaque Analysis transforms coronary plaque assessment from a time-consuming and variable manual process,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seldom clinically used, into a rapid, automated, and highly precise AI-driven solution. The Heartflow Plaque Analysis automatically provides a comprehensive 3D assessment of a patient’s coronary plaque, including a characterization of plaque types and quantification of plaque volumes at every point in the major coronary arteries, enabling optimized medical treatment strategies. The Heartflow Plaque Analysis has been validated against the reference standard of invasive IVUS and shown to have a 95% agreement with IVUS in quantifying total coronary plaque volume in our REVEALPLAQUE study. Moreover, our current findings from the DECIDE registry show the Heartflow Plaque Analysis led to medical management change in over half of patients beyond CCTA alone. Because coronary plaque volume is a strong predictor of a patient’s risk of having a heart attack regardless of ASCVD risk score, coronary artery calcium (“CAC”) score, or stenosis, this data offers incremental predictive power over risk factors and stenosis alone and can aid the physician in optimizing medical management. Furthermore, only quantified plaque analysis based on CCTA can assess non-calcified plaque, which has a higher risk for causing a heart attack as compared to calcified plaque. In contrast, while CAC scores also use a CT scan to measure plaque, they estimate CAD risk based solely on calcified plaque. We believe that our Heartflow Plaque Analysis is applicable to the approximately 60% of CCTA patients identified as having 1% to 69% stenosis and adds significant value over review of CCTA alone, which is unable to precisely quantify or characterize the type or volume of plaque that would impact a physician’s treatment plan.</w:t>
      </w:r>
    </w:p>
    <w:p>
      <w:pPr>
        <w:spacing w:after="0" w:line="155"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In addition to its comprehensive plaque assessment capabilities, Heartflow Plaque Analysis incorporates a nomogram derived from an extensive international cohort of over 11,000 patients. This nomogram stratifies coronary atherosclerotic plaque volumes by age and sex, providing physicians with a valuable reference to contextualize individual patient data against population-based benchmarks. By leveraging this tool, clinicians can more precisely assess a patient’s CAD risk, facilitating personalized treatment strategies. This integration of large-scale data enhances the actionable insights delivered by Heartflow Plaque Analysis, supporting more informed clinical decision-making. Data from our DECIDE Registry showed Heartflow Plaque Analysis led to medical management change in over 51% of patients beyond coronary computed tomography angiography (CCTA) alone, regardless of traditional risk factors or CCTA findings. The DECIDE Registry is the largest prospective study of its kind, we recently completed enrollment of approximately 22,000 patients at 30 sites across the United States.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18"/>
          <w:szCs w:val="18"/>
          <w:color w:val="auto"/>
        </w:rPr>
        <w:t>Our Heartflow Plaque Analysis was cleared by the FDA in October 2022. We began our limited market education efforts in the second half of 2023, and we expect to broaden our market education efforts as payor coverage for Heartflow Plaque Analysis increases. Our Heartflow Plaque Analysis is included in the most recent version of EviCore by Evernorth cardiac imaging guidelines, which provides coverage guidelines to leading commercial payers, such as United Healthcare, Cigna, and Highmark BCBS, effective October 1, 2025.</w:t>
      </w:r>
    </w:p>
    <w:p>
      <w:pPr>
        <w:spacing w:after="0" w:line="156"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i w:val="1"/>
          <w:iCs w:val="1"/>
          <w:color w:val="auto"/>
        </w:rPr>
        <w:t>Heartflow PCI Navigator</w:t>
      </w:r>
      <w:r>
        <w:rPr>
          <w:rFonts w:ascii="Times New Roman" w:cs="Times New Roman" w:eastAsia="Times New Roman" w:hAnsi="Times New Roman"/>
          <w:sz w:val="18"/>
          <w:szCs w:val="18"/>
          <w:color w:val="auto"/>
        </w:rPr>
        <w:t>: Heartflow PCI Navigator, which we expect to launch in the second quarter of 2026, will enable pre-PCI assessment of coronary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anatomy, lesion-specific physiology and plaque localization through an interactive 3D model, combined in a single interface. The tool will provide interventional cardiologists with advanced visualization and clinical insights to help answer critical questions for revascularization strategies, such as which lesions to treat, how to treat them, the complexity of PCI, the need for calcium modification, what ancillary tool to use and how to optimize stent quantity, size and placement. We expect Heartflow PCI Navigator to offer procedural efficiency through advanced preparation, improved patient care by ensuring optimal treatment at the right time and increased clinician confidence with detailed pre-procedure knowledge. We plan to provide Heartflow PCI Navigator to accounts as an integrated feature to enhance procedural efficiency, not as a stand-alone product.</w:t>
      </w:r>
    </w:p>
    <w:p>
      <w:pPr>
        <w:spacing w:after="0" w:line="20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We anticipate launching Plaque Tracker, our fifth product, in 2027. Plaque Tracker will enable longitudinal plaque analysis of sequential CCTAs to measure the efficacy of medical therapy based on plaque regression.</w:t>
      </w:r>
    </w:p>
    <w:p>
      <w:pPr>
        <w:spacing w:after="0" w:line="20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With over a decade of commercial presence, we have established a competitively differentiated data set of more than 160 million annotated images, which is primarily sourced from our commercial relationships with customers, driving training and refinement of our algorithms for over 10 years and the ability to train new AI models for future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Heartflow Platform delivers the following key benefits:</w:t>
      </w:r>
    </w:p>
    <w:p>
      <w:pPr>
        <w:spacing w:after="0" w:line="176" w:lineRule="exact"/>
        <w:rPr>
          <w:sz w:val="20"/>
          <w:szCs w:val="20"/>
          <w:color w:val="auto"/>
        </w:rPr>
      </w:pPr>
    </w:p>
    <w:p>
      <w:pPr>
        <w:ind w:left="320" w:right="240" w:hanging="313"/>
        <w:spacing w:after="0" w:line="231" w:lineRule="auto"/>
        <w:tabs>
          <w:tab w:leader="none" w:pos="3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 more accurate non-invasive test for CAD</w:t>
      </w:r>
      <w:r>
        <w:rPr>
          <w:rFonts w:ascii="Times New Roman" w:cs="Times New Roman" w:eastAsia="Times New Roman" w:hAnsi="Times New Roman"/>
          <w:sz w:val="18"/>
          <w:szCs w:val="18"/>
          <w:color w:val="auto"/>
        </w:rPr>
        <w:t>, clinically validated to provide superior assessment of blood flow, plaque volume and plaque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characterization compared to traditional non-invasive methods. We believe the Heartflow Platform is the most extensively studied AI-enabled test for CAD. Our belief is grounded in our analysis, including that the Heartflow Platform and its accuracy, clinical utility and economic benefits have been evaluated in over 200 clinical studies and more than 365,000 patients, including our PRECISE and FORECAST trials, each a large randomized controlled trial, with results published in over 600 peer-reviewed clinical publications.</w:t>
      </w:r>
    </w:p>
    <w:p>
      <w:pPr>
        <w:spacing w:after="0" w:line="151" w:lineRule="exact"/>
        <w:rPr>
          <w:rFonts w:ascii="Arial" w:cs="Arial" w:eastAsia="Arial" w:hAnsi="Arial"/>
          <w:sz w:val="18"/>
          <w:szCs w:val="18"/>
          <w:color w:val="auto"/>
        </w:rPr>
      </w:pPr>
    </w:p>
    <w:p>
      <w:pPr>
        <w:ind w:left="320" w:right="340" w:hanging="313"/>
        <w:spacing w:after="0" w:line="250" w:lineRule="auto"/>
        <w:tabs>
          <w:tab w:leader="none" w:pos="3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More informed assessments, personalized care, and better risk stratification</w:t>
      </w:r>
      <w:r>
        <w:rPr>
          <w:rFonts w:ascii="Times New Roman" w:cs="Times New Roman" w:eastAsia="Times New Roman" w:hAnsi="Times New Roman"/>
          <w:sz w:val="18"/>
          <w:szCs w:val="18"/>
          <w:color w:val="auto"/>
        </w:rPr>
        <w:t>, positively impacting physician decisions on which patients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an intervention, supporting more efficient intervention planning and driving more personalized medical management.</w:t>
      </w:r>
    </w:p>
    <w:p>
      <w:pPr>
        <w:spacing w:after="0" w:line="142" w:lineRule="exact"/>
        <w:rPr>
          <w:rFonts w:ascii="Arial" w:cs="Arial" w:eastAsia="Arial" w:hAnsi="Arial"/>
          <w:sz w:val="18"/>
          <w:szCs w:val="18"/>
          <w:color w:val="auto"/>
        </w:rPr>
      </w:pPr>
    </w:p>
    <w:p>
      <w:pPr>
        <w:ind w:left="320" w:right="460" w:hanging="313"/>
        <w:spacing w:after="0" w:line="241" w:lineRule="auto"/>
        <w:tabs>
          <w:tab w:leader="none" w:pos="3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Superior economic efficiency and enhanced interventional treatment planning</w:t>
      </w:r>
      <w:r>
        <w:rPr>
          <w:rFonts w:ascii="Times New Roman" w:cs="Times New Roman" w:eastAsia="Times New Roman" w:hAnsi="Times New Roman"/>
          <w:sz w:val="18"/>
          <w:szCs w:val="18"/>
          <w:color w:val="auto"/>
        </w:rPr>
        <w:t>, accurately identifying more patients who need interventional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while reducing unnecessary invasive procedures—significantly improving the efficiency of the catheterization lab and therefore hospital economics.</w:t>
      </w:r>
    </w:p>
    <w:p>
      <w:pPr>
        <w:spacing w:after="0" w:line="150" w:lineRule="exact"/>
        <w:rPr>
          <w:rFonts w:ascii="Arial" w:cs="Arial" w:eastAsia="Arial" w:hAnsi="Arial"/>
          <w:sz w:val="18"/>
          <w:szCs w:val="18"/>
          <w:color w:val="auto"/>
        </w:rPr>
      </w:pPr>
    </w:p>
    <w:p>
      <w:pPr>
        <w:jc w:val="both"/>
        <w:ind w:left="320" w:hanging="313"/>
        <w:spacing w:after="0" w:line="241" w:lineRule="auto"/>
        <w:tabs>
          <w:tab w:leader="none" w:pos="3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Proprietary, secure bi-directional data communication with customers </w:t>
      </w:r>
      <w:r>
        <w:rPr>
          <w:rFonts w:ascii="Times New Roman" w:cs="Times New Roman" w:eastAsia="Times New Roman" w:hAnsi="Times New Roman"/>
          <w:sz w:val="18"/>
          <w:szCs w:val="18"/>
          <w:color w:val="auto"/>
        </w:rPr>
        <w:t>that feeds a growing database of approximately 110 million annotated CCTA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images that we leverage to improve the Heartflow Platform’s accuracy, automation and clinical utility and seamlessly deliver new features and workflow efficiencies to our customers.</w:t>
      </w:r>
    </w:p>
    <w:p>
      <w:pPr>
        <w:spacing w:after="0" w:line="137" w:lineRule="exact"/>
        <w:rPr>
          <w:rFonts w:ascii="Arial" w:cs="Arial" w:eastAsia="Arial" w:hAnsi="Arial"/>
          <w:sz w:val="18"/>
          <w:szCs w:val="18"/>
          <w:color w:val="auto"/>
        </w:rPr>
      </w:pPr>
    </w:p>
    <w:p>
      <w:pPr>
        <w:ind w:left="320" w:right="20" w:hanging="313"/>
        <w:spacing w:after="0" w:line="241" w:lineRule="auto"/>
        <w:tabs>
          <w:tab w:leader="none" w:pos="3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Improved workflow </w:t>
      </w:r>
      <w:r>
        <w:rPr>
          <w:rFonts w:ascii="Times New Roman" w:cs="Times New Roman" w:eastAsia="Times New Roman" w:hAnsi="Times New Roman"/>
          <w:sz w:val="18"/>
          <w:szCs w:val="18"/>
          <w:color w:val="auto"/>
        </w:rPr>
        <w:t>through our Heartflow RoadMap Analysis that, as demonstrated in our SMART-CT study, reduces CCTA interpretation times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25% and reduces variability between reviewing physicians by approximately 40%, leading to more consistent diagnoses and standardized patient care.</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4" w:lineRule="exact"/>
        <w:rPr>
          <w:sz w:val="20"/>
          <w:szCs w:val="20"/>
          <w:color w:val="auto"/>
        </w:rPr>
      </w:pPr>
    </w:p>
    <w:p>
      <w:pPr>
        <w:ind w:left="320" w:right="60" w:hanging="313"/>
        <w:spacing w:after="0" w:line="234" w:lineRule="auto"/>
        <w:tabs>
          <w:tab w:leader="none" w:pos="3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Better patient and provider experience</w:t>
      </w:r>
      <w:r>
        <w:rPr>
          <w:rFonts w:ascii="Times New Roman" w:cs="Times New Roman" w:eastAsia="Times New Roman" w:hAnsi="Times New Roman"/>
          <w:sz w:val="18"/>
          <w:szCs w:val="18"/>
          <w:color w:val="auto"/>
        </w:rPr>
        <w:t>, by leveraging a single CCTA for all of our products, patients complete their test in approximately 20 minutes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significantly lower radiation exposure compared to nuclear imaging tests such as SPECT and PET that take multiple hours and require radioactive tracers to be injected into the bloodstream. By providing a definitive diagnosis upfront, the Heartflow Platform eliminates the need for layered testing, streamlining the patient journey and reducing anxiety associated with uncertain or inconclusive results.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Beyond the commercialization of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Heartflow Plaque Analysis in symptomatic CAD, we see a significant market opportunity</w:t>
      </w:r>
    </w:p>
    <w:p>
      <w:pPr>
        <w:spacing w:after="0" w:line="66"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18"/>
          <w:szCs w:val="18"/>
          <w:color w:val="auto"/>
        </w:rPr>
        <w:t>for our technologies in at-risk individuals who show no symptoms. To unlock this potential, we are continuing to evaluate new product opportunities and appropriate clinical evidence supporting eventual regulatory approval, payor coverage and commercialization.</w:t>
      </w:r>
    </w:p>
    <w:p>
      <w:pPr>
        <w:spacing w:after="0" w:line="156"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Our clinical studies, including the PRECISE, NXT and PACIFIC trials, have consistently demonstrated that the Heartflow Platform is more accurate than traditional non-invasive tests and highly concordant to invasive testing, reduces unnecessary invasive testing, and enables physicians to optimize treatment and ultimately provide more efficient care.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clinical guidelines strongly support the adoption of the Heartflow Platform. The CCTA +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pathway is supported by the</w:t>
      </w:r>
    </w:p>
    <w:p>
      <w:pPr>
        <w:spacing w:after="0" w:line="55" w:lineRule="exact"/>
        <w:rPr>
          <w:sz w:val="20"/>
          <w:szCs w:val="20"/>
          <w:color w:val="auto"/>
        </w:rPr>
      </w:pPr>
    </w:p>
    <w:p>
      <w:pPr>
        <w:ind w:right="200"/>
        <w:spacing w:after="0" w:line="192" w:lineRule="auto"/>
        <w:rPr>
          <w:sz w:val="20"/>
          <w:szCs w:val="20"/>
          <w:color w:val="auto"/>
        </w:rPr>
      </w:pPr>
      <w:r>
        <w:rPr>
          <w:rFonts w:ascii="Times New Roman" w:cs="Times New Roman" w:eastAsia="Times New Roman" w:hAnsi="Times New Roman"/>
          <w:sz w:val="17"/>
          <w:szCs w:val="17"/>
          <w:color w:val="auto"/>
        </w:rPr>
        <w:t>American Heart Association (“AHA”) and American College of Cardiology (“ACC”) guidelines, with CCTA identified as a Class 1, Level A test and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identified as a Class 2a, Level B test for the diagnosis of CAD in certain patients with stable or acute chest pain and no known</w:t>
      </w:r>
    </w:p>
    <w:p>
      <w:pPr>
        <w:ind w:right="400"/>
        <w:spacing w:after="0" w:line="231" w:lineRule="auto"/>
        <w:rPr>
          <w:sz w:val="20"/>
          <w:szCs w:val="20"/>
          <w:color w:val="auto"/>
        </w:rPr>
      </w:pPr>
      <w:r>
        <w:rPr>
          <w:rFonts w:ascii="Times New Roman" w:cs="Times New Roman" w:eastAsia="Times New Roman" w:hAnsi="Times New Roman"/>
          <w:sz w:val="18"/>
          <w:szCs w:val="18"/>
          <w:color w:val="auto"/>
        </w:rPr>
        <w:t>CAD. The AHA and ACC guidelines utilize Classes and Levels to indicate the strength of a recommendation and the quality of supporting evidence, respectively. Class 1 represents the strongest recommendation, followed by Class 2a, which represents a moderate recommendation. Similarly, Level A signifies the highest quality of evidence, while Level B indicates moderate quality.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is reimbursed under a dedicated Category I Current Procedural Terminology (“CPT”) code, effective as of January 1, 2024,</w:t>
      </w:r>
    </w:p>
    <w:p>
      <w:pPr>
        <w:spacing w:after="0" w:line="53"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and has established coverage policies representing approximately 99% of covered lives in the United States. A Category I CPT code was established for Heartflow Plaque Analysis, effective January 1, 2026, with five of the seven Medicare Administrative Contractors (“MACs”) issuing final local coverage determinations (“LCDs”) that determined this analysis is medically necessary for certain Medicare patients in these MACs’ jurisdictions, and the remaining MACs providing coverage on a case-by-case basis, which represents approximately 75% of covered lives in the United States. A Category I CPT code designates a procedure or service that uses device(s) with Food and Drug Administration (“FDA”) clearance or approval (when required), is performed by many physicians across the United States for its intended clinical use, aligns with current medical practice, and has documented efficacy in literature. The Category I CPT status for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Heartflow Plaque Analysis validates their widespread use and support adoption in clinical</w:t>
      </w:r>
    </w:p>
    <w:p>
      <w:pPr>
        <w:spacing w:after="0"/>
        <w:rPr>
          <w:sz w:val="20"/>
          <w:szCs w:val="20"/>
          <w:color w:val="auto"/>
        </w:rPr>
      </w:pPr>
      <w:r>
        <w:rPr>
          <w:rFonts w:ascii="Times New Roman" w:cs="Times New Roman" w:eastAsia="Times New Roman" w:hAnsi="Times New Roman"/>
          <w:sz w:val="18"/>
          <w:szCs w:val="18"/>
          <w:color w:val="auto"/>
        </w:rPr>
        <w:t>practice.</w:t>
      </w:r>
    </w:p>
    <w:p>
      <w:pPr>
        <w:spacing w:after="0" w:line="33"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7"/>
          <w:szCs w:val="17"/>
          <w:color w:val="auto"/>
        </w:rPr>
        <w:t>We primarily generate revenue on a “pay-per-click” basis each time a physician chooses to review either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Heartflow Plaque Analysis, or both.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has served as our commercial foundation, representing 98% of our total revenue as of December 31, 2025.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the second half of 2023, we initiated limited market education efforts for Heartflow Plaque Analysis, our second commercial product. Our Heartflow RoadMap Analysis is generally provided as a workflow efficiency tool to drive customer retention and loyalty and is not a stand-alone product. We expect to launch our next product, Heartflow PCI Navigator, in the second quarter of 2026 as an integrated feature to enhance procedural efficiency, not as a stand-alone product.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strategies will play a critical role in our continued growth:</w:t>
      </w:r>
    </w:p>
    <w:p>
      <w:pPr>
        <w:spacing w:after="0" w:line="176" w:lineRule="exact"/>
        <w:rPr>
          <w:sz w:val="20"/>
          <w:szCs w:val="20"/>
          <w:color w:val="auto"/>
        </w:rPr>
      </w:pPr>
    </w:p>
    <w:p>
      <w:pPr>
        <w:jc w:val="both"/>
        <w:ind w:left="320" w:right="80" w:hanging="313"/>
        <w:spacing w:after="0" w:line="241" w:lineRule="auto"/>
        <w:tabs>
          <w:tab w:leader="none" w:pos="32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Expand adoption of our Heartflow Platform by new accounts: </w:t>
      </w:r>
      <w:r>
        <w:rPr>
          <w:rFonts w:ascii="Times New Roman" w:cs="Times New Roman" w:eastAsia="Times New Roman" w:hAnsi="Times New Roman"/>
          <w:sz w:val="18"/>
          <w:szCs w:val="18"/>
          <w:color w:val="auto"/>
        </w:rPr>
        <w:t>As of December 31, 2025, we have successfully deployed our Heartflow Platform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1,465 accounts in the United States. We intend to drive further adoption by leveraging our existing Territory Sales Managers (“TSMs”), who are responsible for acquiring new accounts, while selectively expanding our team to capture additional geographic opportunities.</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4" w:lineRule="exact"/>
        <w:rPr>
          <w:sz w:val="20"/>
          <w:szCs w:val="20"/>
          <w:color w:val="auto"/>
        </w:rPr>
      </w:pPr>
    </w:p>
    <w:p>
      <w:pPr>
        <w:ind w:left="320" w:right="40" w:hanging="313"/>
        <w:spacing w:after="0" w:line="222" w:lineRule="auto"/>
        <w:tabs>
          <w:tab w:leader="none" w:pos="32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Broaden awareness of the CCTA + Heartflow pathway to drive volume at existing accounts: </w:t>
      </w:r>
      <w:r>
        <w:rPr>
          <w:rFonts w:ascii="Times New Roman" w:cs="Times New Roman" w:eastAsia="Times New Roman" w:hAnsi="Times New Roman"/>
          <w:sz w:val="17"/>
          <w:szCs w:val="17"/>
          <w:color w:val="auto"/>
        </w:rPr>
        <w:t>While we have achieved significant commercial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adoption to date, including 195,000 patients on our Heartflow Platform in the U.S. in 2025 alone, we believe this represented less than 2% of our overall market opportunity and approximately 19% of current U.S. CCTA volumes. To expand adoption, we are actively educating physicians on the AHA and ACC chest pain guidelines that support CCTA plus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as the preferred pathway for diagnosis and management of CAD.</w:t>
      </w:r>
    </w:p>
    <w:p>
      <w:pPr>
        <w:spacing w:after="0" w:line="160" w:lineRule="exact"/>
        <w:rPr>
          <w:rFonts w:ascii="Arial" w:cs="Arial" w:eastAsia="Arial" w:hAnsi="Arial"/>
          <w:sz w:val="17"/>
          <w:szCs w:val="17"/>
          <w:color w:val="auto"/>
        </w:rPr>
      </w:pPr>
    </w:p>
    <w:p>
      <w:pPr>
        <w:ind w:left="320" w:right="40" w:hanging="313"/>
        <w:spacing w:after="0" w:line="215" w:lineRule="auto"/>
        <w:tabs>
          <w:tab w:leader="none" w:pos="32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Increase adoption of our Heartflow Plaque Analysis product: </w:t>
      </w:r>
      <w:r>
        <w:rPr>
          <w:rFonts w:ascii="Times New Roman" w:cs="Times New Roman" w:eastAsia="Times New Roman" w:hAnsi="Times New Roman"/>
          <w:sz w:val="18"/>
          <w:szCs w:val="18"/>
          <w:color w:val="auto"/>
        </w:rPr>
        <w:t>Broad commercial reimbursement coverage and the conversion to Category I CPT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are important for widespread adoption of Heartflow Plaque Analysis. A new Category I CPT code, 75577, was also recently established to describe our Heartflow Plaque Analysis, which took effect in January 2026 and as of January 2026, all seven Medicare Administrative Contractors (“MACs”) covered Plaque Analysis. Beginning in October 2025, many commercial payers, including Aetna, Cigna, and United Healthcare, initiated coverage for Plaque Analysis following an update to the EviCore cardiac imaging guidelines. Since Heartflow Plaque Analysis runs on the same CCTA scan as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we expect favorable operating and gross margin leverage as its adoption increases.</w:t>
      </w:r>
    </w:p>
    <w:p>
      <w:pPr>
        <w:spacing w:after="0" w:line="162" w:lineRule="exact"/>
        <w:rPr>
          <w:rFonts w:ascii="Arial" w:cs="Arial" w:eastAsia="Arial" w:hAnsi="Arial"/>
          <w:sz w:val="18"/>
          <w:szCs w:val="18"/>
          <w:color w:val="auto"/>
        </w:rPr>
      </w:pPr>
    </w:p>
    <w:p>
      <w:pPr>
        <w:ind w:left="320" w:right="160" w:hanging="313"/>
        <w:spacing w:after="0" w:line="225" w:lineRule="auto"/>
        <w:tabs>
          <w:tab w:leader="none" w:pos="32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Invest in additional clinical evidence to support adoption and expand our indications: </w:t>
      </w:r>
      <w:r>
        <w:rPr>
          <w:rFonts w:ascii="Times New Roman" w:cs="Times New Roman" w:eastAsia="Times New Roman" w:hAnsi="Times New Roman"/>
          <w:sz w:val="17"/>
          <w:szCs w:val="17"/>
          <w:color w:val="auto"/>
        </w:rPr>
        <w:t>We believe we have developed the largest clinical evidence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base supporting a non-invasive AI-powered diagnostic for CAD and expect to continue to invest in clinical evidence to extend our leadership position. Beyond the commercialization of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Heartflow Plaque Analysis in symptomatic CAD, we see a significant market opportunity for our technologies in at-risk individuals who show no symptoms. To unlock this potential, we are continuing to evaluate new product opportunities and appropriate clinical evidence supporting eventual regulatory approval, payor coverage and commercialization.</w:t>
      </w:r>
    </w:p>
    <w:p>
      <w:pPr>
        <w:spacing w:after="0" w:line="153" w:lineRule="exact"/>
        <w:rPr>
          <w:rFonts w:ascii="Arial" w:cs="Arial" w:eastAsia="Arial" w:hAnsi="Arial"/>
          <w:sz w:val="17"/>
          <w:szCs w:val="17"/>
          <w:color w:val="auto"/>
        </w:rPr>
      </w:pPr>
    </w:p>
    <w:p>
      <w:pPr>
        <w:ind w:left="320" w:hanging="313"/>
        <w:spacing w:after="0"/>
        <w:tabs>
          <w:tab w:leader="none" w:pos="32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Extend our technology leadership through continued investment in our platform: </w:t>
      </w:r>
      <w:r>
        <w:rPr>
          <w:rFonts w:ascii="Times New Roman" w:cs="Times New Roman" w:eastAsia="Times New Roman" w:hAnsi="Times New Roman"/>
          <w:sz w:val="17"/>
          <w:szCs w:val="17"/>
          <w:color w:val="auto"/>
        </w:rPr>
        <w:t>Our ongoing research and development initiatives are focused on</w:t>
      </w:r>
    </w:p>
    <w:p>
      <w:pPr>
        <w:spacing w:after="0" w:line="28" w:lineRule="exact"/>
        <w:rPr>
          <w:rFonts w:ascii="Arial" w:cs="Arial" w:eastAsia="Arial" w:hAnsi="Arial"/>
          <w:sz w:val="17"/>
          <w:szCs w:val="17"/>
          <w:color w:val="auto"/>
        </w:rPr>
      </w:pPr>
    </w:p>
    <w:p>
      <w:pPr>
        <w:ind w:left="320" w:right="100"/>
        <w:spacing w:after="0" w:line="228" w:lineRule="auto"/>
        <w:rPr>
          <w:rFonts w:ascii="Arial" w:cs="Arial" w:eastAsia="Arial" w:hAnsi="Arial"/>
          <w:sz w:val="17"/>
          <w:szCs w:val="17"/>
          <w:color w:val="auto"/>
        </w:rPr>
      </w:pPr>
      <w:r>
        <w:rPr>
          <w:rFonts w:ascii="Times New Roman" w:cs="Times New Roman" w:eastAsia="Times New Roman" w:hAnsi="Times New Roman"/>
          <w:sz w:val="18"/>
          <w:szCs w:val="18"/>
          <w:color w:val="auto"/>
        </w:rPr>
        <w:t>introducing products, features and improvements to maximize customer value. We prioritize advancements in four key areas including: improving our algorithms by leveraging extensive clinical data to improve accuracy and efficiency; optimizing clinical utility to better support physicians in diagnosis, patient management, and treatment planning; enhancing ease of use through seamless workflow integration to improve operational efficiency; and expanding our platform’s applications to serve a broader patient population.</w:t>
      </w:r>
    </w:p>
    <w:p>
      <w:pPr>
        <w:spacing w:after="0" w:line="151" w:lineRule="exact"/>
        <w:rPr>
          <w:rFonts w:ascii="Arial" w:cs="Arial" w:eastAsia="Arial" w:hAnsi="Arial"/>
          <w:sz w:val="17"/>
          <w:szCs w:val="17"/>
          <w:color w:val="auto"/>
        </w:rPr>
      </w:pPr>
    </w:p>
    <w:p>
      <w:pPr>
        <w:ind w:left="320" w:right="240" w:hanging="313"/>
        <w:spacing w:after="0" w:line="246" w:lineRule="auto"/>
        <w:tabs>
          <w:tab w:leader="none" w:pos="32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Leverage our platform to pursue adjacent and international markets: </w:t>
      </w:r>
      <w:r>
        <w:rPr>
          <w:rFonts w:ascii="Times New Roman" w:cs="Times New Roman" w:eastAsia="Times New Roman" w:hAnsi="Times New Roman"/>
          <w:sz w:val="17"/>
          <w:szCs w:val="17"/>
          <w:color w:val="auto"/>
        </w:rPr>
        <w:t>We believe our installed base and integrated platform technology approach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allow us to add on new analysis and insights within the same product experience. Our relationships with referring and imaging physicians provide us with insights into unmet clinical and workflow needs, while our extensive database of CCTA images and AI capabilities enable us to develop and integrate new algorithm-based solutions. In the future we may choose to selectively expand our geographic footprint by strengthening our presence in existing international markets, entering new international markets, or exploring adjacent market opportunities in the U.S. and abroad.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Production Process</w:t>
      </w:r>
    </w:p>
    <w:p>
      <w:pPr>
        <w:spacing w:after="0" w:line="18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color w:val="auto"/>
        </w:rPr>
        <w:t>Our production process involves a sophisticated and highly refined system that combines advanced machine learning algorithms with “human-in-the loop” quality control process, where learnings are fed back into our algorithms to improve their performance and efficiency. After the CCTA test is complete, the patient’s images are securely transferred to our cloud-based system through our established software that integrates directly into the account’s infrastructure.</w:t>
      </w:r>
    </w:p>
    <w:p>
      <w:pPr>
        <w:spacing w:after="0" w:line="146"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When the images arrive, we leverage multiple machine learning algorithms which have been trained from a database of millions of annotated CCTA images to precisely segment CCTA data and extract patient-specific 3D anatomy, which includes the coronary tree, myocardium and other anatomic features. The quality of CT images and the anatomy extracted by our algorithms is inspected through proprietary software that guides quality-oriented production analysts through each step to review and potentially correct the segmentation, as needed. Our machine learning algorithms then utilize any analyst inputs to generate a final 3D model of the coronary vessels. Our algorithms then compute stenosis, plaque volumes and plaque characteristics as well as blood flow simulation with computational fluid dynamics over the entire coronary tree. The simulated blood flow and pressures allow</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3"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calculation of quantitative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values at every point on the coronary tree. Once complete, our Heartflow RoadMap Analysis,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and Heartflow Plaque Analysis are securely delivered directly to the physician in multiple formats: an interactive web experience where they can explore the data in detail, PDF summaries, and direct delivery into the electronic medical record.</w:t>
      </w:r>
    </w:p>
    <w:p>
      <w:pPr>
        <w:spacing w:after="0" w:line="143" w:lineRule="exact"/>
        <w:rPr>
          <w:sz w:val="20"/>
          <w:szCs w:val="20"/>
          <w:color w:val="auto"/>
        </w:rPr>
      </w:pPr>
    </w:p>
    <w:p>
      <w:pPr>
        <w:ind w:right="340"/>
        <w:spacing w:after="0" w:line="218" w:lineRule="auto"/>
        <w:rPr>
          <w:sz w:val="20"/>
          <w:szCs w:val="20"/>
          <w:color w:val="auto"/>
        </w:rPr>
      </w:pPr>
      <w:r>
        <w:rPr>
          <w:rFonts w:ascii="Times New Roman" w:cs="Times New Roman" w:eastAsia="Times New Roman" w:hAnsi="Times New Roman"/>
          <w:sz w:val="17"/>
          <w:szCs w:val="17"/>
          <w:color w:val="auto"/>
        </w:rPr>
        <w:t>The corrections and changes from the analyst quality inspection step are stored in a database as labels for training our algorithms. New and improved versions of our algorithms using the latest machine learning methodologies are trained with incrementally more labels and released over time and incorporated into our platform. The core algorithms for the 3D coronary anatomic model and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are now on their 3rd generation</w:t>
      </w:r>
    </w:p>
    <w:p>
      <w:pPr>
        <w:ind w:right="360"/>
        <w:spacing w:after="0" w:line="231" w:lineRule="auto"/>
        <w:rPr>
          <w:sz w:val="20"/>
          <w:szCs w:val="20"/>
          <w:color w:val="auto"/>
        </w:rPr>
      </w:pPr>
      <w:r>
        <w:rPr>
          <w:rFonts w:ascii="Times New Roman" w:cs="Times New Roman" w:eastAsia="Times New Roman" w:hAnsi="Times New Roman"/>
          <w:sz w:val="18"/>
          <w:szCs w:val="18"/>
          <w:color w:val="auto"/>
        </w:rPr>
        <w:t>with improvements over time. This iterative approach of combining improved algorithms with human quality control processes continues to enhance the accuracy and efficiency of our technology.</w:t>
      </w:r>
    </w:p>
    <w:p>
      <w:pPr>
        <w:spacing w:after="0" w:line="156"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We have also invested significantly in automating our production process through improved algorithm performance, visualization, and internal workflow enhancements.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Security</w:t>
      </w:r>
    </w:p>
    <w:p>
      <w:pPr>
        <w:spacing w:after="0" w:line="184"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Our Heartflow Platform relies on industry-leading security controls, including encryption at rest and in transit, multi-factor and single-sign on authentication, granular authorization and a secure development lifecycle. We have designed the Heartflow Platform to de-identify data for processing, ensuring the most identifiable sensitive data (including PHI) remains segregated, encrypted, and within source regions, limiting privacy and security risk. Our commitment to information security is demonstrated by our HITRUST, ISO 27001, ISO 13485, SOC 2 Type 2 and UK CyberEssentials certifications.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Results and Economic Evidence</w:t>
      </w:r>
    </w:p>
    <w:p>
      <w:pPr>
        <w:spacing w:after="0" w:line="171"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We believe the Heartflow Platform is the most studied AI-enabled test for CAD. The accuracy, clinical utility and economic benefits of our Heartflow Platform have been evaluated in over 200 clinical studies and more than 365,000 patients, including our PRECISE and FORECAST trials, each a large randomized controlled trial, with results published in over 600 peer-reviewed clinical publications. Collectively, this extensive body of clinical evidence has supported regulatory approvals for our products, established broad payor coverage and society guideline inclusion for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is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driving rapid commercial adoption of our portfolio of products. We have sponsored 50 of the 200 clinical studies and are continuing to invest in evidence that highlights the clinical utility and economic benefits of our Heartflow Plaque Analysis to support expansion of payor coverage and commercial adoption. In the future, we expect to begin enrollment in three randomized clinical trials focused on high-risk asymptomatic sub populations to expand the addressable market for our products.</w:t>
      </w:r>
    </w:p>
    <w:p>
      <w:pPr>
        <w:spacing w:after="0" w:line="15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Our clinical programs have been focused on (i) validating the accuracy and reproducibility of our product offerings relative to invasive reference standards and non-invasive alternatives, (ii) establishing the differentiated clinical utility of our products relative to non-invasive alternatives, and (iii) demonstrating the economic benefits associated with our products including reduced costs for payors and improved efficiency for providers. Our studies, including the PRECISE, NXT and PACIFIC trials, have consistently demonstrated that the Heartflow Platform is more accurate than traditional non-invasive tests and highly concordant to invasive testing, reduces unnecessary invasive testing, and enables physicians to optimize treatment and ultimately provide more efficient care. The “p-values” noted below indicate the measure of the study’s “statistical significance,” which refers to the likelihood that a result or relationship is caused by something other than random chance or error. The “p-value” indicates the probability value that the results observed in a study were due to chance alone. A p-value of &lt; 0.05 is generally considered statistically significant, meaning that the probability of the results occurring by chance alone is less than five percent. The lower the p-value, the less likely that the results observed were random.</w:t>
      </w:r>
    </w:p>
    <w:p>
      <w:pPr>
        <w:spacing w:after="0" w:line="162"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18"/>
          <w:szCs w:val="18"/>
          <w:color w:val="auto"/>
        </w:rPr>
        <w:t>None of the studies discussed below that collected adverse event data related to the Heartflow Platform reported adverse events related to the Heartflow Platform.</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Heartflow FFR</w:t>
      </w:r>
      <w:r>
        <w:rPr>
          <w:rFonts w:ascii="Times New Roman" w:cs="Times New Roman" w:eastAsia="Times New Roman" w:hAnsi="Times New Roman"/>
          <w:sz w:val="29"/>
          <w:szCs w:val="29"/>
          <w:b w:val="1"/>
          <w:bCs w:val="1"/>
          <w:color w:val="auto"/>
          <w:vertAlign w:val="subscript"/>
        </w:rPr>
        <w:t>CT</w:t>
      </w:r>
      <w:r>
        <w:rPr>
          <w:rFonts w:ascii="Times New Roman" w:cs="Times New Roman" w:eastAsia="Times New Roman" w:hAnsi="Times New Roman"/>
          <w:sz w:val="18"/>
          <w:szCs w:val="18"/>
          <w:b w:val="1"/>
          <w:bCs w:val="1"/>
          <w:color w:val="auto"/>
        </w:rPr>
        <w:t xml:space="preserve"> Analysis</w:t>
      </w:r>
    </w:p>
    <w:p>
      <w:pPr>
        <w:spacing w:after="0" w:line="222"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8"/>
          <w:szCs w:val="18"/>
          <w:b w:val="1"/>
          <w:bCs w:val="1"/>
          <w:color w:val="auto"/>
        </w:rPr>
        <w:t>Accuracy and reproducibility</w:t>
      </w:r>
      <w:r>
        <w:rPr>
          <w:rFonts w:ascii="Times New Roman" w:cs="Times New Roman" w:eastAsia="Times New Roman" w:hAnsi="Times New Roman"/>
          <w:sz w:val="18"/>
          <w:szCs w:val="18"/>
          <w:color w:val="auto"/>
        </w:rPr>
        <w:t>: Numerous foundational clinical trials in cardiology, including the FAME 1 and FAME 2 RCTs have demonstrated that FFR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values are the most accurate predictors of the need for intervention in patients with CAD. Key clinical studies that have supported the accuracy and reproducibility of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relative to invasive FFR testing and non-invasive alternatives include:</w:t>
      </w:r>
    </w:p>
    <w:p>
      <w:pPr>
        <w:spacing w:after="0" w:line="37" w:lineRule="exact"/>
        <w:rPr>
          <w:sz w:val="20"/>
          <w:szCs w:val="20"/>
          <w:color w:val="auto"/>
        </w:rPr>
      </w:pPr>
    </w:p>
    <w:p>
      <w:pPr>
        <w:ind w:left="320" w:hanging="313"/>
        <w:spacing w:after="0" w:line="204" w:lineRule="auto"/>
        <w:tabs>
          <w:tab w:leader="none" w:pos="32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NXT (2014): </w:t>
      </w:r>
      <w:r>
        <w:rPr>
          <w:rFonts w:ascii="Times New Roman" w:cs="Times New Roman" w:eastAsia="Times New Roman" w:hAnsi="Times New Roman"/>
          <w:sz w:val="18"/>
          <w:szCs w:val="18"/>
          <w:color w:val="auto"/>
        </w:rPr>
        <w:t>Our Company-sponsored NXT trial was the basis for de novo 510(k) FDA clearance of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Analysis. It was a prospective,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blinded, core-lab adjudicated trial in which CCTA was performed prior to non-emergent ICA in stable patients with suspected CAD.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values based on the CCTA were compared to invasive FFR values. The trial also compared the efficacy of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relative to CCTA alone for predicting FFR values. NXT studied 254 patients who were scheduled to undergo clinically indicated ICA and who had CCTA performed within 60 days before ICA or who agreed to undergo CCTA within 60 days before ICA and studied 484 vessels at 10 centers in Europe, the United Kingdom, Japan, Korea, and Australia. The results showed that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is highly accurate compared to the reference standard of invasive FFR, with a per-vessel accuracy of 86% compared with 65% for CCTA alone (p &lt; 0.001).</w:t>
      </w:r>
    </w:p>
    <w:p>
      <w:pPr>
        <w:spacing w:after="0" w:line="158" w:lineRule="exact"/>
        <w:rPr>
          <w:rFonts w:ascii="Arial" w:cs="Arial" w:eastAsia="Arial" w:hAnsi="Arial"/>
          <w:sz w:val="18"/>
          <w:szCs w:val="18"/>
          <w:color w:val="auto"/>
        </w:rPr>
      </w:pPr>
    </w:p>
    <w:p>
      <w:pPr>
        <w:ind w:left="320" w:right="20" w:hanging="313"/>
        <w:spacing w:after="0" w:line="206" w:lineRule="auto"/>
        <w:tabs>
          <w:tab w:leader="none" w:pos="320" w:val="left"/>
        </w:tabs>
        <w:numPr>
          <w:ilvl w:val="0"/>
          <w:numId w:val="6"/>
        </w:numPr>
        <w:rPr>
          <w:rFonts w:ascii="Arial" w:cs="Arial" w:eastAsia="Arial" w:hAnsi="Arial"/>
          <w:sz w:val="17"/>
          <w:szCs w:val="17"/>
          <w:color w:val="auto"/>
        </w:rPr>
      </w:pPr>
      <w:r>
        <w:rPr>
          <w:rFonts w:ascii="Times New Roman" w:cs="Times New Roman" w:eastAsia="Times New Roman" w:hAnsi="Times New Roman"/>
          <w:sz w:val="17"/>
          <w:szCs w:val="17"/>
          <w:b w:val="1"/>
          <w:bCs w:val="1"/>
          <w:i w:val="1"/>
          <w:iCs w:val="1"/>
          <w:color w:val="auto"/>
        </w:rPr>
        <w:t xml:space="preserve">PACIFIC (2019): </w:t>
      </w:r>
      <w:r>
        <w:rPr>
          <w:rFonts w:ascii="Times New Roman" w:cs="Times New Roman" w:eastAsia="Times New Roman" w:hAnsi="Times New Roman"/>
          <w:sz w:val="17"/>
          <w:szCs w:val="17"/>
          <w:color w:val="auto"/>
        </w:rPr>
        <w:t>The PACIFIC trial was an investigator-initiated, prospective study funded by the Company to evaluate in a head-to-head manner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diagnostic performance of several non-invasive tests commonly used to identify functionally significant CAD. At a single site in the Netherlands, a total of 208 patients with suspected stable CAD underwent CCTA, SPECT and PET, and then used ICA with invasive FFR as the reference standard. The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was not initially included in the PACIFIC study, but the investigators subsequently undertook a retrospective PACIFIC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sub-study to evaluate the diagnostic performances of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compared to CCTA, SPECT, and PET. Using invasive FFR as the reference standard, the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demonstrated the highest diagnostic performance for vessel-specific ischemia of all tested noninvasive tests, with an AUC (Area Under the Curve) of 0.94 compared with PET (0.87), CTA (0.83), and SPECT (0.70) (p &lt; 0.001 for all).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Differentiated utility, improved clinical and economic outcomes: </w:t>
      </w:r>
      <w:r>
        <w:rPr>
          <w:rFonts w:ascii="Times New Roman" w:cs="Times New Roman" w:eastAsia="Times New Roman" w:hAnsi="Times New Roman"/>
          <w:sz w:val="17"/>
          <w:szCs w:val="17"/>
          <w:color w:val="auto"/>
        </w:rPr>
        <w:t>Numerous studies have demonstrated that use of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Analysis favorably</w:t>
      </w:r>
    </w:p>
    <w:p>
      <w:pPr>
        <w:spacing w:after="0" w:line="53" w:lineRule="exact"/>
        <w:rPr>
          <w:sz w:val="20"/>
          <w:szCs w:val="20"/>
          <w:color w:val="auto"/>
        </w:rPr>
      </w:pPr>
    </w:p>
    <w:p>
      <w:pPr>
        <w:ind w:right="80"/>
        <w:spacing w:after="0" w:line="198" w:lineRule="auto"/>
        <w:rPr>
          <w:sz w:val="20"/>
          <w:szCs w:val="20"/>
          <w:color w:val="auto"/>
        </w:rPr>
      </w:pPr>
      <w:r>
        <w:rPr>
          <w:rFonts w:ascii="Times New Roman" w:cs="Times New Roman" w:eastAsia="Times New Roman" w:hAnsi="Times New Roman"/>
          <w:sz w:val="17"/>
          <w:szCs w:val="17"/>
          <w:color w:val="auto"/>
        </w:rPr>
        <w:t>impacts clinical management, supporting physicians in making more informed and better patient-specific decisions about intervention which drives more efficient use of resources. Key company-sponsored clinical studies that demonstrated the impact of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on clinical decision-making,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and provider and payor economics include:</w:t>
      </w:r>
    </w:p>
    <w:p>
      <w:pPr>
        <w:spacing w:after="0" w:line="156" w:lineRule="exact"/>
        <w:rPr>
          <w:sz w:val="20"/>
          <w:szCs w:val="20"/>
          <w:color w:val="auto"/>
        </w:rPr>
      </w:pPr>
    </w:p>
    <w:p>
      <w:pPr>
        <w:ind w:left="320" w:hanging="313"/>
        <w:spacing w:after="0" w:line="189" w:lineRule="auto"/>
        <w:tabs>
          <w:tab w:leader="none" w:pos="3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ADVANCE (2018): </w:t>
      </w:r>
      <w:r>
        <w:rPr>
          <w:rFonts w:ascii="Times New Roman" w:cs="Times New Roman" w:eastAsia="Times New Roman" w:hAnsi="Times New Roman"/>
          <w:sz w:val="18"/>
          <w:szCs w:val="18"/>
          <w:color w:val="auto"/>
        </w:rPr>
        <w:t>Our Company-sponsored ADVANCE prospective registry studied 5,083 patients at 38 centers across the United States,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Kingdom, Europe, and Japan whose CCTA showed CAD, in order to determine whether the incremental addition of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resulted in a change in patient management. Results at 90 days showed that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findings drove a change in management plan for 67% of patients and that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values &gt;0.80 did not have any reported major adverse cardiovascular events compared to those with values 0.80 or below who experienced higher rates of major adverse cardiovascular events (p &lt; 0.01) despite overwhelmingly non-invasive patient management. Additionally, CCTA-based stenosis severity was determined to be a poor predictor of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values, demonstrating that CCTA alone was not as effective for clinical decision-making. A review of outcomes at one year showed that physician management decisions were safe and durable and that deferral of an invasive procedure based on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was safe and appropriate, as it was highly unlikely to result in a later revascularization or adverse clinical event.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4" w:lineRule="exact"/>
        <w:rPr>
          <w:sz w:val="20"/>
          <w:szCs w:val="20"/>
          <w:color w:val="auto"/>
        </w:rPr>
      </w:pPr>
    </w:p>
    <w:p>
      <w:pPr>
        <w:ind w:left="320" w:hanging="313"/>
        <w:spacing w:after="0" w:line="210" w:lineRule="auto"/>
        <w:tabs>
          <w:tab w:leader="none" w:pos="32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PRECISE (2023): </w:t>
      </w:r>
      <w:r>
        <w:rPr>
          <w:rFonts w:ascii="Times New Roman" w:cs="Times New Roman" w:eastAsia="Times New Roman" w:hAnsi="Times New Roman"/>
          <w:sz w:val="18"/>
          <w:szCs w:val="18"/>
          <w:color w:val="auto"/>
        </w:rPr>
        <w:t>Our Company-sponsored PRECISE trial was a prospective randomized controlled study conducted at 65 centers across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Canada, the United Kingdom, and Europe which compared decision-making and outcomes based on a CCTA +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pathway with the “usual care” pathway which involved alternative non-invasive or invasive testing methods chosen by the clinician, such as exercise electrocardiogram, stress echocardiogram, stress nuclear myocardial perfusion imaging (single-photon emission CT or positron emission tomography), stress cardiovascular magnetic resonance imaging, or catheterization. The study included 2,103 participants without known CAD or prior testing and had a median follow up of 11.8 months. The study found that, compared with the “usual care” pathways, CCTA +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was 78% more likely to identify patients in need of revascularization (p &lt; 0.001), and resulted in a 69% reduction in diagnostic-only ICA. The net effect of this pathway was 2x the yield of ICA leading to a revascularization procedure, from 30.5% of cases to 71.9% of cases. As a result, our internal analysis based on the PRECISE data demonstrated a 20% increase in net revenue for the cardiac catheterization lab, on average.</w:t>
      </w:r>
    </w:p>
    <w:p>
      <w:pPr>
        <w:spacing w:after="0" w:line="151" w:lineRule="exact"/>
        <w:rPr>
          <w:rFonts w:ascii="Arial" w:cs="Arial" w:eastAsia="Arial" w:hAnsi="Arial"/>
          <w:sz w:val="18"/>
          <w:szCs w:val="18"/>
          <w:color w:val="auto"/>
        </w:rPr>
      </w:pPr>
    </w:p>
    <w:p>
      <w:pPr>
        <w:ind w:left="320" w:right="120" w:hanging="313"/>
        <w:spacing w:after="0" w:line="205" w:lineRule="auto"/>
        <w:tabs>
          <w:tab w:leader="none" w:pos="32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PLATFORM (2015): </w:t>
      </w:r>
      <w:r>
        <w:rPr>
          <w:rFonts w:ascii="Times New Roman" w:cs="Times New Roman" w:eastAsia="Times New Roman" w:hAnsi="Times New Roman"/>
          <w:sz w:val="18"/>
          <w:szCs w:val="18"/>
          <w:color w:val="auto"/>
        </w:rPr>
        <w:t>Our Company-sponsored PLATFORM trial was a prospective controlled study of sequential cohorts that enrolled 584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11 centers in the United Kingdom and Europe. The study assessed the clinical and economic impacts of using a CCTA +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pathway to select patients with stable, new onset chest pain for ICA. The study compared outcomes between cohorts with a “usual care” invasive pathway to a CCTA +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pathway. The study found that the CCTA +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pathway reduced the rate of unnecessary ICA by 83% from 73% to 12% (p &lt; 0.0001) and showed a 23% reduction in costs at 90 days and a 32% reduction (p &lt; 0.0001) in costs at one year based primarily on the avoidance of unnecessary invasive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Heartflow Plaque Analysis</w:t>
      </w:r>
    </w:p>
    <w:p>
      <w:pPr>
        <w:spacing w:after="0" w:line="184" w:lineRule="exact"/>
        <w:rPr>
          <w:sz w:val="20"/>
          <w:szCs w:val="20"/>
          <w:color w:val="auto"/>
        </w:rPr>
      </w:pPr>
    </w:p>
    <w:p>
      <w:pPr>
        <w:jc w:val="both"/>
        <w:ind w:right="300"/>
        <w:spacing w:after="0" w:line="230" w:lineRule="auto"/>
        <w:rPr>
          <w:sz w:val="20"/>
          <w:szCs w:val="20"/>
          <w:color w:val="auto"/>
        </w:rPr>
      </w:pPr>
      <w:r>
        <w:rPr>
          <w:rFonts w:ascii="Times New Roman" w:cs="Times New Roman" w:eastAsia="Times New Roman" w:hAnsi="Times New Roman"/>
          <w:sz w:val="18"/>
          <w:szCs w:val="18"/>
          <w:color w:val="auto"/>
        </w:rPr>
        <w:t>Our clinical portfolio includes 10 studies and over 25 peer-reviewed publications specific to Heartflow Plaque Analysis. These studies and publications, which include large, multi-center, international trials, document the performance, accuracy and clinical utility of Heartflow Plaque Analysis as well as its positive impact on the physician’s ability to assess risk and manage outcomes. By providing more accurate and detailed information on plaque types and volumes than can be achieved with traditional non-invasive tests or risk measures, Heartflow Plaque Analysis supports more appropriate, precise medical management. Key studies that support the clinical benefits of Heartflow Plaque Analysis include:</w:t>
      </w:r>
    </w:p>
    <w:p>
      <w:pPr>
        <w:spacing w:after="0" w:line="153" w:lineRule="exact"/>
        <w:rPr>
          <w:sz w:val="20"/>
          <w:szCs w:val="20"/>
          <w:color w:val="auto"/>
        </w:rPr>
      </w:pPr>
    </w:p>
    <w:p>
      <w:pPr>
        <w:ind w:left="320" w:right="140" w:hanging="313"/>
        <w:spacing w:after="0" w:line="234" w:lineRule="auto"/>
        <w:tabs>
          <w:tab w:leader="none" w:pos="32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REVEALPLAQUE (2024): </w:t>
      </w:r>
      <w:r>
        <w:rPr>
          <w:rFonts w:ascii="Times New Roman" w:cs="Times New Roman" w:eastAsia="Times New Roman" w:hAnsi="Times New Roman"/>
          <w:sz w:val="18"/>
          <w:szCs w:val="18"/>
          <w:color w:val="auto"/>
        </w:rPr>
        <w:t>Our Company-sponsored REVEALPLAQUE study demonstrated the accuracy of Heartflow Plaque Analysis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IVUS, the accepted reference standard for coronary plaque measurement and characterization. REVEALPLAQUE was a prospective, blinded, core-lab adjudicated trial that enrolled 237 patients, with 432 lesions, in the United States and Japan and compared coronary plaque quantification and characterization between Heartflow Plaque Analysis and IVUS. The study showed that Heartflow’s Plaque Analysis results for total plaque volume, calcified plaque, and non-calcified plaque were strongly correlated with IVUS measurements, achieving 95% agreement with IVUS.</w:t>
      </w:r>
    </w:p>
    <w:p>
      <w:pPr>
        <w:spacing w:after="0" w:line="138" w:lineRule="exact"/>
        <w:rPr>
          <w:rFonts w:ascii="Arial" w:cs="Arial" w:eastAsia="Arial" w:hAnsi="Arial"/>
          <w:sz w:val="18"/>
          <w:szCs w:val="18"/>
          <w:color w:val="auto"/>
        </w:rPr>
      </w:pPr>
    </w:p>
    <w:p>
      <w:pPr>
        <w:ind w:left="320" w:right="60" w:hanging="313"/>
        <w:spacing w:after="0" w:line="242" w:lineRule="auto"/>
        <w:tabs>
          <w:tab w:leader="none" w:pos="32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7"/>
          <w:szCs w:val="17"/>
          <w:b w:val="1"/>
          <w:bCs w:val="1"/>
          <w:i w:val="1"/>
          <w:iCs w:val="1"/>
          <w:color w:val="auto"/>
        </w:rPr>
        <w:t xml:space="preserve">DECODE (2024): </w:t>
      </w:r>
      <w:r>
        <w:rPr>
          <w:rFonts w:ascii="Times New Roman" w:cs="Times New Roman" w:eastAsia="Times New Roman" w:hAnsi="Times New Roman"/>
          <w:sz w:val="17"/>
          <w:szCs w:val="17"/>
          <w:color w:val="auto"/>
        </w:rPr>
        <w:t>Our Company-sponsored DECODE study evaluated the impact of the Heartflow Plaque Analysis on clinical decision-making using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data from 100 patients who underwent CCTA. For each case, three cardiologists with expertise in reading CCTA and preventive therapies aligned on a management plan based on patient demographics, clinical history, and the CCTA alone. The cardiologists were then provided with Heartflow Plaque Analysis for the same patients and asked to determine a management plan. The results showed that the use of Heartflow Plaque Analysis led to changes in treatment plans for 66% of patients, including 63% of patients who had medical management up-titrated. The likelihood of changing the management plan increased with higher CAC scores and was more pronounced in patients with significant coronary stenosis; however, even 50% of patients with a</w:t>
      </w:r>
    </w:p>
    <w:p>
      <w:pPr>
        <w:ind w:left="320"/>
        <w:spacing w:after="0" w:line="220" w:lineRule="auto"/>
        <w:rPr>
          <w:sz w:val="20"/>
          <w:szCs w:val="20"/>
          <w:color w:val="auto"/>
        </w:rPr>
      </w:pPr>
      <w:r>
        <w:rPr>
          <w:rFonts w:ascii="Times New Roman" w:cs="Times New Roman" w:eastAsia="Times New Roman" w:hAnsi="Times New Roman"/>
          <w:sz w:val="18"/>
          <w:szCs w:val="18"/>
          <w:color w:val="auto"/>
        </w:rPr>
        <w:t>CAC score of 0 had a revised management plan with Heartflow Plaque Analysis.</w:t>
      </w: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320" w:right="100" w:hanging="313"/>
        <w:spacing w:after="0" w:line="231" w:lineRule="auto"/>
        <w:tabs>
          <w:tab w:leader="none" w:pos="3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ADVANCEPLAQUE (2024): </w:t>
      </w:r>
      <w:r>
        <w:rPr>
          <w:rFonts w:ascii="Times New Roman" w:cs="Times New Roman" w:eastAsia="Times New Roman" w:hAnsi="Times New Roman"/>
          <w:sz w:val="18"/>
          <w:szCs w:val="18"/>
          <w:color w:val="auto"/>
        </w:rPr>
        <w:t>The ADVANCEPLAQUE study is a retrospective analysis of our ADVANCE trial after 1-year follow up (see above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information related to our Company-sponsored ADVANCE trial). In a multi-variate analysis of the data, high total plaque volume as identified by Heartflow Plaque Analysis was shown to be an independent predictor for the risk of adverse clinical cardiac events. In addition, the risk of an adverse cardiac event was shown to be 2x higher in patients where Heartflow Plaque Analysis showed a higher total plaque burden compared to those with a lower plaque burden.</w:t>
      </w:r>
    </w:p>
    <w:p>
      <w:pPr>
        <w:spacing w:after="0" w:line="151" w:lineRule="exact"/>
        <w:rPr>
          <w:rFonts w:ascii="Arial" w:cs="Arial" w:eastAsia="Arial" w:hAnsi="Arial"/>
          <w:sz w:val="18"/>
          <w:szCs w:val="18"/>
          <w:color w:val="auto"/>
        </w:rPr>
      </w:pPr>
    </w:p>
    <w:p>
      <w:pPr>
        <w:ind w:left="320" w:right="120" w:hanging="313"/>
        <w:spacing w:after="0" w:line="212" w:lineRule="auto"/>
        <w:tabs>
          <w:tab w:leader="none" w:pos="3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EMERALD 2 (2024): </w:t>
      </w:r>
      <w:r>
        <w:rPr>
          <w:rFonts w:ascii="Times New Roman" w:cs="Times New Roman" w:eastAsia="Times New Roman" w:hAnsi="Times New Roman"/>
          <w:sz w:val="18"/>
          <w:szCs w:val="18"/>
          <w:color w:val="auto"/>
        </w:rPr>
        <w:t>The EMERALD 2 study, funded by the Company, enrolled 351 patients who presented with acute coronary syndrome,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specifically-identified culprit plaque rupture, within 3 years following a CCTA across the United States, Canada, Denmark, Italy, Hungary, Belgium, Australia, Japan and South Korea. The study sought to investigate the additive value of AI-enabled quantitative coronary plaque analysis together with hemodynamic analysis as predictors of the subsequent plaque rupture. The study showed that adding the CCTA-derived, AI-enabled measures derived from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and Plaque Analyses predicted plaque rupture more accurately than the reference model of CCTA alone (p &lt; 0.001).</w:t>
      </w:r>
    </w:p>
    <w:p>
      <w:pPr>
        <w:spacing w:after="0" w:line="162" w:lineRule="exact"/>
        <w:rPr>
          <w:rFonts w:ascii="Arial" w:cs="Arial" w:eastAsia="Arial" w:hAnsi="Arial"/>
          <w:sz w:val="18"/>
          <w:szCs w:val="18"/>
          <w:color w:val="auto"/>
        </w:rPr>
      </w:pPr>
    </w:p>
    <w:p>
      <w:pPr>
        <w:ind w:left="320" w:right="80" w:hanging="313"/>
        <w:spacing w:after="0" w:line="226" w:lineRule="auto"/>
        <w:tabs>
          <w:tab w:leader="none" w:pos="3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DECIDE: </w:t>
      </w:r>
      <w:r>
        <w:rPr>
          <w:rFonts w:ascii="Times New Roman" w:cs="Times New Roman" w:eastAsia="Times New Roman" w:hAnsi="Times New Roman"/>
          <w:sz w:val="18"/>
          <w:szCs w:val="18"/>
          <w:color w:val="auto"/>
        </w:rPr>
        <w:t>Based on the success of our DECODE study, which supported CMS coverage for Heartflow Plaque Analysis, we initiated in March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DECIDE registry, a prospective real world analysis measuring the impact of Heartflow Plaque Analysis on changes in treatment decisions compared to CCTA alone or alternative non-invasive tests. In contrast with DECODE in which physicians retrospectively identified revised patient management plans, physicians in our DECIDE registry used Heartflow Plaque Analysis information to implement real world patient management changes, with medical management changes being defined to include a treatment modification, such as initiating, discontinuing or changing dosage for a preventative or anti-ischemic therapy, additional laboratory testing, a referral for a specialist, or undergoing stress testing or ICA between 90 and 180 days post-CCTA. The study’s primary endpoint is change in medical management following Heartflow Plaque Analysis, performed 90 days after the CCTA and made available to the clinician already treating the patient, compared to the initial medical management plan determined by the clinician based on the CCTA alone, and the secondary endpoints will examine changes in key outcomes including death, heart attack, revascularization, cardiovascular medication changes and cardiovascular hospitalizations at both 90-days and one-year follow-up. DECIDE was initiated in March 2024 and we recently completed enrollment of approximately 22,000 patients across 30 sites in the United States. Our current findings from the DECIDE registry show the Heartflow Plaque Analysis led to medical management change in over half of patients beyond CCTA alone, demonstrating a high clinical utility in guiding individualized management of patients. We believe that the outcomes of the DECIDE registry will support expanded commercial payor coverage and continued adoption of Heartflow Plaque Analysis.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Clinical Studies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additional clinical studies that were not supported, sponsored, or funded by the Company.</w:t>
      </w:r>
    </w:p>
    <w:p>
      <w:pPr>
        <w:spacing w:after="0" w:line="176" w:lineRule="exact"/>
        <w:rPr>
          <w:sz w:val="20"/>
          <w:szCs w:val="20"/>
          <w:color w:val="auto"/>
        </w:rPr>
      </w:pPr>
    </w:p>
    <w:p>
      <w:pPr>
        <w:ind w:left="320" w:hanging="313"/>
        <w:spacing w:after="0" w:line="228" w:lineRule="auto"/>
        <w:tabs>
          <w:tab w:leader="none" w:pos="32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SCOT-HEART (2015): </w:t>
      </w:r>
      <w:r>
        <w:rPr>
          <w:rFonts w:ascii="Times New Roman" w:cs="Times New Roman" w:eastAsia="Times New Roman" w:hAnsi="Times New Roman"/>
          <w:sz w:val="18"/>
          <w:szCs w:val="18"/>
          <w:color w:val="auto"/>
        </w:rPr>
        <w:t>SCOT-HEART was a foundational open-label, multi-center, parallel group randomized controlled trial that compared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of care against the standard of care with CCTA. The study registered 4,146 patients across 12 sites in Scotland. Enrollment was open to patients aged 18–75 years who had been referred by a primary-care physician to a dedicated cardiology chest pain clinic with suspected stable angina due to coronary heart disease. The study highlighted the clinical superiority of CCTA over traditional stress-based NITs, finding a significant 41% reduction in the rate of death or non-fatal heart attacks after five years in patients who underwent CCTA evaluations. The study also demonstrated that patients in the CCTA group had higher rates of preventative therapies throughout follow-up: antiplatelet therapy use fell from 48% (baseline) to 41% (at 1 year) in the standard of care group (p &lt; 0.001), whereas it increased from 49% (baseline) to 52% (at 1 year) in those in the CCTA group (p = 0.017). Statin use increased in both groups, from 43% to 50% (at 1 year) in the standard of care group and from 44% to 59% (at 1 year) in the CCTA group (p &lt; 0.001 for both groups), but this was greater in those assigned to the CCTA group (p &lt; 0.001).</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4" w:lineRule="exact"/>
        <w:rPr>
          <w:sz w:val="20"/>
          <w:szCs w:val="20"/>
          <w:color w:val="auto"/>
        </w:rPr>
      </w:pPr>
    </w:p>
    <w:p>
      <w:pPr>
        <w:ind w:left="320" w:right="60" w:hanging="313"/>
        <w:spacing w:after="0" w:line="231" w:lineRule="auto"/>
        <w:tabs>
          <w:tab w:leader="none" w:pos="32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FAME 1 (2009): </w:t>
      </w:r>
      <w:r>
        <w:rPr>
          <w:rFonts w:ascii="Times New Roman" w:cs="Times New Roman" w:eastAsia="Times New Roman" w:hAnsi="Times New Roman"/>
          <w:sz w:val="18"/>
          <w:szCs w:val="18"/>
          <w:color w:val="auto"/>
        </w:rPr>
        <w:t>The foundational FAME 1, a prospective randomized controlled trial, enrolled 1,005 patients with multi-vessel CAD across 20 sites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United States and Europe. The study, along with FAME 2, showed that deferring intervention is superior when blood flow, as measured by FFR, was greater than 0.80 but that when FFR was below this same level, intervention was superior to optimal medical therapy. In FAME 1, patients diagnosed with CAD by ICA and planned ICA had rates of major adverse cardiovascular events that were lower with deferral of FFR negative lesions than with angio-guided PCI of all lesions independent of FFR (18.3% vs. 13.2%) (p = 0.02). In addition, 78% of the patients in the angiography group were free from angina at 1 year, as compared with 81% of patients in the FFR group (p = 0.20).</w:t>
      </w:r>
    </w:p>
    <w:p>
      <w:pPr>
        <w:spacing w:after="0" w:line="153" w:lineRule="exact"/>
        <w:rPr>
          <w:rFonts w:ascii="Arial" w:cs="Arial" w:eastAsia="Arial" w:hAnsi="Arial"/>
          <w:sz w:val="18"/>
          <w:szCs w:val="18"/>
          <w:color w:val="auto"/>
        </w:rPr>
      </w:pPr>
    </w:p>
    <w:p>
      <w:pPr>
        <w:ind w:left="320" w:right="40" w:hanging="313"/>
        <w:spacing w:after="0" w:line="231" w:lineRule="auto"/>
        <w:tabs>
          <w:tab w:leader="none" w:pos="32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FAME 2 (2014): </w:t>
      </w:r>
      <w:r>
        <w:rPr>
          <w:rFonts w:ascii="Times New Roman" w:cs="Times New Roman" w:eastAsia="Times New Roman" w:hAnsi="Times New Roman"/>
          <w:sz w:val="18"/>
          <w:szCs w:val="18"/>
          <w:color w:val="auto"/>
        </w:rPr>
        <w:t>The foundational FAME 2, a prospective randomized controlled trial, enrolled 1,220 patients across 28 sites in Europe and North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The enrolled patients were appropriate candidates for PCI in stable condition who had angiographically assessed one-, two-, or three-vessel CAD suitable for PCI. The study demonstrated that patients diagnosed with CAD by ICA and with invasively-measured positive FFR had rates of major adverse cardiovascular events that were lower with PCI and medical management than with medical management alone (8.1% vs. 19.5%) (p &lt; 0.001). This reduction was driven by a lower rate of urgent revascularization in the PCI group (4.0% vs. 16.3%) (p &lt; 0.001), with no significant between-group differences in the rates of death and myocardial infarction.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We market and sell our Heartflow Platform in the United States through a direct sales organization. We have developed a highly scalable, capital efficient commercial model that combines TSMs who drive new account adoption with Territory Account Managers (“TAMs”) who focus on increasing utilization by educating referring physicians. Our commercial team does not cover cases or otherwise spend time in an operating room or lab setting, which enables them to focus solely on driving commercial adoption and educational activities.</w:t>
      </w:r>
    </w:p>
    <w:p>
      <w:pPr>
        <w:spacing w:after="0" w:line="144"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18"/>
          <w:szCs w:val="18"/>
          <w:color w:val="auto"/>
        </w:rPr>
        <w:t>As of December 31, 2025, our U.S. commercial team included TSMs focused on opening new accounts, TAMs who are focused on broadening referring physician awareness of the CCTA + Heartflow pathway and driving increased volumes at accounts in our installed base, and our customer success organization that supports seamless onboarding, implementation and ongoing utilization at our accounts. We support our direct commercial efforts with a marketing team that generates demand for the CCTA + Heartflow pathway and highlights clearly defined value propositions for the various stakeholders across our customer base, including cardiologists, radiologists and interventional cardiologists.</w:t>
      </w:r>
    </w:p>
    <w:p>
      <w:pPr>
        <w:spacing w:after="0" w:line="157"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Our TSMs engage with physicians to communicate the value proposition of the Heartflow Platform, leveraging our large base of clinical evidence to highlight its clinical and economic benefits as well as the lack of any new capital equipment purchase to drive new account adoption. Our TSMs have substantial experience selling into cardiology and radiology practices as well as engaging with broad stakeholders to establish new diagnostic and therapeutic solutions, employing an enterprise sales strategy. Our TAMs utilize our extensive clinical compendium to educate and train physicians on the benefits of our platform, ultimately driving more referrals to our accounts. Our TAMs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strong backgrounds in establishing new, disruptive therapies and growing a cardiology referral base.</w:t>
      </w:r>
    </w:p>
    <w:p>
      <w:pPr>
        <w:spacing w:after="0" w:line="147"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8"/>
          <w:szCs w:val="18"/>
          <w:color w:val="auto"/>
        </w:rPr>
        <w:t>Our technology is simple and intuitive and does not require the purchase of any capital equipment. Our onboarding process seamlessly integrates the Heartflow Platform into the customer’s daily workflow. These unique attributes of our business model afford our commercial organization a differentiated level of efficiency and scalability.</w:t>
      </w:r>
    </w:p>
    <w:p>
      <w:pPr>
        <w:spacing w:after="0" w:line="156"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18"/>
          <w:szCs w:val="18"/>
          <w:color w:val="auto"/>
        </w:rPr>
        <w:t>We also have small, direct commercial teams in the United Kingdom, Japan and other countries in the European Union. We may continue to expand our commercial activities outside the United States in areas where we see potential opportunity and supportive reimbursement dynamics.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4"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We have invested significantly in research and development efforts over more than a decade to establish the first and most widely adopted AI-enabled non-invasive test for CAD that is authorized for marketing in the United States. We have built sophisticated AI-based algorithms and established an intuitive, easy to use web and mobile customer interface, developed secure data transfer software, a scalable cloud database, and quality review software, all while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facilitating operational scalability. Our highly skilled and focused research and development (“R&amp;D”) team has been pioneering AI-based coronary imaging for over a decade and remains uniquely positioned to continuously advance our Heartflow Platform. Our R&amp;D team is comprised of PhD research scientists with expertise in AI-based algorithms and medical imaging, alongside software engineers skilled in cloud architecture, AI algorithms, machine and deep learning and 3D visualization, as well as product managers and designers who ensure optimal customer experience and design.</w:t>
      </w:r>
    </w:p>
    <w:p>
      <w:pPr>
        <w:spacing w:after="0" w:line="158" w:lineRule="exact"/>
        <w:rPr>
          <w:sz w:val="20"/>
          <w:szCs w:val="20"/>
          <w:color w:val="auto"/>
        </w:rPr>
      </w:pPr>
    </w:p>
    <w:p>
      <w:pPr>
        <w:ind w:right="320"/>
        <w:spacing w:after="0" w:line="213" w:lineRule="auto"/>
        <w:rPr>
          <w:sz w:val="20"/>
          <w:szCs w:val="20"/>
          <w:color w:val="auto"/>
        </w:rPr>
      </w:pPr>
      <w:r>
        <w:rPr>
          <w:rFonts w:ascii="Times New Roman" w:cs="Times New Roman" w:eastAsia="Times New Roman" w:hAnsi="Times New Roman"/>
          <w:sz w:val="18"/>
          <w:szCs w:val="18"/>
          <w:color w:val="auto"/>
        </w:rPr>
        <w:t>We are continuing to invest in research and development efforts with the goal of driving improvements to the Heartflow Platform and expanding its applicability to additional disease states and patient populations. Our near- to medium-term research and development priorities include: (i) continuing to train and improve our AI algorithms to drive greater quality and efficiency and reduce manual involvement; (ii) enhancing product features for both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and Heartflow Plaque Analysis; (iii) developing additional workflow enhancements for our customers; and (iv) expanding indications for our platform, including asymptomatic risk prediction.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84"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18"/>
          <w:szCs w:val="18"/>
          <w:color w:val="auto"/>
        </w:rPr>
        <w:t>The ability of our customers to obtain third-party payor coverage and payment for our Heartflow Platform products for their patients is important to our business. Demand for our existing and new products is, and will continue to be, affected by the extent to which government healthcare programs, such as Medicare and Medicaid, and private health insurers, reimburse our customers for the use of our products with their patients in the countries where we do business. We have successfully engaged with third-party payors in major markets throughout the world to obtain coverage, coding, and payment rates for our products. Nonetheless, not all third-party payors reimburse our customers for our products in all situations. Third-party payor reimbursement for the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is broad; however, Heartflow Plaque Analysis is our second commercial product, and we continue to work to expand coverage</w:t>
      </w:r>
    </w:p>
    <w:p>
      <w:pPr>
        <w:ind w:right="200"/>
        <w:spacing w:after="0" w:line="239" w:lineRule="auto"/>
        <w:rPr>
          <w:sz w:val="20"/>
          <w:szCs w:val="20"/>
          <w:color w:val="auto"/>
        </w:rPr>
      </w:pPr>
      <w:r>
        <w:rPr>
          <w:rFonts w:ascii="Times New Roman" w:cs="Times New Roman" w:eastAsia="Times New Roman" w:hAnsi="Times New Roman"/>
          <w:sz w:val="18"/>
          <w:szCs w:val="18"/>
          <w:color w:val="auto"/>
        </w:rPr>
        <w:t>and payment for its use. Even if we develop or acquire a promising new product that has been cleared for commercial distribution by the FDA, demand for the product may be limited unless our customers are reimbursed at favorable rates by private health insurers and government healthcare programs.</w:t>
      </w:r>
    </w:p>
    <w:p>
      <w:pPr>
        <w:spacing w:after="0" w:line="14"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7"/>
          <w:szCs w:val="17"/>
          <w:color w:val="auto"/>
        </w:rPr>
        <w:t>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is reimbursed under a Category I CPT code, 75580, effective as of January 1, 2024, and third-party payors have established coverage policies for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that apply to approximately 99% of covered lives in the United States. A new Category I CPT code, 75577,</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was also recently established to describe our Heartflow Plaque Analysis, which took effect in January 2026. Our Heartflow Plaque Analysis is covered by Medicare, with five of the seven MACs issuing final LCDs that determined this analysis is medically necessary for certain Medicare patients in these MACs’ jurisdictions, and the remaining MACs providing coverage on a case-by-case basis. As of January 2026, coverage for Heartflow Plaque Analysis represents approximately 75% of covered lives in the United States.</w:t>
      </w:r>
    </w:p>
    <w:p>
      <w:pPr>
        <w:spacing w:after="0" w:line="155" w:lineRule="exact"/>
        <w:rPr>
          <w:sz w:val="20"/>
          <w:szCs w:val="20"/>
          <w:color w:val="auto"/>
        </w:rPr>
      </w:pPr>
    </w:p>
    <w:p>
      <w:pPr>
        <w:jc w:val="both"/>
        <w:ind w:right="460"/>
        <w:spacing w:after="0" w:line="239" w:lineRule="auto"/>
        <w:rPr>
          <w:sz w:val="20"/>
          <w:szCs w:val="20"/>
          <w:color w:val="auto"/>
        </w:rPr>
      </w:pPr>
      <w:r>
        <w:rPr>
          <w:rFonts w:ascii="Times New Roman" w:cs="Times New Roman" w:eastAsia="Times New Roman" w:hAnsi="Times New Roman"/>
          <w:sz w:val="18"/>
          <w:szCs w:val="18"/>
          <w:color w:val="auto"/>
        </w:rPr>
        <w:t>In November 2025, CMS finalized a national payment rate for the AI-Enabled Coronary Plaque Analysis service reported with new code 75577, which includes our Heartflow Plaque Analysis when performed in the physician office setting. The national Medicare payment rate for our Heartflow Plaque Analysis was effective January 1,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revenue has fluctuated, and we expect it to continue to fluctuate from quarter-to-quarter due to a variety of factors including the seasonality and the number of business days. With respect to seasonality, our first quarter revenue may be harmed by adverse weather and the setting of annual patient healthcare insurance plan deductibles. In addition, we may experience fluctuations in the volume of Heartflow Platform usage by our customers based on seasonal factors that impact the number of radiologists and support staff available to conduct CCTAs at customer accounts.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4"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We consider our primary competition to be traditional non-invasive tests for CAD including primarily stress tests such as SPECT, stress echocardiography and PET. The primary providers of imaging systems that perform these tests include Siemens Healthineers AG, GE Healthcare, Koninklijke Philips N.V. and Canon Medical Systems Corporation. These companies also manufacture CT scanners and therefore have a vested interest in growing the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18"/>
          <w:szCs w:val="18"/>
          <w:color w:val="auto"/>
        </w:rPr>
        <w:t>CCTA market in addition to protecting their share of the non-invasive market. These are large, multi-national, commercial organizations with significant resources and distribution capabilities.</w:t>
      </w:r>
    </w:p>
    <w:p>
      <w:pPr>
        <w:spacing w:after="0" w:line="15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We also face competition from companies that have developed or are developing AI-based platforms that leverage CCTA to diagnose CAD, including earlier-stage companies such as Cleerly, Inc., Elucid Bioimaging Inc. and Keya Medical Technology Co., Ltd. We may also face competition from companies developing AI-based platforms, even if they are not currently in the CAD market.</w:t>
      </w:r>
    </w:p>
    <w:p>
      <w:pPr>
        <w:spacing w:after="0" w:line="156" w:lineRule="exact"/>
        <w:rPr>
          <w:sz w:val="20"/>
          <w:szCs w:val="20"/>
          <w:color w:val="auto"/>
        </w:rPr>
      </w:pPr>
    </w:p>
    <w:p>
      <w:pPr>
        <w:ind w:right="400"/>
        <w:spacing w:after="0" w:line="230" w:lineRule="auto"/>
        <w:rPr>
          <w:sz w:val="20"/>
          <w:szCs w:val="20"/>
          <w:color w:val="auto"/>
        </w:rPr>
      </w:pPr>
      <w:r>
        <w:rPr>
          <w:rFonts w:ascii="Times New Roman" w:cs="Times New Roman" w:eastAsia="Times New Roman" w:hAnsi="Times New Roman"/>
          <w:sz w:val="18"/>
          <w:szCs w:val="18"/>
          <w:color w:val="auto"/>
        </w:rPr>
        <w:t>We believe the primary competitive factors in our market include: (i) the accuracy, reliability, and utility of the test as demonstrated by the strength and quality of clinical data directly utilizing the test and supporting it; (ii) speed and efficiency of achieving a definitive diagnosis at scale; (iii) per patient economics including reimbursement rates and relative costs; (iv) availability and ease of use including integration within hospital systems and clinical workflows as well as customer support; and (v) effective marketing and physician education efforts as well as ability to impact physician mindshare and historical practice patterns.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Our success depends in part on our ability to obtain, maintain and defend our patent and other proprietary rights for the Heartflow Platform, the validity and enforceability of our patents, our ability to operate without infringing the valid and enforceable patents and proprietary rights of third parties and the continued confidentiality of our know-how and trade secrets. We are actively involved in research and development and therefore seek to protect the investments we have made into the development of the Heartflow Platform and our proprietary technology by relying on a combination of patents, trademarks, trade secrets, and licenses, as well as through internal compartmentalization processes, confidentiality agreements and proprietary information agreements with suppliers, employees, consultants and others who may have or gain access to our proprietary information. We seek patent protection in the United States and key markets internationally for the Heartflow Platform, and any other inventions to which we have rights, where available and appropriate. We also rely upon trademarks to build and maintain the integrity and identity of our brand, and we seek to protect the confidentiality of trade secrets that may be important to the development of our business, especially where we do not believe patent protection is appropriate or obtainable. We license from third parties certain patent rights and proprietary know-how that we believe to be useful to our business. We have non-exclusively licensed some patents in our patent portfolio to a small number of licensees in a limited field of use that is outside of CCTA, and we believe that those licensees' product offerings covered by our patent portfolio are complementary to our product offerings.</w:t>
      </w:r>
    </w:p>
    <w:p>
      <w:pPr>
        <w:spacing w:after="0" w:line="159" w:lineRule="exact"/>
        <w:rPr>
          <w:sz w:val="20"/>
          <w:szCs w:val="20"/>
          <w:color w:val="auto"/>
        </w:rPr>
      </w:pPr>
    </w:p>
    <w:p>
      <w:pPr>
        <w:ind w:right="300"/>
        <w:spacing w:after="0" w:line="217" w:lineRule="auto"/>
        <w:rPr>
          <w:sz w:val="20"/>
          <w:szCs w:val="20"/>
          <w:color w:val="auto"/>
        </w:rPr>
      </w:pPr>
      <w:r>
        <w:rPr>
          <w:rFonts w:ascii="Times New Roman" w:cs="Times New Roman" w:eastAsia="Times New Roman" w:hAnsi="Times New Roman"/>
          <w:sz w:val="17"/>
          <w:szCs w:val="17"/>
          <w:color w:val="auto"/>
        </w:rPr>
        <w:t>Our patent portfolio, described more fully below, includes claims directed to the Heartflow Platform and its delivery, as embodied in various systems, computer programs, computer implemented methods and related methods of use. These claims are directed to various aspects of deriving anatomical and physiological information from image data for the Heartflow Platform, aspects of the Heartflow Platform user interface, machine learning methods for generation of the 3D models used for our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Plaque Analysis products, and methods of deriving blood flow, anatomy, plaque and organ</w:t>
      </w:r>
    </w:p>
    <w:p>
      <w:pPr>
        <w:jc w:val="both"/>
        <w:ind w:right="220"/>
        <w:spacing w:after="0" w:line="212" w:lineRule="auto"/>
        <w:rPr>
          <w:sz w:val="20"/>
          <w:szCs w:val="20"/>
          <w:color w:val="auto"/>
        </w:rPr>
      </w:pPr>
      <w:r>
        <w:rPr>
          <w:rFonts w:ascii="Times New Roman" w:cs="Times New Roman" w:eastAsia="Times New Roman" w:hAnsi="Times New Roman"/>
          <w:sz w:val="17"/>
          <w:szCs w:val="17"/>
          <w:color w:val="auto"/>
        </w:rPr>
        <w:t>tissue information from the image data. A number of our issued patents also cover indications other than CAD, such as peripheral artery disease, stroke, or aneurysms as well as technical applications related to image data analysis and processing, and platform-related PHI and data transfer methodologies and a number of issued patents cover alternative methods such as deriving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using purely machine learning methods or from other imaging modalities.</w:t>
      </w:r>
    </w:p>
    <w:p>
      <w:pPr>
        <w:spacing w:after="0" w:line="165"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As of December 31, 2025, our owned and licensed patent portfolio includes approximately 617 issued patents and 93 pending patent applications globally, of which 15 are allowed. In the U.S. this includes 330 issued U.S. patents and 51 pending non-provisional U.S. patent applications (of which 6 are allowed). In foreign jurisdictions our owned and licensed patent portfolio includes 287 issued foreign patents and 42 pending foreign patent applications (of which 9 are allowed). The 287 issued foreign patents include one or more issued patents in Europe, Japan, Korea, China, Australia, Canada, India, Hong Kong, and Israel. We also filed 23 foreign utility models between 2011 and 2015, having ten-year terms, all of which have expired. The 42 pending foreign patent applications include one or more pending applications in jurisdictions such as Europe, Canada, China, Korea and Japan. We own all of our issued patents except for 7 issued U.S. patents and 8 issued foreign patents, for which we have exclusive licenses. All of the issued U.S. patents in the portfolio are utility patents. Assuming payment of all appropriate maintenance, renewal, annuity or other governmental fees, as applicable, our owned and licensed issued U.S. patents expire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through 2044. If issued, our last to expire pending patent application (without accounting for potentially applicable patent term adjustments or extensions) is expected to expire in 2045.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patents and applications generally fall into three broad categories:</w:t>
      </w:r>
    </w:p>
    <w:p>
      <w:pPr>
        <w:spacing w:after="0" w:line="53" w:lineRule="exact"/>
        <w:rPr>
          <w:sz w:val="20"/>
          <w:szCs w:val="20"/>
          <w:color w:val="auto"/>
        </w:rPr>
      </w:pPr>
    </w:p>
    <w:p>
      <w:pPr>
        <w:ind w:left="320" w:right="60" w:hanging="313"/>
        <w:spacing w:after="0" w:line="294" w:lineRule="auto"/>
        <w:tabs>
          <w:tab w:leader="none" w:pos="3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those relating to our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including claims directed to segmentation, determining blood flow characteristics using AI and/or fluid dynamics, and visualization generation;</w:t>
      </w:r>
    </w:p>
    <w:p>
      <w:pPr>
        <w:spacing w:after="0" w:line="80"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those relating to our Heartflow Plaque Analysis, including claims directed to plaque and vessel visualization and characterization; and</w:t>
      </w:r>
    </w:p>
    <w:p>
      <w:pPr>
        <w:spacing w:after="0" w:line="179" w:lineRule="exact"/>
        <w:rPr>
          <w:rFonts w:ascii="Arial" w:cs="Arial" w:eastAsia="Arial" w:hAnsi="Arial"/>
          <w:sz w:val="18"/>
          <w:szCs w:val="18"/>
          <w:color w:val="auto"/>
        </w:rPr>
      </w:pPr>
    </w:p>
    <w:p>
      <w:pPr>
        <w:ind w:left="320" w:right="780" w:hanging="313"/>
        <w:spacing w:after="0" w:line="245" w:lineRule="auto"/>
        <w:tabs>
          <w:tab w:leader="none" w:pos="3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those relating to our Heartflow RoadMap Analysis, including claims directed to image quality and annotation, segmentation, and vascular tree generation.</w:t>
      </w:r>
    </w:p>
    <w:p>
      <w:pPr>
        <w:spacing w:after="0" w:line="151" w:lineRule="exact"/>
        <w:rPr>
          <w:sz w:val="20"/>
          <w:szCs w:val="20"/>
          <w:color w:val="auto"/>
        </w:rPr>
      </w:pPr>
    </w:p>
    <w:p>
      <w:pPr>
        <w:ind w:right="560"/>
        <w:spacing w:after="0" w:line="246" w:lineRule="auto"/>
        <w:rPr>
          <w:sz w:val="20"/>
          <w:szCs w:val="20"/>
          <w:color w:val="auto"/>
        </w:rPr>
      </w:pPr>
      <w:r>
        <w:rPr>
          <w:rFonts w:ascii="Times New Roman" w:cs="Times New Roman" w:eastAsia="Times New Roman" w:hAnsi="Times New Roman"/>
          <w:sz w:val="18"/>
          <w:szCs w:val="18"/>
          <w:color w:val="auto"/>
        </w:rPr>
        <w:t>We also own registered trademarks for the Heartflow Platform in the United States and certain other countries and own and maintain registration for a number of domain names.</w:t>
      </w:r>
    </w:p>
    <w:p>
      <w:pPr>
        <w:spacing w:after="0" w:line="15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The Heartflow Platform also implements software modules licensed to us by third-party authors under “open source” licenses. The use of open source software may entail greater risks than the use of third-party commercial software. Please see “Risk factors—Risks Related to Our Intellectual Property” for more description of these risks.</w:t>
      </w:r>
    </w:p>
    <w:p>
      <w:pPr>
        <w:spacing w:after="0" w:line="156"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which we seek to protect, in part, by entering into non-disclosure and confidentiality agreements or invention or patent assignment agreements with parties such as our employees, collaborators, manufacturers, consultants, advisors and other third parties with respect to such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Regulation of Medical Devices</w:t>
      </w:r>
    </w:p>
    <w:p>
      <w:pPr>
        <w:spacing w:after="0" w:line="18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Our products are medical devices subject to extensive and ongoing regulation by the FDA, CMS, the Department of Health and Human Services Office of Inspector General (“OIG”) and regulatory bodies in the United States and other countries. Regulations govern virtually every critical aspect of a medical device company’s business operations, including research activities, product development and testing, manufacturing and production, contracting, reimbursement, product messaging, medical communications, sales, marketing and advertising. In the United States, the Federal Food, Drug and Cosmetic Act (“FDCA”) and the implementing regulations of the FDA govern product design and development, preclinical and clinical testing, premarket clearance or approval, product manufacturing, product labeling, product storage, advertising and promotion, product sales and distribution, import, export and post market surveillance. Our business is subject to federal, state, local, and foreign regulations and standards, such as ISO 13485:2016, ISO 14971:2019, FDA’s Quality Management System Regulation (“QMSR”) contained in 21 CFR Part 820, and the EU’s Medical Devices Regulations, Regulation (EU) 2017/745 and subsequent amendments.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Premarket Clearance and Approval Requirements</w:t>
      </w:r>
    </w:p>
    <w:p>
      <w:pPr>
        <w:spacing w:after="0" w:line="171"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510(k) premarket notification, grant of a de novo classification request, or approval of a premarket approval (“PMA”) application. Our Heartflow Platform is regulated in the United States by the FDA as a Class II medical device. The FDA classifies medical devices into one of three classes. Devices deemed to pose low to moderate risk are designated as either Class I or II. Class I devices are subject to general controls such as establishment registration and device listing, labeling, adherence to current good manufacturing practices outlined in the QMSR, maintenance and investigation of product complaint records, and adverse event reporting, but are usually exempt from premarket notification requirements. Class II devices are subject to the same general controls and may be subject to special controls such as performance standards, post-market surveillance, particularized labeling requirements and/or clinical testing prior to clearance. Manufacturers of Class II devices, absent an exemption, are required to submit to the FDA a premarket notification prior to commercial distribution. Devices are designated as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Class III, which requires approval of a PMA application, if they are deemed by the FDA to pose the greatest risk. These high-risk devices include life sustaining or life supporting devices, certain implantable devices, and other devices that are intended for a use that is of substantial importance in preventing impairment of human health or that present a potential unreasonable risk of illness or injury. The PMA approval process is more comprehensive than the 510(k) clearance process and typically takes several years to complete.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Clearance Marketing Pathway</w:t>
      </w:r>
    </w:p>
    <w:p>
      <w:pPr>
        <w:spacing w:after="0" w:line="184"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A 510(k) notification requires the sponsor to demonstrate that a medical device is substantially equivalent to another marketed device, termed a “predicate device,” that is legally marketed in the United States and for which a PMA was not required. A device is substantially equivalent to a predicate device if it has the same intended use and technological characteristics as the predicate, or has the same intended use but different technological characteristics that do not raise new questions of safety and effectiveness, and information submitted to the FDA demonstrates that the device is at least as safe and effective as the predicate device.</w:t>
      </w:r>
    </w:p>
    <w:p>
      <w:pPr>
        <w:spacing w:after="0" w:line="15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If the FDA agrees that the device is substantially equivalent to a predicate device currently on the market, it will grant 510(k) clearance to commercially market the device. If there is no viable predicate device for a new device because, for example, of a new intended use, the device is automatically designated as a Class III device. Unless the de novo pathway is available for the new device, the device sponsor must fulfill more rigorous PMA requirements.</w:t>
      </w:r>
    </w:p>
    <w:p>
      <w:pPr>
        <w:spacing w:after="0" w:line="12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After a device receives 510(k) clearance, any modification that could significantly affect its safety or effectiveness, or that would constitute a new or major change in its intended use, requires a new 510(k) clearance, or depending on the modification, could require the filing of a de novo classification request or a PMA application, which would require the submission to the FDA of clinical trial data, among other information. We are required to determine, for each modification to our cleared products, whether to submit a new 510(k) notification for the modification, based on the nature of the modification. If we determine a new 510(k) submission is not required, the decision and justification are documented in a “letter to file.” If the FDA disagrees with our determination at a future date, the FDA can require us to cease marketing or recall the modified device until 510(k) clearance, grant of a de novo classification request or approval of a PMA is obtained. We have made, and we plan to continue to make, minor product enhancements to our cleared products that we believe do not require new 510(k) clearances and that we document in letters to file. We also intend to make product enhancements from time to time that we expect may require new 510(k) clearances.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 Process</w:t>
      </w:r>
    </w:p>
    <w:p>
      <w:pPr>
        <w:spacing w:after="0" w:line="184"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A manufacturer can request a risk-based classification determination for a novel device in accordance with the “de novo” process. Medical device types that the FDA has not previously classified as Class I, II, or III are automatically classified into Class III regardless of the level of risk they pose. The Food and Drug Administration Modernization Act of 1997 established a route to market for low-to-moderate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Pursuant to the Food and Drug Administration Safety and Innovation Act (“FDASIA”), manufacturers may request de novo classification directly without first submitting a 510(k) pre-market notification to the FDA and receiving a not-substantially-equivalent determination. De novo classification requests, like PMA applications and 510(k) notifications, are subject to the payment of user fees.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obtained initial marketing authorization for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through the FDA’s “de novo” classification process, supported by clinical data</w:t>
      </w:r>
    </w:p>
    <w:p>
      <w:pPr>
        <w:spacing w:after="0" w:line="41" w:lineRule="exact"/>
        <w:rPr>
          <w:sz w:val="20"/>
          <w:szCs w:val="20"/>
          <w:color w:val="auto"/>
        </w:rPr>
      </w:pPr>
    </w:p>
    <w:p>
      <w:pPr>
        <w:spacing w:after="0" w:line="198" w:lineRule="auto"/>
        <w:rPr>
          <w:sz w:val="20"/>
          <w:szCs w:val="20"/>
          <w:color w:val="auto"/>
        </w:rPr>
      </w:pPr>
      <w:r>
        <w:rPr>
          <w:rFonts w:ascii="Times New Roman" w:cs="Times New Roman" w:eastAsia="Times New Roman" w:hAnsi="Times New Roman"/>
          <w:sz w:val="17"/>
          <w:szCs w:val="17"/>
          <w:color w:val="auto"/>
        </w:rPr>
        <w:t>from our NXT clinical trial. Through this process, the FDA agreed that special controls provide reasonable assurance of the safety and effectiveness of the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therefore it can be classified as a Class II device. We received a de novo authorization on November 26, 2014 for version 1.4</w:t>
      </w:r>
    </w:p>
    <w:p>
      <w:pPr>
        <w:spacing w:after="0" w:line="186" w:lineRule="auto"/>
        <w:rPr>
          <w:sz w:val="20"/>
          <w:szCs w:val="20"/>
          <w:color w:val="auto"/>
        </w:rPr>
      </w:pPr>
      <w:r>
        <w:rPr>
          <w:rFonts w:ascii="Times New Roman" w:cs="Times New Roman" w:eastAsia="Times New Roman" w:hAnsi="Times New Roman"/>
          <w:sz w:val="17"/>
          <w:szCs w:val="17"/>
          <w:color w:val="auto"/>
        </w:rPr>
        <w:t>of the Heartflow FFR</w:t>
      </w:r>
      <w:r>
        <w:rPr>
          <w:rFonts w:ascii="Times New Roman" w:cs="Times New Roman" w:eastAsia="Times New Roman" w:hAnsi="Times New Roman"/>
          <w:sz w:val="27"/>
          <w:szCs w:val="27"/>
          <w:color w:val="auto"/>
          <w:vertAlign w:val="subscript"/>
        </w:rPr>
        <w:t>CT</w:t>
      </w:r>
      <w:r>
        <w:rPr>
          <w:rFonts w:ascii="Times New Roman" w:cs="Times New Roman" w:eastAsia="Times New Roman" w:hAnsi="Times New Roman"/>
          <w:sz w:val="17"/>
          <w:szCs w:val="17"/>
          <w:color w:val="auto"/>
        </w:rPr>
        <w:t xml:space="preserve"> Analysis. We received the 510(k) clearance for version 2.x of the FFR</w:t>
      </w:r>
      <w:r>
        <w:rPr>
          <w:rFonts w:ascii="Times New Roman" w:cs="Times New Roman" w:eastAsia="Times New Roman" w:hAnsi="Times New Roman"/>
          <w:sz w:val="27"/>
          <w:szCs w:val="27"/>
          <w:color w:val="auto"/>
          <w:vertAlign w:val="subscript"/>
        </w:rPr>
        <w:t>CT</w:t>
      </w:r>
      <w:r>
        <w:rPr>
          <w:rFonts w:ascii="Times New Roman" w:cs="Times New Roman" w:eastAsia="Times New Roman" w:hAnsi="Times New Roman"/>
          <w:sz w:val="17"/>
          <w:szCs w:val="17"/>
          <w:color w:val="auto"/>
        </w:rPr>
        <w:t xml:space="preserve"> product in January 2015, and 510(k) clearance for a</w:t>
      </w:r>
    </w:p>
    <w:p>
      <w:pPr>
        <w:ind w:right="60"/>
        <w:spacing w:after="0" w:line="216" w:lineRule="auto"/>
        <w:rPr>
          <w:sz w:val="20"/>
          <w:szCs w:val="20"/>
          <w:color w:val="auto"/>
        </w:rPr>
      </w:pPr>
      <w:r>
        <w:rPr>
          <w:rFonts w:ascii="Times New Roman" w:cs="Times New Roman" w:eastAsia="Times New Roman" w:hAnsi="Times New Roman"/>
          <w:sz w:val="18"/>
          <w:szCs w:val="18"/>
          <w:color w:val="auto"/>
        </w:rPr>
        <w:t>modification to the intended use language in August 2016. Additional clearances were received for a strategic architecture scope change in December 2018, which is the device we refer to as Heartflow Platform. The Heartflow Platform version 2.0, which added the PCI Planner function,</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received FDA clearance in August 2019. The Heartflow Platform version 3.0 received FDA clearance in January 2021, and the newest product generation, Heartflow Platform version 3.18, adding Roadmap and Plaque functions, received FDA clearance in October 2022. The Heartflow Platform version 4.0, with improved Plaque detection, received its clearance in July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Device Clinical Trials</w:t>
      </w:r>
    </w:p>
    <w:p>
      <w:pPr>
        <w:spacing w:after="0" w:line="18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Clinical trials are sometimes required to support 510(k) or de novo submissions. All clinical investigations of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presents a potential for serious risk to a patient in some other way.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6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Regardless of the degree of risk presented by the medical device, clinical studies must be approved by, and conducted under the oversight of, an Institutional Review Board (“IRB”) for each clinical site. The IRB is responsible for the initial and continuing review of the clinical study,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w:t>
      </w:r>
    </w:p>
    <w:p>
      <w:pPr>
        <w:spacing w:after="0" w:line="162"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such as strategic business decisions or a belief that the risks to study subjects may outweigh the anticipated benefits.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After a device is approved or cleared and placed in commercial distribution, numerous FDA regulatory requirements apply. These include, but are not limited to, requirements to:</w:t>
      </w:r>
    </w:p>
    <w:p>
      <w:pPr>
        <w:spacing w:after="0" w:line="136" w:lineRule="exact"/>
        <w:rPr>
          <w:sz w:val="20"/>
          <w:szCs w:val="20"/>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register establishments and list devices with the FDA;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8" w:lineRule="exact"/>
        <w:rPr>
          <w:sz w:val="20"/>
          <w:szCs w:val="20"/>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maintain a quality system that is compliant with the QMSR, which governs design, development, and manufacture of devices;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establish various specifications and controls for incoming components and finished devices;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ensure that devices are designed to meet user needs;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verify that finished devices are manufactured to the appropriate controls and that they meet specifications;</w:t>
      </w:r>
    </w:p>
    <w:p>
      <w:pPr>
        <w:spacing w:after="0" w:line="166" w:lineRule="exact"/>
        <w:rPr>
          <w:rFonts w:ascii="Arial" w:cs="Arial" w:eastAsia="Arial" w:hAnsi="Arial"/>
          <w:sz w:val="18"/>
          <w:szCs w:val="18"/>
          <w:color w:val="auto"/>
        </w:rPr>
      </w:pPr>
    </w:p>
    <w:p>
      <w:pPr>
        <w:ind w:left="320" w:right="400" w:hanging="313"/>
        <w:spacing w:after="0" w:line="261" w:lineRule="auto"/>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ensure that devices are assigned and labeled with a Unique Device Identifier (“UDI”) and that certain UDI information is provided to FDA’s Global Unique Identification Database (“GUDID”);</w:t>
      </w:r>
    </w:p>
    <w:p>
      <w:pPr>
        <w:spacing w:after="0" w:line="123" w:lineRule="exact"/>
        <w:rPr>
          <w:rFonts w:ascii="Arial" w:cs="Arial" w:eastAsia="Arial" w:hAnsi="Arial"/>
          <w:sz w:val="18"/>
          <w:szCs w:val="18"/>
          <w:color w:val="auto"/>
        </w:rPr>
      </w:pPr>
    </w:p>
    <w:p>
      <w:pPr>
        <w:ind w:left="320" w:right="140" w:hanging="313"/>
        <w:spacing w:after="0" w:line="261" w:lineRule="auto"/>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ensure that labeling and advertising and promotional activities are consistent with cleared/approved uses, adequately substantiated, and truthful and not misleading;</w:t>
      </w:r>
    </w:p>
    <w:p>
      <w:pPr>
        <w:spacing w:after="0" w:line="136"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analyze quality data to identify and correct quality problems;</w:t>
      </w:r>
    </w:p>
    <w:p>
      <w:pPr>
        <w:spacing w:after="0" w:line="166" w:lineRule="exact"/>
        <w:rPr>
          <w:rFonts w:ascii="Arial" w:cs="Arial" w:eastAsia="Arial" w:hAnsi="Arial"/>
          <w:sz w:val="18"/>
          <w:szCs w:val="18"/>
          <w:color w:val="auto"/>
        </w:rPr>
      </w:pPr>
    </w:p>
    <w:p>
      <w:pPr>
        <w:ind w:left="320" w:hanging="313"/>
        <w:spacing w:after="0" w:line="261" w:lineRule="auto"/>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submit notifications or applications for clearance or approval of product modifications that could significantly affect safety or effectiveness or that would constitute a major change in intended use;</w:t>
      </w:r>
    </w:p>
    <w:p>
      <w:pPr>
        <w:spacing w:after="0" w:line="136" w:lineRule="exact"/>
        <w:rPr>
          <w:rFonts w:ascii="Arial" w:cs="Arial" w:eastAsia="Arial" w:hAnsi="Arial"/>
          <w:sz w:val="18"/>
          <w:szCs w:val="18"/>
          <w:color w:val="auto"/>
        </w:rPr>
      </w:pPr>
    </w:p>
    <w:p>
      <w:pPr>
        <w:ind w:left="320" w:right="260" w:hanging="313"/>
        <w:spacing w:after="0" w:line="245" w:lineRule="auto"/>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review, evaluate and investigate complaints and report adverse events to the FDA when a device may have caused or contributed to a death or serious injury or malfunctioned in a way that would be likely to cause or contribute to a death or serious injury if the malfunction were to recur;</w:t>
      </w:r>
    </w:p>
    <w:p>
      <w:pPr>
        <w:spacing w:after="0" w:line="150" w:lineRule="exact"/>
        <w:rPr>
          <w:rFonts w:ascii="Arial" w:cs="Arial" w:eastAsia="Arial" w:hAnsi="Arial"/>
          <w:sz w:val="18"/>
          <w:szCs w:val="18"/>
          <w:color w:val="auto"/>
        </w:rPr>
      </w:pPr>
    </w:p>
    <w:p>
      <w:pPr>
        <w:ind w:left="320" w:right="40" w:hanging="313"/>
        <w:spacing w:after="0" w:line="239" w:lineRule="auto"/>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report to FDA corrections and removals undertaken to reduce a risk to health posed by the device or to remedy a violation of the FDCA that may present a risk to health. In addition, FDA may order a mandatory recall if there is a reasonable probability that the device would cause serious adverse health consequences or death;</w:t>
      </w:r>
    </w:p>
    <w:p>
      <w:pPr>
        <w:spacing w:after="0" w:line="142" w:lineRule="exact"/>
        <w:rPr>
          <w:rFonts w:ascii="Arial" w:cs="Arial" w:eastAsia="Arial" w:hAnsi="Arial"/>
          <w:sz w:val="18"/>
          <w:szCs w:val="18"/>
          <w:color w:val="auto"/>
        </w:rPr>
      </w:pPr>
    </w:p>
    <w:p>
      <w:pPr>
        <w:ind w:left="320" w:right="420" w:hanging="313"/>
        <w:spacing w:after="0" w:line="261" w:lineRule="auto"/>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comply with any post-approval restrictions or conditions, including requirements to conduct post-market surveillance studies to establish continued safety data; and</w:t>
      </w:r>
    </w:p>
    <w:p>
      <w:pPr>
        <w:spacing w:after="0" w:line="136" w:lineRule="exact"/>
        <w:rPr>
          <w:rFonts w:ascii="Arial" w:cs="Arial" w:eastAsia="Arial" w:hAnsi="Arial"/>
          <w:sz w:val="18"/>
          <w:szCs w:val="18"/>
          <w:color w:val="auto"/>
        </w:rPr>
      </w:pPr>
    </w:p>
    <w:p>
      <w:pPr>
        <w:ind w:left="320" w:right="240" w:hanging="313"/>
        <w:spacing w:after="0" w:line="245" w:lineRule="auto"/>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conduct clinical studies in accordance with good clinical practices and applicable regulations, including requirements for clinical trial registration and results reporting on ClinicalTrials.gov.</w:t>
      </w:r>
    </w:p>
    <w:p>
      <w:pPr>
        <w:spacing w:after="0" w:line="1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In February 2024, the FDA issued the QMSR to amend the previous Quality System Regulation (QSR), incorporating by reference the international standard for medical device quality management systems, ISO 13485:2016. The rule was effective on February 2, 2026. Until then, manufacturers were required to comply with the QSR. Heartflow performed assessments and implemented changes in an effort to comply with the QMSR as of February 2, 2026.</w:t>
      </w:r>
    </w:p>
    <w:p>
      <w:pPr>
        <w:spacing w:after="0" w:line="146"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18"/>
          <w:szCs w:val="18"/>
          <w:color w:val="auto"/>
        </w:rPr>
        <w:t>Manufacturing processes for medical devices are required to comply with the applicable portions of the QMSR, which cover the methods and the facilities and controls for the design, manufacture, testing, production processes and controls, quality assurance, labeling, packaging, distribution, installation and servicing, post-market surveillance of finished devices intended for human use. As a manufacturer, we are subject to periodic scheduled or unscheduled inspections by the FDA. Furthermore, Heartflow participates in the Medical Device Single Audit Program (“MDSAP”) where we are assessed by our Notified Body for various global regulations, including the FDA QMSR, on an annual basis. Failure to maintain compliance with the QMSR requirements could result in the shutdown of, or restrictions on, manufacturing operations and the recall or seizure of marketed products.</w:t>
      </w:r>
    </w:p>
    <w:p>
      <w:pPr>
        <w:spacing w:after="0" w:line="159"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8"/>
          <w:szCs w:val="18"/>
          <w:color w:val="auto"/>
        </w:rPr>
        <w:t>The FDA polices these requirements by inspection, review of required reports or submissions, and market surveillance, and the agency has broad enforcement powers to address any violations. The FDA may conduct announced or unannounced facility inspections to determine compliance with the QMSR. Failure to comply with applicable regulatory requirements can result in enforcement action by the FDA or other regulatory authorities, which may result in sanctions and related consequences, including:</w:t>
      </w:r>
    </w:p>
    <w:p>
      <w:pPr>
        <w:spacing w:after="0" w:line="157" w:lineRule="exact"/>
        <w:rPr>
          <w:sz w:val="20"/>
          <w:szCs w:val="20"/>
          <w:color w:val="auto"/>
        </w:rPr>
      </w:pPr>
    </w:p>
    <w:p>
      <w:pPr>
        <w:ind w:left="320" w:hanging="313"/>
        <w:spacing w:after="0"/>
        <w:tabs>
          <w:tab w:leader="none" w:pos="32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inspection non-conformances (“Form 483”);</w:t>
      </w: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untitled letters, warning letters, or it has come to our attention letters;</w:t>
      </w:r>
    </w:p>
    <w:p>
      <w:pPr>
        <w:spacing w:after="0" w:line="166"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injunctions or consent decrees;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fines or civil penalties;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recall, detention, or seizure of our product;</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66"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FDA’s refusal of or delay in granting 510(k) clearance or premarket approval of new or modified products;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withdrawal of 510(k) clearances or PMA approvals;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FDA’s refusal to grant export certificates;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criminal prosecution;</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unanticipated expenditures to address or defend such actions; and</w:t>
      </w:r>
    </w:p>
    <w:p>
      <w:pPr>
        <w:spacing w:after="0" w:line="166"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reputational harm resulting from such actions.</w:t>
      </w:r>
    </w:p>
    <w:p>
      <w:pPr>
        <w:spacing w:after="0" w:line="180"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Other regulatory authorities overseeing the implementation and adherence of applicable state, federal and analogous foreign regulatory authorities may also conduct unannounced inspections. Such inspections may result in similar administrative, civil and criminal penalties. The discovery of previously unknown problems with marketed medical devices,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 — European Union, United Kingdom, Japan and Canada</w:t>
      </w:r>
    </w:p>
    <w:p>
      <w:pPr>
        <w:spacing w:after="0" w:line="17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In order to market and sell our product outside of the United States, we must comply with numerous and varying regulatory requirements of other countries and jurisdictions regarding quality, safety, and efficacy and governing, among other things, clinical trials, marketing authorization, commercial sales and distribution of our product.</w:t>
      </w:r>
    </w:p>
    <w:p>
      <w:pPr>
        <w:spacing w:after="0" w:line="15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Although many of the regulatory issues we face in the United States are similar to the issues in other geographies, the approval or certification process varies between countries and jurisdictions and can involve additional testing and additional administrative review periods. The time required to obtain approval or certification in other countries and jurisdictions might differ from and be longer than that required to obtain clearance from the FDA. Regulatory approval or certification in one country or jurisdiction does not ensure regulatory approval or certification in another, but a failure or delay in obtaining regulatory approval or certification in one country or jurisdiction may negatively impact the regulatory process in others.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w:t>
      </w:r>
    </w:p>
    <w:p>
      <w:pPr>
        <w:spacing w:after="0" w:line="18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primary regulatory environment in Europe is that of the European Union, which includes most of the major countries in Europe. The law regarding medical devices is harmonized in the European Union. On May 26, 2021, the Medical Devices Regulation (EU) 2017/745 (“MDR”) entered into application, repealing and replacing the previous Medical Device Directive (“MDD”) . As a Regulation, the MDR is directly applicable in all member states of the European Union and does not require further implementation into national law. The MDR and its associated amendments,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Since May 26, 2021, medical devices placed on the European Union market must conform to the requirements set out by the MDR. Medical devices must comply with the General Safety and Performance Requirements (“GSPRs”) set out in Annex I of the MDR. Compliance with these requirements is a prerequisite to be able to affix the CE mark to devices, without which they cannot be marketed or sold in the European Union. To demonstrate compliance with the GSPRs provided in the MDR and obtain the right to affix the CE mark, medical devices manufacturers must undergo a conformity assessment procedure. The conformity assessment procedure varies depending on the class of the product, but most cases involve an assessment by a Notified Body. Depending on the relevant conformity assessment procedure, this assessment may consist of a review of the technical file submitted by the manufacturer, an audit of the quality system of the manufacturer, and testing of the product of the manufacturer. Even though a Notified Body is a private organization in one of the member states of the European Union, all Notified Bodies in the European Union are designated and accredited by a national government of the European Union based on stringent criteria. Only such accredited Notified Bodies may give a CE Certificate of Conformity following successful completion of a conformity assessment procedure conducted in relation to the medical device and its manufacturer and their conformity with the GSPRs. The CE Certificate of Conformity confirms the conformity of the device to the GSPRs and allows the applicant to affix the CE mark on the assessed medical device and to commercialize it in the European Union after having prepared and signed a related European Union Declaration of Conformity.</w:t>
      </w:r>
    </w:p>
    <w:p>
      <w:pPr>
        <w:spacing w:after="0" w:line="15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As a general rule, demonstration of conformity of medical devices and their manufacturers with the GSPRs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The conduct of clinical studies in the European Union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 After a device is placed on the market in the European Union, it remains subject to significant regulatory requirements.</w:t>
      </w:r>
    </w:p>
    <w:p>
      <w:pPr>
        <w:spacing w:after="0" w:line="16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On July 26, 2011, our Notified Body at the time, TUV Nord, issued a CE Certificate of Conformity for, and thus allowed us to affix the CE mark, version 1.0 of the Heartflow Platform (July 26, 2011). The CE Certificate of Conformity was subsequently reviewed for subsequent versions of the Heartflow Platform.</w:t>
      </w:r>
    </w:p>
    <w:p>
      <w:pPr>
        <w:spacing w:after="0" w:line="12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In addition, TUV Nord assessed the conformity of our quality management system (“QMS”) with the industry standard, EN ISO 13485, and TUV Nord issued the certificate confirming that we meet all EN ISO 13485 requirements. Based on the EN ISO certificate, TUV Nord also issued a certificate under the MDSAP (Medical Device Single Audit Program), stating that the requirements of EN ISO 13485:2016 for quality management systems are met in Australia, Canada, USA and Japan.</w:t>
      </w:r>
    </w:p>
    <w:p>
      <w:pPr>
        <w:spacing w:after="0" w:line="158" w:lineRule="exact"/>
        <w:rPr>
          <w:sz w:val="20"/>
          <w:szCs w:val="20"/>
          <w:color w:val="auto"/>
        </w:rPr>
      </w:pPr>
    </w:p>
    <w:p>
      <w:pPr>
        <w:jc w:val="both"/>
        <w:ind w:right="540"/>
        <w:spacing w:after="0" w:line="239" w:lineRule="auto"/>
        <w:rPr>
          <w:sz w:val="20"/>
          <w:szCs w:val="20"/>
          <w:color w:val="auto"/>
        </w:rPr>
      </w:pPr>
      <w:r>
        <w:rPr>
          <w:rFonts w:ascii="Times New Roman" w:cs="Times New Roman" w:eastAsia="Times New Roman" w:hAnsi="Times New Roman"/>
          <w:sz w:val="18"/>
          <w:szCs w:val="18"/>
          <w:color w:val="auto"/>
        </w:rPr>
        <w:t>In the second half of 2024, we changed Notified Bodies from TUV Nord to BSI by an agreement between TUV Nord, BSI and us. BSI has taken over Notified Body responsibilities concerning all EU MDR and MDSAP requirements. BSI has also taken over our QMS certifications. Our CE Mark and Quality System MDSAP certifications are currently issued by BSI.</w:t>
      </w:r>
    </w:p>
    <w:p>
      <w:pPr>
        <w:spacing w:after="0" w:line="156"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8"/>
          <w:szCs w:val="18"/>
          <w:color w:val="auto"/>
        </w:rPr>
        <w:t>The advertising and promotion of medical devices in the European Union is subject to the national laws of the individual European Union Member States that implemented the MDD, the AIMD and that apply the MDR, Directive 2006/114/EC concerning misleading and comparative advertising, and Directive 2005/29/EC on unfair commercial practices, as well as other national legislation of individual European Union Member States governing the advertising and promotion of medical devices. European Union Member States’ national legislation may also restrict or impose limitations on our ability to advertise our products directly to the general public. In addition, voluntary European Union and national industry Codes of Conduct provide guidelines on the advertising and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 of our products to the general public and may impose limitations on our promotional activities with healthcare professionals.</w:t>
      </w:r>
    </w:p>
    <w:p>
      <w:pPr>
        <w:spacing w:after="0" w:line="18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addition, other countries, such as Switzerland, have voluntarily adopted laws and regulations relating to medical devices that mirror those of the European Union. Medical devices certified by a Notified Body and CE marked in the European Union may be placed on Swiss market.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8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The United Kingdom left the European Union in January of 2020 and the transitional period ended on December 31, 2020. In light of the fact that the CE Marking process is set out in European Union law, which no longer applies in the United Kingdom, the United Kingdom has devised a new route to market culminating in a UKCA Mark to replace the CE Mark. Northern Ireland will, however, continue to be covered by the regulations governing CE Marks. The United Kingdom Medicines and Healthcare products Regulatory Agency (“MHRA”) has established transitional provision to recognize the acceptance of certain CE marked medical devices on the Great Britain market until June 30, 2030, at the latest, depending on the type of device and its classification. Manufacturers of medical devices located outside the United Kingdom, including manufacturers of CE marked medical devices, need to appoint a United Kingdom Responsible Person before the devices may be placed on the United Kingdom market. The United Kingdom government plans on introducing new legislation governing medical devices which will be delivered though secondary legislation. The first piece of legislation was laid in 2024 and updates post-market surveillance requirements. Additional instruments will follow in 2025 and 2026 to introduce new pre-market requirements including international reliance, and further enhancements to the regulations.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84" w:lineRule="exact"/>
        <w:rPr>
          <w:sz w:val="20"/>
          <w:szCs w:val="20"/>
          <w:color w:val="auto"/>
        </w:rPr>
      </w:pPr>
    </w:p>
    <w:p>
      <w:pPr>
        <w:ind w:right="420"/>
        <w:spacing w:after="0" w:line="199" w:lineRule="auto"/>
        <w:rPr>
          <w:sz w:val="20"/>
          <w:szCs w:val="20"/>
          <w:color w:val="auto"/>
        </w:rPr>
      </w:pPr>
      <w:r>
        <w:rPr>
          <w:rFonts w:ascii="Times New Roman" w:cs="Times New Roman" w:eastAsia="Times New Roman" w:hAnsi="Times New Roman"/>
          <w:sz w:val="18"/>
          <w:szCs w:val="18"/>
          <w:color w:val="auto"/>
        </w:rPr>
        <w:t>We applied for marketing authorization with the PMDA in Japan in February 2015, which was approved in November 2016. As a result, we are able to commercially market the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product in Japan. Our initial SHONIN application is still current and includes minor change notifications.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8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Heartflow received our initial Canadian Medical Device License in August 2015. This remains current and updated frequently with amendments for every minor software release. As well, Canada recognizes the Heartflow Mobile application as a separate device identified within our Heartflow device family and requires amendments for Mobile updates.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 - Federal and State Fraud and Abuse, Data Privacy and Security and Transparency Laws</w:t>
      </w:r>
    </w:p>
    <w:p>
      <w:pPr>
        <w:spacing w:after="0" w:line="184"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medical devices, there are numerous U.S. federal and state laws, regulations, and guidance documents pertaining to healthcare compliance protections against fraud and abuse, including anti-kickback laws, payment transparency laws, patient inducement laws, and false claims laws, and, in some states, prohibitions against the corporate practice of medicine and the unlicensed practice of medicine (collectively, fraud and abuse laws and regulations). Our relationships with physicians, hospitals and other healthcare providers and referral sources for our products are subject to scrutiny under these laws. Violations of these laws may be punishable by criminal and civil sanctions, including, in some instances, imprisonment and exclusion from participation in federal and state healthcare programs, including the Medicare, Medicaid and Veterans Administration health programs. Because of the breadth and far-reaching nature of these laws, we may be required to alter or discontinue one or more of our business practices to be in compliance with these laws.</w:t>
      </w:r>
    </w:p>
    <w:p>
      <w:pPr>
        <w:spacing w:after="0" w:line="143" w:lineRule="exact"/>
        <w:rPr>
          <w:sz w:val="20"/>
          <w:szCs w:val="20"/>
          <w:color w:val="auto"/>
        </w:rPr>
      </w:pPr>
    </w:p>
    <w:p>
      <w:pPr>
        <w:ind w:right="620"/>
        <w:spacing w:after="0" w:line="237" w:lineRule="auto"/>
        <w:rPr>
          <w:sz w:val="20"/>
          <w:szCs w:val="20"/>
          <w:color w:val="auto"/>
        </w:rPr>
      </w:pPr>
      <w:r>
        <w:rPr>
          <w:rFonts w:ascii="Times New Roman" w:cs="Times New Roman" w:eastAsia="Times New Roman" w:hAnsi="Times New Roman"/>
          <w:sz w:val="18"/>
          <w:szCs w:val="18"/>
          <w:color w:val="auto"/>
        </w:rPr>
        <w:t>These healthcare fraud and abuse laws and regulations are complex, and even minor departures from what is expressly permitted under the laws and regulations can potentially give rise to claims that a statute or regulation has been violated in a manner that could result in serious criminal or civil consequences. Several of the more significant healthcare fraud and abuse laws and regulations that may affect our business or ability to operate are summarized below.</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8"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The federal Anti-Kickback Statute is a criminal law that prohibits, among other things, knowingly and willfully offering, paying, soliciting, or receiving any remuneration in cash or in-kind (including any kickback or bribe, but also common forms of remuneration, such as service or consulting fees, service fees, meals, travel expenses, discounts, or rebates),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Although there are a number of statutory exceptions and regulatory safe harbors protecting some common activities, the exceptions and safe harbors are drawn narrowly. Practices that involve remuneration that may be alleged to be intended to induce prescribing, uses, purchases, or recommendations of prescriptions, uses, or purchases of our products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review of all relevant facts and circumstances. Several courts have interpreted the statute’s intent requirement to mean that if any one purpose of an arrangement involving remuneration is to induce referrals of (or purchases, uses, or recommendations of prescriptions, uses, or purchases) federal healthcare program covered business, the Anti-Kickback Statute has been implicated and potentially violated.</w:t>
      </w:r>
    </w:p>
    <w:p>
      <w:pPr>
        <w:spacing w:after="0" w:line="165"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Additionally, the Anti-Kickback Statute was amended by the ACA. Specifically, as noted above, under the Anti-Kickback Statute, the government must prove that a defendant acted “knowingly” to prove a violation. The ACA added a provision that clarifies that with respect to violations of the Anti-Kickback Statute, “a person need not have actual knowledge” of the Statute or specific intent to commit a violation of the Statute. This change effectively overturns case law interpretations that set a higher standard under which prosecutors had to prove the specific intent to violate the law. In addition, the ACA codified case law that a claim including items or services resulting from a violation of the federal Anti-Kickback Statute may constitute a false or fraudulent claim for purpose of the federal civil False Claims Act.</w:t>
      </w:r>
    </w:p>
    <w:p>
      <w:pPr>
        <w:spacing w:after="0" w:line="14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The federal civil U.S.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United States government. The civil False Claims Act also applies to false submissions that cause the government to not receive a benefit to which it is entitled, such as a discounted sales price for products covered by federal healthcare programs. Intent to deceive is not required to establish liability under the civil False Claims Act. In addition, the civil False Claims Act includes a whistleblower provision that allows private citizens to bring claims on behalf of the United States government alleging violations of the law. Whistleblowers may be entitled to up to as much as thirty percent (30%) of the government’s financial recovery resulting from such claims. This incentivizes potential whistleblowers to file complaints in federal court, which complaints are relied upon heavily by the government to investigate and prosecute allegations of violations of both the civil False Claims Act and the Anti-Kickback Statute. For example, in October 2025, we and certain of our employees received civil investigative demands (the “CID”) from the U.S. Department of Justice, Civil Division, in connection with an investigation under the federal Anti-Kickback Statute and Civil False Claims Act (the “Investigation”). The CID requests information, documents, and testimony focused on our financial and contractual arrangements with providers and our sales and marketing activities. We are cooperating with the Investigation. We are unable to express a view at this time regarding the likely duration, or ultimate outcome, of the Investigation. Depending on the outcome of the Investigation, there may be a material impact on our business, results of operations, financial condition, or cash flows.</w:t>
      </w:r>
    </w:p>
    <w:p>
      <w:pPr>
        <w:spacing w:after="0" w:line="16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7"/>
          <w:szCs w:val="17"/>
          <w:color w:val="auto"/>
        </w:rPr>
        <w:t>Many medical device, pharmaceutical, biotech and other healthcare companies have been investigated or prosecuted under these healthcare fraud and abuse laws and regulations. Investigations, prosecutions (and settlements) relate to a wide range of activities, including among other things, improper clinical studies, provision of consulting fees to physicians for services that were not commercially reasonable, providing free product to customers to induce them to do business with the manufacturer, providing high value meals to customers to induce them to do business with the manufacturer, or providing non-compliant discounts or rebates to customers, with the expectation that the customers would bill federal programs for the product or the medical services that involve the product. Other companies have been investigated or prosecuted for causing false claims to be submitted by, among other things,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of products for unapproved, and thus noncovered, uses, or for promotion of uses inconsistent with approved labeling (“off label” promotion).</w:t>
      </w:r>
    </w:p>
    <w:p>
      <w:pPr>
        <w:spacing w:after="0" w:line="180"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The United States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w:t>
      </w:r>
    </w:p>
    <w:p>
      <w:pPr>
        <w:spacing w:after="0" w:line="156"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8"/>
          <w:szCs w:val="18"/>
          <w:color w:val="auto"/>
        </w:rPr>
        <w:t>In addition to the Anti-Kickback Statute and the civil and criminal False Claims Acts, the United States federal government has the authority to seek civil monetary penalties, assessments and exclusions against an individual or entity based on a wide variety of prohibited conduct. For example, the Civil Monetary Penalties Law authorizes the imposition of substantial civil money penalties against an entity that engages in activities including: (i) knowingly presenting or causing to be presented, a claim for services not provided as claimed or which is otherwise false or fraudulent in any way; (ii) knowingly giving or causing to be given false or misleading information reasonably expected to influence the decision to discharge a patient; (iii) offering or giving remuneration to any beneficiary of a federal healthcare program likely to influence the receipt of reimbursable items or services; (iv) arranging for reimbursable services with an entity which is excluded from participation from a federal healthcare program; (v) knowingly or willfully soliciting or receiving remuneration for a referral of a federal healthcare program beneficiary; or (vi) using a payment intended for a federal healthcare program beneficiary for another use.</w:t>
      </w:r>
    </w:p>
    <w:p>
      <w:pPr>
        <w:spacing w:after="0" w:line="162"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There are other federal anti-fraud laws, including the Health Information Portability and Accountability Act’s fraud provisions, that prohibit, among other actions, knowingly and willfully executing, or attempting to execute, a scheme to defraud any healthcare benefit program, including private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44"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8"/>
          <w:szCs w:val="18"/>
          <w:color w:val="auto"/>
        </w:rPr>
        <w:t>Finally, many states and foreign countries have similar healthcare fraud and abuse statutes or regulations that may be broader in scope and may apply regardless of payor, in addition to items and services reimbursed under Medicaid and other state programs.</w:t>
      </w:r>
    </w:p>
    <w:p>
      <w:pPr>
        <w:spacing w:after="0" w:line="136"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Violations any of these laws or any other governmental regulations that may apply to us may result in significant civil, criminal and administrative penalties, damages, fines, disgorgement, imprisonment or exclusion of devices from government-funded healthcare programs, such as Medicare and Medicaid or comparable foreign programs.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Payment Sunshine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Transparency laws regarding payments or other transfers of value provided to certain licensed healthcare professionals and teaching hospitals may also impact our business practices. The federal Physician Payment Sunshine Act requires most medical device manufacturers, including Heartflow, to track and report annually to the Secretary of the United States Department of Health and Human Services (“HHS”) financial arrangements, payments, and other transfers of value made by that entity to physicians (defined to include doctors, dentists, optometrists, podiatrists, and chiropractors), other healthcare providers (such as physician assistants and nurse practitioners) and teaching hospitals, as well as ownership and investment interests held by such physicians and their immediate family members. The payment information is made publicly available in a searchable format on the CMS Open Payments website. Similar laws have been enacted or are under consideration in several states and foreign jurisdictions, including states such as Massachusetts and Vermont, and countries like France, which has adopted the Loi Bertrand, or French Sunshine Act, which became effective in 2013. We will need to dedicate significant resources to establish and maintain systems and processes in order to comply with these regulations. Failure to comply with these federal reporting requirements can result in significant civil monetary penalties. In addition, information reported to HHS, since it is publicly reported, can potentially be used by a whistleblower to bring claims under the civil False Claims Act alleging that certain payments or transfers of value gave rise to kickbacks or false claims.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8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The U.S. Foreign Corrupt Practices Act (“FCPA”) prohibits any U.S. individual or business from promising, offering, paying, providing or authorizing the provision of money or anything else of value, directly or indirectly, to any foreign official, political party candidate or certain other persons (including health care professionals of state-funded hospitals) for the purpose of influencing any act or decision of the foreign entity in order to assist the individual or business in obtaining, retaining or directing business. The FCPA also obligates companies whose securities are listed in the United States to comply with accounting provisions requiring them to maintain books and records that accurately and fairly reflect all transactions of the corporation, including international subsidiaries, and to devise and maintain an adequate system of internal accounting controls for domestic and international operations. Activities that violate the FCPA, even if they occur wholly outside the United States, can result in criminal and civil fines, imprisonment, disgorgement, oversight, and debarment from government contracts. In addition, several other domestic and international anti-corruption or anti-bribery laws within and outside the United States apply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Security and Breach Notification</w:t>
      </w:r>
    </w:p>
    <w:p>
      <w:pPr>
        <w:spacing w:after="0" w:line="18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Other federal and state laws and regulations restrict or otherwise impact our business practices. These laws include, without limitation, data privacy, security and breach notification authorities.</w:t>
      </w:r>
    </w:p>
    <w:p>
      <w:pPr>
        <w:spacing w:after="0" w:line="150"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8"/>
          <w:szCs w:val="18"/>
          <w:color w:val="auto"/>
        </w:rPr>
        <w:t>HIPAA, as amended by HITECH, requires health plans, certain healthcare providers and healthcare clearinghouses, referred to as “Covered Entities,” to protect the privacy and security of certain types of health information, referred to as protected health information (“PHI”). HIPAA also imposes various requirements on “Business Associates” — entities performing services for, or on behalf of, a Covered Entity that has access to the Covered Entity’s PHI in connection with providing those services as well as their covered subcontractors. Three key sets of federal regulations implementing HIPAA — the Privacy, Security Breach Notification and Omnibus Rules (collectively, “HIPAA Rules”) set forth a number of standards that Covered Entities and Business Associates must meet with respect to protecting the privacy and security of PHI. HIPAA also regulates standardization of data content, codes and formats used in healthcare transactions and standardization of identifiers for health plans and providers.</w:t>
      </w:r>
    </w:p>
    <w:p>
      <w:pPr>
        <w:spacing w:after="0" w:line="160" w:lineRule="exact"/>
        <w:rPr>
          <w:sz w:val="20"/>
          <w:szCs w:val="20"/>
          <w:color w:val="auto"/>
        </w:rPr>
      </w:pPr>
    </w:p>
    <w:p>
      <w:pPr>
        <w:jc w:val="both"/>
        <w:ind w:right="140"/>
        <w:spacing w:after="0" w:line="249" w:lineRule="auto"/>
        <w:rPr>
          <w:sz w:val="20"/>
          <w:szCs w:val="20"/>
          <w:color w:val="auto"/>
        </w:rPr>
      </w:pPr>
      <w:r>
        <w:rPr>
          <w:rFonts w:ascii="Times New Roman" w:cs="Times New Roman" w:eastAsia="Times New Roman" w:hAnsi="Times New Roman"/>
          <w:sz w:val="17"/>
          <w:szCs w:val="17"/>
          <w:color w:val="auto"/>
        </w:rPr>
        <w:t>Our customers are Covered Entities under HIPAA, and, in some cases, Heartflow may be considered a Business Associate to such Covered Entities when they pay Heartflow for certain services that involve the sharing of PHI with Heartflow. When Heartflow bills payors directly for the services, Heartflow is acting as a Covered Entity. Whether acting as a Business Associate, covered subcontractor, or a Covered Entity, Heartflow has obligations to comply with HIPAA and the HIPAA Rules, and either contractual obligations to its Covered Entity Customers or statutory and contractual obligations to ensure that any sub-Business Associates comply. This requires risk assessments and a wide range of compliance policies, procedures and practices to safeguard.</w:t>
      </w:r>
    </w:p>
    <w:p>
      <w:pPr>
        <w:spacing w:after="0" w:line="135"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Penalties for violations of HIPAA regulations include civil and criminal penalties. Our failure to comply with HIPAA could result in significant criminal and civil penalties and other damages which could adversely affect our results of operations, financial position or cashflows. We have developed and implemented processes designed to comply with HIPAA and are continuing to assess the need for additional safeguards, policies, procedures, and programing and to develop them where necessary. The requirements under HIPAA may change periodically and could have an effect on our business operations if compliance becomes substantially more costly than under current requirements. Additionally, a breach of unsecured PHI, such as by employee error or an attack by an outsider, could have an adverse effect on our business in terms of potential penalties and corrective action required, in addition to reputational damage.</w:t>
      </w:r>
    </w:p>
    <w:p>
      <w:pPr>
        <w:spacing w:after="0" w:line="14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7"/>
          <w:szCs w:val="17"/>
          <w:color w:val="auto"/>
        </w:rPr>
        <w:t>In addition to HIPAA and other federal privacy regulations, there are a number of state laws governing privacy, confidentiality and security of health information that apply to our business. Most states also have authorities governing breach notification. New laws governing privacy, security, and breach notification may be adopted in the future as well. We have undertaken measures to comply with health information privacy requirements to which we know we are subject. However, we can provide no assurance that we are or will always remain in compliance with diverse and changing privacy, security, and breach notification requirements in all of the jurisdictions in which we do business. Failure to comply with privacy security or breach notification requirements could result in civil or criminal penalties, which could have an adverse effect on our business. Our failure to adequately protect personal or</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health related information could have an adverse effect on our business. A wide variety of provincial, state, national and international laws and regulations apply to the creation, collection, use, retention, protection, disclosure, transfer, and other processing of personal information, including protected health information. These data protection and privacy and security related laws and regulations are evolving and being tested in courts, and may result in ever increasing regulatory and public scrutiny and escalating levels of enforcement and sanctions. Our failure to comply with applicable laws and regulations, or to protect such data, could result in enforcement action against us, including fines, imprisonment of company officials and public censure, claims for damages by end customers and other affected individuals, damage to our reputation and loss of goodwill (both in relation to existing end customers and potential end customers), any of which could have an adverse effect on our operations, financial performance, and business. 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Even the perception of privacy concerns, whether or not valid, may harm our reputation and inhibit adoption of our product by current and future end customers.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84"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Current and future U.S. legislative proposals to further reform healthcare or reduce healthcare costs may result in low, or even no, reimbursement for our product, or for the procedures associated with the use of our product, or limit coverage of our product. The cost containment measures that payors and providers are instituting and the effect of any healthcare reform initiative implemented in the future could significantly reduce our revenues from the sale of our product. Alternatively, the shift away from fee-for-service agreements to capitated payment models supports the value of our product, as they are intended to reduce longitudinal resource utilization, which can be cost saving for both payors and providers.</w:t>
      </w:r>
    </w:p>
    <w:p>
      <w:pPr>
        <w:spacing w:after="0" w:line="15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The ACA was enacted in March 2010. As a U.S.-based company with anticipated sales in the United States, these healthcare reform laws will materially impact our business. Certain provisions of the ACA are still set to become effective in future years and the administrative agencies responsible for issuing regulations that implement some aspects of the laws have yet to do so.</w:t>
      </w:r>
    </w:p>
    <w:p>
      <w:pPr>
        <w:spacing w:after="0" w:line="15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There have been numerous legal challenges and Congressional actions and amendments to certain aspects of the ACA. For example, on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Additionally, on July 4, 2025, the annual reconciliation bill,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 Further, it is unclear whether there will be additional attempts to repeal the ACA outright or further pare back its subsidies and enrollment periods.</w:t>
      </w:r>
    </w:p>
    <w:p>
      <w:pPr>
        <w:spacing w:after="0" w:line="15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The uncertain fate of the ACA notwithstanding, we expect that the ACA, as well as other healthcare reform measures that may be adopted in the future, particularly in light of the recent changes in the White House and Congress, may result in more rigorous coverage criteria and in additional downward pressure on the price that we may receive for our products. Any reduction in payments from Medicare or other government programs may result in a similar reduction in payments from private payors. The implementation of cost containment measures or other healthcare reforms may prevent us from being able to generate additional revenue or attain profitability.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84"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As of December 31, 2025, we had 843 full-time employees globally. We believe the success of our business will depend, in part, on our ability to attract and retain qualified personnel, in particular highly skilled technology</w:t>
      </w: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Our employees are not subject to a collective bargaining agreement, and we believe that we have good relations with our employees.</w:t>
      </w:r>
    </w:p>
    <w:p>
      <w:pPr>
        <w:spacing w:after="0" w:line="180"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Our human capital resources objectives include attracting and retaining top talent, investing in our talent with leadership development and job-related technical training, and increasing diverse representation in our employee base through inclusivity initiatives that build on our culture of inclusion and belonging. The principal purposes of our equity incentive plans are to attract, retain and motivate employees, consultants and directors through the granting of stock-based compensation awards and cash-based performance bonus awards.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2007. On March 1, 2021, we completed an internal reorganization in which a newly formed parent holding company was put in place. The previous holders of our common stock and preferred securities became holders of common stock and preferred securities of HeartFlow Holding, Inc. The equity incentive plan, outstanding equity awards, outstanding warrants and certain other equity-related agreements of HeartFlow, Inc. were assumed by HeartFlow Holding, Inc. Our operations and business activities remained at HeartFlow, Inc., and the wholly-owned non-U.S. subsidiaries of HeartFlow, Inc. remained in place. On July 17, 2025, we consolidated HeartFlow Holding, Inc. into HeartFlow, Inc. and the previous holders of HeartFlow Holding, Inc. common stock and preferred securities became holders of our common stock and preferred securities and the equity incentive plan, outstanding equity awards, outstanding warrants and certain other equity-related agreements of HeartFlow Holding, Inc. were assumed by us. In connection with this consolidation, we changed our name to Heartflow, Inc. Our principal executive offices are located at 331 E. Evelyn Avenue, Mountain View, California 94041, and our telephone number is (650) 241-1221. Our corporate website address is www.heartflow.com. Information contained on, or accessible through, our website shall not be deemed incorporated into and is not a part of this Annual Report or the registration statement of which it forms a part. We have included our website in this Annual Report solely as an inactive textual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4"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8"/>
          <w:szCs w:val="18"/>
          <w:color w:val="auto"/>
        </w:rPr>
        <w:t>Our primary Internet address is http://www.heartflow.com. We make our U.S. Securities and Exchange Commission (“SEC”) periodic reports (Forms 10-Q and Forms 10-K) and current reports (Forms 8-K) available free of charge through our website as soon as reasonably practicable after they are filed electronically with the SEC. The content of our website is not incorporated by reference into this Annual Report on Form 10-K or into any other report or document we file with the SEC, and any references to our websites are intended to be inactive textual references only.</w:t>
      </w:r>
    </w:p>
    <w:p>
      <w:pPr>
        <w:spacing w:after="0" w:line="15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The SEC also maintains an Internet website at http://www.sec.gov that contains reports, proxy and information statements, and other information that we file electronically with the SEC.</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8"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before deciding whether to invest in, hold or sell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 Please also see the section titled “Special Note Regarding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3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following risks and uncertainties included in this subsection are among the most significant we face and are qualified in their entirety by reference to all of the risk factors as further described in this Item 1A.</w:t>
      </w:r>
    </w:p>
    <w:p>
      <w:pPr>
        <w:ind w:left="320" w:right="100" w:hanging="313"/>
        <w:spacing w:after="0" w:line="232" w:lineRule="auto"/>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We have incurred significant net losses since our inception, we expect to incur additional substantial losses in the foreseeable future and we may not be able to achieve or sustain profitability.</w:t>
      </w:r>
    </w:p>
    <w:p>
      <w:pPr>
        <w:spacing w:after="0" w:line="1" w:lineRule="exact"/>
        <w:rPr>
          <w:rFonts w:ascii="Arial" w:cs="Arial" w:eastAsia="Arial" w:hAnsi="Arial"/>
          <w:sz w:val="18"/>
          <w:szCs w:val="18"/>
          <w:color w:val="auto"/>
        </w:rPr>
      </w:pPr>
    </w:p>
    <w:p>
      <w:pPr>
        <w:ind w:left="320" w:hanging="313"/>
        <w:spacing w:after="0" w:line="246" w:lineRule="auto"/>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Our revenue is currently generated almost entirely from the sales of only one product,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and we are therefore highly dependent on the success of this product, which makes it difficult to evaluate our current business, predict our future prospects and forecast our financial performance and any growth.</w:t>
      </w:r>
    </w:p>
    <w:p>
      <w:pPr>
        <w:spacing w:after="0" w:line="96" w:lineRule="exact"/>
        <w:rPr>
          <w:rFonts w:ascii="Arial" w:cs="Arial" w:eastAsia="Arial" w:hAnsi="Arial"/>
          <w:sz w:val="18"/>
          <w:szCs w:val="18"/>
          <w:color w:val="auto"/>
        </w:rPr>
      </w:pPr>
    </w:p>
    <w:p>
      <w:pPr>
        <w:ind w:left="320" w:right="380" w:hanging="313"/>
        <w:spacing w:after="0" w:line="245" w:lineRule="auto"/>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If healthcare providers are unwilling to change their standard practice regarding the evaluation of CAD, our business, financial condition, results of operations and prospects will be adversely affected.</w:t>
      </w:r>
    </w:p>
    <w:p>
      <w:pPr>
        <w:spacing w:after="0" w:line="97" w:lineRule="exact"/>
        <w:rPr>
          <w:rFonts w:ascii="Arial" w:cs="Arial" w:eastAsia="Arial" w:hAnsi="Arial"/>
          <w:sz w:val="18"/>
          <w:szCs w:val="18"/>
          <w:color w:val="auto"/>
        </w:rPr>
      </w:pPr>
    </w:p>
    <w:p>
      <w:pPr>
        <w:ind w:left="320" w:hanging="313"/>
        <w:spacing w:after="0" w:line="239" w:lineRule="auto"/>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If third-party payors, including government payors, do not cover and provide adequate reimbursement for the Heartflow Platform, or if existing payment amounts are reduced or coding policies change, adoption of the Heartflow Platform by healthcare providers may be negatively impacted, and our business, financial condition, results of operations and prospects will be adversely affected.</w:t>
      </w:r>
    </w:p>
    <w:p>
      <w:pPr>
        <w:spacing w:after="0" w:line="102" w:lineRule="exact"/>
        <w:rPr>
          <w:rFonts w:ascii="Arial" w:cs="Arial" w:eastAsia="Arial" w:hAnsi="Arial"/>
          <w:sz w:val="18"/>
          <w:szCs w:val="18"/>
          <w:color w:val="auto"/>
        </w:rPr>
      </w:pPr>
    </w:p>
    <w:p>
      <w:pPr>
        <w:ind w:left="320" w:hanging="313"/>
        <w:spacing w:after="0"/>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We face risks associated with a concentrated customer base.</w:t>
      </w:r>
    </w:p>
    <w:p>
      <w:pPr>
        <w:spacing w:after="0" w:line="126" w:lineRule="exact"/>
        <w:rPr>
          <w:rFonts w:ascii="Arial" w:cs="Arial" w:eastAsia="Arial" w:hAnsi="Arial"/>
          <w:sz w:val="18"/>
          <w:szCs w:val="18"/>
          <w:color w:val="auto"/>
        </w:rPr>
      </w:pPr>
    </w:p>
    <w:p>
      <w:pPr>
        <w:ind w:left="320" w:right="200" w:hanging="313"/>
        <w:spacing w:after="0" w:line="260" w:lineRule="auto"/>
        <w:tabs>
          <w:tab w:leader="none" w:pos="32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We face significant competition in an environment of rapid technological change, and there is a possibility that our competitors may develop products that are more effective, accurate, reliable, cost-effective or more advanced than ours, which may harm our financial condition. If we are unable to compete successfully or our potential market share is reduced, we may be unable to increase or sustain our revenue or achieve profitability.</w:t>
      </w:r>
    </w:p>
    <w:p>
      <w:pPr>
        <w:spacing w:after="0" w:line="85" w:lineRule="exact"/>
        <w:rPr>
          <w:rFonts w:ascii="Arial" w:cs="Arial" w:eastAsia="Arial" w:hAnsi="Arial"/>
          <w:sz w:val="17"/>
          <w:szCs w:val="17"/>
          <w:color w:val="auto"/>
        </w:rPr>
      </w:pPr>
    </w:p>
    <w:p>
      <w:pPr>
        <w:ind w:left="320" w:right="400" w:hanging="313"/>
        <w:spacing w:after="0" w:line="245" w:lineRule="auto"/>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commercialization of Heartflow Plaque Analysis is nascent, and we may not be able to achieve or maintain sufficient market acceptance or the levels of utilization we expect from Heartflow Plaque Analysis or any other future product.</w:t>
      </w:r>
    </w:p>
    <w:p>
      <w:pPr>
        <w:spacing w:after="0" w:line="97" w:lineRule="exact"/>
        <w:rPr>
          <w:rFonts w:ascii="Arial" w:cs="Arial" w:eastAsia="Arial" w:hAnsi="Arial"/>
          <w:sz w:val="18"/>
          <w:szCs w:val="18"/>
          <w:color w:val="auto"/>
        </w:rPr>
      </w:pPr>
    </w:p>
    <w:p>
      <w:pPr>
        <w:ind w:left="320" w:right="180" w:hanging="313"/>
        <w:spacing w:after="0" w:line="261" w:lineRule="auto"/>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We face risks associated with our use and development of AI models, which may result in operational challenges, legal liability, reputational concerns and competitive risks.</w:t>
      </w:r>
    </w:p>
    <w:p>
      <w:pPr>
        <w:spacing w:after="0" w:line="83" w:lineRule="exact"/>
        <w:rPr>
          <w:rFonts w:ascii="Arial" w:cs="Arial" w:eastAsia="Arial" w:hAnsi="Arial"/>
          <w:sz w:val="18"/>
          <w:szCs w:val="18"/>
          <w:color w:val="auto"/>
        </w:rPr>
      </w:pPr>
    </w:p>
    <w:p>
      <w:pPr>
        <w:ind w:left="320" w:hanging="313"/>
        <w:spacing w:after="0"/>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If we fail to properly manage our future growth, our business could suffer.</w:t>
      </w:r>
    </w:p>
    <w:p>
      <w:pPr>
        <w:spacing w:after="0" w:line="126" w:lineRule="exact"/>
        <w:rPr>
          <w:rFonts w:ascii="Arial" w:cs="Arial" w:eastAsia="Arial" w:hAnsi="Arial"/>
          <w:sz w:val="18"/>
          <w:szCs w:val="18"/>
          <w:color w:val="auto"/>
        </w:rPr>
      </w:pPr>
    </w:p>
    <w:p>
      <w:pPr>
        <w:ind w:left="320" w:hanging="313"/>
        <w:spacing w:after="0"/>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Our business could be disrupted by catastrophic events.</w:t>
      </w:r>
    </w:p>
    <w:p>
      <w:pPr>
        <w:spacing w:after="0" w:line="126" w:lineRule="exact"/>
        <w:rPr>
          <w:rFonts w:ascii="Arial" w:cs="Arial" w:eastAsia="Arial" w:hAnsi="Arial"/>
          <w:sz w:val="18"/>
          <w:szCs w:val="18"/>
          <w:color w:val="auto"/>
        </w:rPr>
      </w:pPr>
    </w:p>
    <w:p>
      <w:pPr>
        <w:ind w:left="320" w:right="400" w:hanging="313"/>
        <w:spacing w:after="0" w:line="245" w:lineRule="auto"/>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We depend on our information technology systems, and any failure of these systems could harm our business and adversely affect our business and operating results.</w:t>
      </w:r>
    </w:p>
    <w:p>
      <w:pPr>
        <w:spacing w:after="0" w:line="97" w:lineRule="exact"/>
        <w:rPr>
          <w:rFonts w:ascii="Arial" w:cs="Arial" w:eastAsia="Arial" w:hAnsi="Arial"/>
          <w:sz w:val="18"/>
          <w:szCs w:val="18"/>
          <w:color w:val="auto"/>
        </w:rPr>
      </w:pPr>
    </w:p>
    <w:p>
      <w:pPr>
        <w:ind w:left="320" w:right="520" w:hanging="313"/>
        <w:spacing w:after="0" w:line="261" w:lineRule="auto"/>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Our networks and those of our third-party service providers may become the target of bad actors or security breaches that we cannot anticipate or successfully defend, which could have an adverse impact on our business.</w:t>
      </w:r>
    </w:p>
    <w:p>
      <w:pPr>
        <w:spacing w:after="0" w:line="83" w:lineRule="exact"/>
        <w:rPr>
          <w:rFonts w:ascii="Arial" w:cs="Arial" w:eastAsia="Arial" w:hAnsi="Arial"/>
          <w:sz w:val="18"/>
          <w:szCs w:val="18"/>
          <w:color w:val="auto"/>
        </w:rPr>
      </w:pPr>
    </w:p>
    <w:p>
      <w:pPr>
        <w:ind w:left="320" w:right="40" w:hanging="313"/>
        <w:spacing w:after="0" w:line="239" w:lineRule="auto"/>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We face extensive regulatory requirements to bring our products to market, and our failure to receive and maintain regulatory clearances or approvals of our current and future products in the United States or abroad or to comply with medical device regulatory requirements could adversely affect our business.</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both"/>
        <w:ind w:left="320" w:right="460" w:hanging="313"/>
        <w:spacing w:after="0" w:line="239" w:lineRule="auto"/>
        <w:tabs>
          <w:tab w:leader="none" w:pos="3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If we are unable to obtain and maintain sufficient intellectual property rights, or the scope of our rights is not sufficiently broad, third parties could develop and commercialize technology and products similar or identical to ours, and our ability to successfully commercialize our technology and products may be adversely affected.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we expect to incur additional substantial losses in the foreseeable future and we may not be able to achieve or sustain profitability.</w:t>
      </w:r>
    </w:p>
    <w:p>
      <w:pPr>
        <w:spacing w:after="0" w:line="133" w:lineRule="exact"/>
        <w:rPr>
          <w:sz w:val="20"/>
          <w:szCs w:val="20"/>
          <w:color w:val="auto"/>
        </w:rPr>
      </w:pPr>
    </w:p>
    <w:p>
      <w:pPr>
        <w:ind w:right="340"/>
        <w:spacing w:after="0" w:line="230"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in 2007, and we expect to incur additional substantial losses in the foreseeable future. For the fiscal years ended December 31, 2025, 2024 and 2023, we incurred net losses of $116.8 million, $96.4 million and $95.7 million, respectively. As of December 31, 2025 and 2024, we had an accumulated deficit of $1.1 billion and $971.0 million, respectively. Since inception, we have spent significant amounts of cash to develop the Heartflow Platform, to fund research and development, including our preclinical research and development activities and clinical trials related to our products, to scale our commercial operations and to recruit and retain key talent.</w:t>
      </w:r>
    </w:p>
    <w:p>
      <w:pPr>
        <w:spacing w:after="0" w:line="157"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and year to year, such that a period-to-period comparison of our results of operations may not be a good indication of our future performance. We expect to continue to incur significant research and development, sales and marketing, regulatory and other expenses as we expand our marketing efforts to increase adoption of our products, expand existing relationships with our customers, obtain regulatory clearances or approvals for our planned or future products, conduct clinical trials to extend applicability of our platform into new indications or to develop new products or add new features to our existing products. The investments in our business may be more costly than we expect, and if we do not achieve the benefits anticipated from these investments, or if the realization of these benefits is delayed, they may not result in increased revenue or growth in our business. In addition to the anticipated costs of growing our business, we expect our general and administrative expenses to increase due to the additional costs of being a public company. If our revenue growth does not increase to more than offset the anticipated increases in our operating expenses, we may not be able to achieve or sustain profitability and our business, financial condition, results of operations and prospects will be harmed.</w:t>
      </w:r>
    </w:p>
    <w:p>
      <w:pPr>
        <w:spacing w:after="0" w:line="161" w:lineRule="exact"/>
        <w:rPr>
          <w:sz w:val="20"/>
          <w:szCs w:val="20"/>
          <w:color w:val="auto"/>
        </w:rPr>
      </w:pPr>
    </w:p>
    <w:p>
      <w:pPr>
        <w:ind w:right="120"/>
        <w:spacing w:after="0" w:line="207" w:lineRule="auto"/>
        <w:rPr>
          <w:sz w:val="20"/>
          <w:szCs w:val="20"/>
          <w:color w:val="auto"/>
        </w:rPr>
      </w:pPr>
      <w:r>
        <w:rPr>
          <w:rFonts w:ascii="Times New Roman" w:cs="Times New Roman" w:eastAsia="Times New Roman" w:hAnsi="Times New Roman"/>
          <w:sz w:val="17"/>
          <w:szCs w:val="17"/>
          <w:color w:val="auto"/>
        </w:rPr>
        <w:t>In addition, our revenue may decline or our revenue growth, if any, may be constrained. Our ability to increase sales is uncertain, and we may never be able to achieve or sustain profitability for many reasons, including that: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may not achieve widespread adoption among healthcare</w:t>
      </w:r>
    </w:p>
    <w:p>
      <w:pPr>
        <w:spacing w:after="0" w:line="183" w:lineRule="auto"/>
        <w:rPr>
          <w:sz w:val="20"/>
          <w:szCs w:val="20"/>
          <w:color w:val="auto"/>
        </w:rPr>
      </w:pPr>
      <w:r>
        <w:rPr>
          <w:rFonts w:ascii="Times New Roman" w:cs="Times New Roman" w:eastAsia="Times New Roman" w:hAnsi="Times New Roman"/>
          <w:sz w:val="16"/>
          <w:szCs w:val="16"/>
          <w:color w:val="auto"/>
        </w:rPr>
        <w:t>providers and we may be unable to increase revenue generated from sales of our Heartflow FFR</w:t>
      </w:r>
      <w:r>
        <w:rPr>
          <w:rFonts w:ascii="Times New Roman" w:cs="Times New Roman" w:eastAsia="Times New Roman" w:hAnsi="Times New Roman"/>
          <w:sz w:val="26"/>
          <w:szCs w:val="26"/>
          <w:color w:val="auto"/>
          <w:vertAlign w:val="subscript"/>
        </w:rPr>
        <w:t>CT</w:t>
      </w:r>
      <w:r>
        <w:rPr>
          <w:rFonts w:ascii="Times New Roman" w:cs="Times New Roman" w:eastAsia="Times New Roman" w:hAnsi="Times New Roman"/>
          <w:sz w:val="16"/>
          <w:szCs w:val="16"/>
          <w:color w:val="auto"/>
        </w:rPr>
        <w:t xml:space="preserve"> Analysis; our Heartflow Plaque Analysis may not achieve</w:t>
      </w:r>
    </w:p>
    <w:p>
      <w:pPr>
        <w:ind w:right="20"/>
        <w:spacing w:after="0" w:line="226" w:lineRule="auto"/>
        <w:rPr>
          <w:sz w:val="20"/>
          <w:szCs w:val="20"/>
          <w:color w:val="auto"/>
        </w:rPr>
      </w:pPr>
      <w:r>
        <w:rPr>
          <w:rFonts w:ascii="Times New Roman" w:cs="Times New Roman" w:eastAsia="Times New Roman" w:hAnsi="Times New Roman"/>
          <w:sz w:val="17"/>
          <w:szCs w:val="17"/>
          <w:color w:val="auto"/>
        </w:rPr>
        <w:t>widespread adoption among healthcare providers and we may be unable to generate sufficient revenue from sales of our Heartflow Plaque Analysis; payors, such as insurance companies and government insurance programs, may decide not to reimburse for our products, may set the amount of such reimbursement too low or may reduce the amount of such reimbursement; healthcare industry trends, including growth in CCTA usage, may move in directions that do not allow for adoption of our products or that do not provide adequate incentives for the adoption of our products; competitors may develop or acquire a product that successfully competes with ours; manufacturers of CT scanners may partner with our competitors or develop or acquire a competing product and integrate one or more products that successfully competes with ours; we may not be able to obtain regulatory approval for future versions of our products (including improved versions of our AI algorithms), new indications for use of our products or other future products; and there may be changes in existing or anticipated clinical guidelines, including the current ACC and AHA Class 1, Level A guidelines for CCTA and Class 2a, Level B guidelines for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for certain patients with stable or acute chest pain and no known CAD, or the timing of adoption of positive clinical guidelines that support</w:t>
      </w:r>
    </w:p>
    <w:p>
      <w:pPr>
        <w:spacing w:after="0" w:line="181" w:lineRule="auto"/>
        <w:rPr>
          <w:sz w:val="20"/>
          <w:szCs w:val="20"/>
          <w:color w:val="auto"/>
        </w:rPr>
      </w:pPr>
      <w:r>
        <w:rPr>
          <w:rFonts w:ascii="Times New Roman" w:cs="Times New Roman" w:eastAsia="Times New Roman" w:hAnsi="Times New Roman"/>
          <w:sz w:val="17"/>
          <w:szCs w:val="17"/>
          <w:color w:val="auto"/>
        </w:rPr>
        <w:t>the use of the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w:t>
      </w:r>
    </w:p>
    <w:p>
      <w:pPr>
        <w:spacing w:after="0" w:line="165"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Because of these and the other risks and uncertainties described in this Annual Report, we are unable to predict the extent to which we will be able to increase sales, if at all, or the timing for when or the extent to which we will become profitable, if ever. We will need to generate significant additional revenue to achieve and sustain profitability, and even if we do achieve profitability, we may not be able to sustain or increase profitability. Our failure to become and remain profitable would depress the value of our company and our stock price and could impair our ability to raise capital, fund our research and development efforts, expand our business, diversify our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color w:val="auto"/>
        </w:rPr>
        <w:t>product offerings or continue our operations. A decline in the value of our company could cause you to lose all or part of your investment.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is currently generated almost entirely from the sales of only one product, Heartflow FFR</w:t>
      </w:r>
      <w:r>
        <w:rPr>
          <w:rFonts w:ascii="Times New Roman" w:cs="Times New Roman" w:eastAsia="Times New Roman" w:hAnsi="Times New Roman"/>
          <w:sz w:val="29"/>
          <w:szCs w:val="29"/>
          <w:b w:val="1"/>
          <w:bCs w:val="1"/>
          <w:i w:val="1"/>
          <w:iCs w:val="1"/>
          <w:color w:val="auto"/>
          <w:vertAlign w:val="subscript"/>
        </w:rPr>
        <w:t>CT</w:t>
      </w:r>
      <w:r>
        <w:rPr>
          <w:rFonts w:ascii="Times New Roman" w:cs="Times New Roman" w:eastAsia="Times New Roman" w:hAnsi="Times New Roman"/>
          <w:sz w:val="18"/>
          <w:szCs w:val="18"/>
          <w:b w:val="1"/>
          <w:bCs w:val="1"/>
          <w:i w:val="1"/>
          <w:iCs w:val="1"/>
          <w:color w:val="auto"/>
        </w:rPr>
        <w:t xml:space="preserve"> Analysis, and we are therefore highly</w:t>
      </w:r>
    </w:p>
    <w:p>
      <w:pPr>
        <w:spacing w:after="0" w:line="59" w:lineRule="exact"/>
        <w:rPr>
          <w:sz w:val="20"/>
          <w:szCs w:val="20"/>
          <w:color w:val="auto"/>
        </w:rPr>
      </w:pPr>
    </w:p>
    <w:p>
      <w:pPr>
        <w:ind w:right="66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dependent on the success of this product, which makes it difficult to evaluate our current business, predict our future prospects and forecast our financial performance and any growth.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represented 98% of our total revenue. In the second half of 2023, we began limited market</w:t>
      </w:r>
    </w:p>
    <w:p>
      <w:pPr>
        <w:spacing w:after="0" w:line="41" w:lineRule="exact"/>
        <w:rPr>
          <w:sz w:val="20"/>
          <w:szCs w:val="20"/>
          <w:color w:val="auto"/>
        </w:rPr>
      </w:pPr>
    </w:p>
    <w:p>
      <w:pPr>
        <w:ind w:right="180"/>
        <w:spacing w:after="0" w:line="198" w:lineRule="auto"/>
        <w:rPr>
          <w:sz w:val="20"/>
          <w:szCs w:val="20"/>
          <w:color w:val="auto"/>
        </w:rPr>
      </w:pPr>
      <w:r>
        <w:rPr>
          <w:rFonts w:ascii="Times New Roman" w:cs="Times New Roman" w:eastAsia="Times New Roman" w:hAnsi="Times New Roman"/>
          <w:sz w:val="17"/>
          <w:szCs w:val="17"/>
          <w:color w:val="auto"/>
        </w:rPr>
        <w:t>education efforts of our second product, Heartflow Plaque Analysis. Over the next several years, we expect to continue to devote a substantial amount of resources to increase sales of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also expand our commercialization efforts and drive increased adoption of our Heartflow</w:t>
      </w:r>
    </w:p>
    <w:p>
      <w:pPr>
        <w:spacing w:after="0" w:line="1" w:lineRule="exact"/>
        <w:rPr>
          <w:sz w:val="20"/>
          <w:szCs w:val="20"/>
          <w:color w:val="auto"/>
        </w:rPr>
      </w:pPr>
    </w:p>
    <w:p>
      <w:pPr>
        <w:jc w:val="both"/>
        <w:ind w:right="340"/>
        <w:spacing w:after="0" w:line="186" w:lineRule="auto"/>
        <w:rPr>
          <w:sz w:val="20"/>
          <w:szCs w:val="20"/>
          <w:color w:val="auto"/>
        </w:rPr>
      </w:pPr>
      <w:r>
        <w:rPr>
          <w:rFonts w:ascii="Times New Roman" w:cs="Times New Roman" w:eastAsia="Times New Roman" w:hAnsi="Times New Roman"/>
          <w:sz w:val="18"/>
          <w:szCs w:val="18"/>
          <w:color w:val="auto"/>
        </w:rPr>
        <w:t>Plaque Analysis. However, we may not succeed in increasing sales of our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or in increasing adoption of our Heartflow Plaque Analysis. We expect to continue to derive almost all of our revenue from sales of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for the foreseeable future, so we are highly dependent on its success.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because we plan to devote substantial resources to increase sales of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rely on it as our main source of revenue, any</w:t>
      </w:r>
    </w:p>
    <w:p>
      <w:pPr>
        <w:spacing w:after="0" w:line="66"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8"/>
          <w:szCs w:val="18"/>
          <w:color w:val="auto"/>
        </w:rPr>
        <w:t>factors that negatively impact these efforts, our Heartflow Plaque Analysis commercialization efforts or our ability to diversify our products would have a material adverse effect on our business, financial condition, results of operations and prospects.</w:t>
      </w:r>
    </w:p>
    <w:p>
      <w:pPr>
        <w:spacing w:after="0" w:line="15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Therefore, it is difficult to predict our future prospects and forecast our financial performance and any growth, and any such forecasts are inherently limited and subject to a number of uncertainties.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financial condition, results of operations and prospects could suffer.</w:t>
      </w:r>
    </w:p>
    <w:p>
      <w:pPr>
        <w:spacing w:after="0" w:line="154"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If healthcare providers are unwilling to change their standard practice regarding the evaluation of CAD, our business, financial condition, results of operations and prospects will be adversely affected.</w:t>
      </w:r>
    </w:p>
    <w:p>
      <w:pPr>
        <w:spacing w:after="0" w:line="145"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Our success depends on physicians, hospitals and other healthcare providers adopting and using the Heartflow Platform to aid in the evaluation of CAD. While we have had some recent success in achieving broader adoption of the Heartflow Platform, we have in the past faced, and may in the future face, challenges in achieving higher rates of adoption. Many healthcare providers have extensive experience with existing non-invasive tests for CAD and have established relationships with the companies that provide these tests or in some instances own or manage the equipment for these tests in their offices. Existing tests are performed in a high enough volume that healthcare providers generate sufficient revenue from their use and are well versed in their use, reimbursement and outcomes. The outcomes and workflow efficiencies that we believe our Heartflow Platform provides may not be valued by healthcare providers as highly as we expect or at all. In addition, healthcare providers have been, and may continue to be, slower to adopt or recommend our products because we have a more limited commercial track record and healthcare providers may feel they can generate more revenue from existing tests. Healthcare providers also may not find our clinical data compelling and may not recommend or use our products until they receive additional recommendations from other healthcare providers that our products have a clinical benefit, or at all.</w:t>
      </w:r>
    </w:p>
    <w:p>
      <w:pPr>
        <w:spacing w:after="0" w:line="144" w:lineRule="exact"/>
        <w:rPr>
          <w:sz w:val="20"/>
          <w:szCs w:val="20"/>
          <w:color w:val="auto"/>
        </w:rPr>
      </w:pPr>
    </w:p>
    <w:p>
      <w:pPr>
        <w:ind w:right="120"/>
        <w:spacing w:after="0" w:line="207" w:lineRule="auto"/>
        <w:rPr>
          <w:sz w:val="20"/>
          <w:szCs w:val="20"/>
          <w:color w:val="auto"/>
        </w:rPr>
      </w:pPr>
      <w:r>
        <w:rPr>
          <w:rFonts w:ascii="Times New Roman" w:cs="Times New Roman" w:eastAsia="Times New Roman" w:hAnsi="Times New Roman"/>
          <w:sz w:val="17"/>
          <w:szCs w:val="17"/>
          <w:color w:val="auto"/>
        </w:rPr>
        <w:t>In addition, the Heartflow Platform relies on healthcare providers following the ACC and AHA guidelines by referring certain patients with stable or acute chest pain and no known CAD to undergo a CCTA, with the CCTA images to be analyzed by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Although the ACC and AHA</w:t>
      </w:r>
    </w:p>
    <w:p>
      <w:pPr>
        <w:spacing w:after="0" w:line="180" w:lineRule="auto"/>
        <w:rPr>
          <w:sz w:val="20"/>
          <w:szCs w:val="20"/>
          <w:color w:val="auto"/>
        </w:rPr>
      </w:pPr>
      <w:r>
        <w:rPr>
          <w:rFonts w:ascii="Times New Roman" w:cs="Times New Roman" w:eastAsia="Times New Roman" w:hAnsi="Times New Roman"/>
          <w:sz w:val="17"/>
          <w:szCs w:val="17"/>
          <w:color w:val="auto"/>
        </w:rPr>
        <w:t>guidelines support CCTA plus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as the preferred pathway for diagnosing and managing CAD in certain patients with stable or</w:t>
      </w:r>
    </w:p>
    <w:p>
      <w:pPr>
        <w:spacing w:after="0"/>
        <w:rPr>
          <w:sz w:val="20"/>
          <w:szCs w:val="20"/>
          <w:color w:val="auto"/>
        </w:rPr>
      </w:pPr>
      <w:r>
        <w:rPr>
          <w:rFonts w:ascii="Times New Roman" w:cs="Times New Roman" w:eastAsia="Times New Roman" w:hAnsi="Times New Roman"/>
          <w:sz w:val="17"/>
          <w:szCs w:val="17"/>
          <w:color w:val="auto"/>
        </w:rPr>
        <w:t>acute chest pain and no known CAD, these guidelines may not be widely adopted by healthcare providers. Moreover, healthcare providers may choose not to adopt the Heartflow Platform if they are not able to obtain an adequate CCTA. Further, if future studies and trials or other events, including reimbursement rates of CCTA, adversely impact the rate of use of CCTAs in practice, then healthcare providers may be less willing to adopt a technology that uses CCTAs.</w:t>
      </w:r>
    </w:p>
    <w:p>
      <w:pPr>
        <w:spacing w:after="0" w:line="155"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color w:val="auto"/>
        </w:rPr>
        <w:t>Also, the Heartflow Platform may be more difficult than we expect to integrate into standard practice because a provider may be resistant to introduce our embedded information technology and workflow infrastructure. Due to</w:t>
      </w: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40"/>
        <w:spacing w:after="0" w:line="248" w:lineRule="auto"/>
        <w:rPr>
          <w:sz w:val="20"/>
          <w:szCs w:val="20"/>
          <w:color w:val="auto"/>
        </w:rPr>
      </w:pPr>
      <w:r>
        <w:rPr>
          <w:rFonts w:ascii="Times New Roman" w:cs="Times New Roman" w:eastAsia="Times New Roman" w:hAnsi="Times New Roman"/>
          <w:sz w:val="17"/>
          <w:szCs w:val="17"/>
          <w:color w:val="auto"/>
        </w:rPr>
        <w:t>different laws, policies and preferences of healthcare providers regarding patient privacy both in the United States and abroad, they may be averse to sending data externally (outside of their facility) or abroad. Furthermore, if healthcare providers using the Heartflow Platform experience what they perceive to be false negative result or imprecise readings, including due to user error, they may determine not to continue using our platform going forward.</w:t>
      </w:r>
    </w:p>
    <w:p>
      <w:pPr>
        <w:spacing w:after="0" w:line="149"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8"/>
          <w:szCs w:val="18"/>
          <w:color w:val="auto"/>
        </w:rPr>
        <w:t>We expect that addressing these and similar issues will require a significant amount of our time and resources, and if we are unsuccessful, we would be unable to achieve broader adoption of the Heartflow Platform by healthcare providers. If our products do not gain broader acceptance by healthcare providers, our business, financial condition, results of operations and prospects will be adversely affected.</w:t>
      </w:r>
    </w:p>
    <w:p>
      <w:pPr>
        <w:spacing w:after="0" w:line="15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including government payors, do not cover and provide adequate reimbursement for the Heartflow Platform, or if existing payment amounts are reduced or coding policies change, adoption of the Heartflow Platform by healthcare providers may be negatively impacted, and our business, financial condition, results of operations and prospects will be adversely affected.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grow sales and revenue from our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and to successfully commercialize our Heartflow Plaque Analysis depend, in</w:t>
      </w:r>
    </w:p>
    <w:p>
      <w:pPr>
        <w:spacing w:after="0" w:line="4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large part, on whether third-party payors, including private health insurers, managed care plans and government healthcare programs, such as Medicare and Medicaid, cover and adequately reimburse for the use of the Heartflow Platform and the underlying CCTA. Patients generally rely on payors to reimburse all or a significant part of treatment. As a result, appropriate coding, coverage determinations, and reimbursement levels are critical to the commercial success of the Heartflow Platform. Reimbursement is obtained from a variety of sources, including government sponsored and private health insurance plans, and varies by country and by region within some countries. These payors determine whether to provide coverage and payment for specific products and procedures.</w:t>
      </w:r>
    </w:p>
    <w:p>
      <w:pPr>
        <w:spacing w:after="0" w:line="153"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7"/>
          <w:szCs w:val="17"/>
          <w:color w:val="auto"/>
        </w:rPr>
        <w:t>In addition, payors continually review new technologies and can, without notice, change coverage parameters, deny coverage, bundle services, or reduce payment amounts. As a result, the coverage determination process is often time consuming and costly, with no assurance that coverage and adequate reimbursement will be obtained or remain stable in terms of payment or coverage. If payors change their reimbursement policies, or if the current Category I CPT codes related to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or future Category I CPT codes related to our Heartflow Plaque Analysis do not have favorable rates, reimbursement for the Heartflow Platform could be reduced to an amount that would make adoption of our Heartflow Platform challenging.</w:t>
      </w:r>
    </w:p>
    <w:p>
      <w:pPr>
        <w:spacing w:after="0" w:line="15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Moreover, physicians, hospitals and other healthcare providers may decline to adopt or reduce usage of the Heartflow Platform due to the economic impact a negative change in reimbursement may have on their business. Any resulting decline in utilization could lead to a significant loss of revenue, which would have a material adverse effect on our business, financial condition, results of operations, and prospects.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for our Heartflow Platform, which includes the separately billable services,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and Heartflow Plaque Analysis, is</w:t>
      </w:r>
    </w:p>
    <w:p>
      <w:pPr>
        <w:spacing w:after="0" w:line="41" w:lineRule="exact"/>
        <w:rPr>
          <w:sz w:val="20"/>
          <w:szCs w:val="20"/>
          <w:color w:val="auto"/>
        </w:rPr>
      </w:pPr>
    </w:p>
    <w:p>
      <w:pPr>
        <w:jc w:val="both"/>
        <w:ind w:right="100"/>
        <w:spacing w:after="0" w:line="215" w:lineRule="auto"/>
        <w:rPr>
          <w:sz w:val="20"/>
          <w:szCs w:val="20"/>
          <w:color w:val="auto"/>
        </w:rPr>
      </w:pPr>
      <w:r>
        <w:rPr>
          <w:rFonts w:ascii="Times New Roman" w:cs="Times New Roman" w:eastAsia="Times New Roman" w:hAnsi="Times New Roman"/>
          <w:sz w:val="17"/>
          <w:szCs w:val="17"/>
          <w:color w:val="auto"/>
        </w:rPr>
        <w:t>subject to periodic changes to reimbursement levels by government payors and private health insurers. For example, CMS adopts changes to reimbursement policies during the annual Medicare rulemaking process, which includes updates to Medicare payment levels to hospitals under the OPPS rule, and updates to Medicare payment rates to physician offices, independent diagnostic testing facilities, and freestanding imaging centers under the MPFS rule. In addition to risks associated with government reimbursement,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Heartflow Plaque Analysis technologies face reimbursement</w:t>
      </w:r>
    </w:p>
    <w:p>
      <w:pPr>
        <w:spacing w:after="0" w:line="1"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7"/>
          <w:szCs w:val="17"/>
          <w:color w:val="auto"/>
        </w:rPr>
        <w:t>uncertainty from commercial payors, such as UnitedHealthcare, Aetna, Cigna, Anthem, and regional Blue Cross Blue Shield plans. Such commercial payors routinely reassess their medical policies, coverage criteria and payment policies and rates, and may choose to deny coverage or payment, impose restrictive utilization management protocols (such as prior authorization), or reduce or bundle payment amounts based on internal cost-effectiveness assessments or evolving clinical guidelines. Even if Medicare maintains favorable reimbursement, commercial payors may independently determine whether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or Heartflow Plaque Analysis meets their plans’ medical necessity standards, which may vary among commercial payors.</w:t>
      </w:r>
    </w:p>
    <w:p>
      <w:pPr>
        <w:spacing w:after="0" w:line="166"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8"/>
          <w:szCs w:val="18"/>
          <w:color w:val="auto"/>
        </w:rPr>
        <w:t>As part of their participation in the Medicare program and in support of the annual rulemaking process, hospitals submit Medicare cost reports and report their charges for specific services provided in the hospital setting. These</w:t>
      </w: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2" w:lineRule="auto"/>
        <w:rPr>
          <w:sz w:val="20"/>
          <w:szCs w:val="20"/>
          <w:color w:val="auto"/>
        </w:rPr>
      </w:pPr>
      <w:r>
        <w:rPr>
          <w:rFonts w:ascii="Times New Roman" w:cs="Times New Roman" w:eastAsia="Times New Roman" w:hAnsi="Times New Roman"/>
          <w:sz w:val="17"/>
          <w:szCs w:val="17"/>
          <w:color w:val="auto"/>
        </w:rPr>
        <w:t>cost and charge data reported from hospitals can impact reimbursement rates because CMS uses that data to determine future Medicare reimbursement levels on an annual basis. In the aggregate, when costs associated with a specific service reported by the hospitals decrease, there is a risk that CMS will reduce the reimbursement rate proportionately. These lower reported costs can be a result of coding errors or erroneous denials of claims, the inclusion of lower-cost services within the APC, reductions in costs for services within the APC, or other similar issues. For example, in July 2025, CMS issued the proposed 2026 OPPS rule, which, if finalized as proposed, could result in a reduction of up to 15% in the Medicare reimbursement rate for the clinical APC that includes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along with other hospital services. CMS publishes final OPPS and MPFS rules in the fourth quarter each year. We cannot be sure</w:t>
      </w:r>
    </w:p>
    <w:p>
      <w:pPr>
        <w:spacing w:after="0" w:line="182" w:lineRule="auto"/>
        <w:rPr>
          <w:sz w:val="20"/>
          <w:szCs w:val="20"/>
          <w:color w:val="auto"/>
        </w:rPr>
      </w:pPr>
      <w:r>
        <w:rPr>
          <w:rFonts w:ascii="Times New Roman" w:cs="Times New Roman" w:eastAsia="Times New Roman" w:hAnsi="Times New Roman"/>
          <w:sz w:val="16"/>
          <w:szCs w:val="16"/>
          <w:color w:val="auto"/>
        </w:rPr>
        <w:t>at this time whether the proposed hospital reimbursement rate for Heartflow FFR</w:t>
      </w:r>
      <w:r>
        <w:rPr>
          <w:rFonts w:ascii="Times New Roman" w:cs="Times New Roman" w:eastAsia="Times New Roman" w:hAnsi="Times New Roman"/>
          <w:sz w:val="26"/>
          <w:szCs w:val="26"/>
          <w:color w:val="auto"/>
          <w:vertAlign w:val="subscript"/>
        </w:rPr>
        <w:t>CT</w:t>
      </w:r>
      <w:r>
        <w:rPr>
          <w:rFonts w:ascii="Times New Roman" w:cs="Times New Roman" w:eastAsia="Times New Roman" w:hAnsi="Times New Roman"/>
          <w:sz w:val="16"/>
          <w:szCs w:val="16"/>
          <w:color w:val="auto"/>
        </w:rPr>
        <w:t xml:space="preserve"> Analysis for 2026 will be finalized, modified, or if CMS will increase</w:t>
      </w:r>
    </w:p>
    <w:p>
      <w:pPr>
        <w:spacing w:after="0" w:line="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the rate back to 2025 levels. There is a risk that similar or other coding or claims issues may occur and lead CMS to lower the reimbursement rate for the Heartflow Platform for 2027 or in future years. In addition, we may not become aware of any such issues early enough to prevent any adverse impacts to the reimbursement for our products, and our ability to remedy any such issues may be limited by applicable laws, regulations or policies.</w:t>
      </w:r>
    </w:p>
    <w:p>
      <w:pPr>
        <w:spacing w:after="0" w:line="157"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7"/>
          <w:szCs w:val="17"/>
          <w:color w:val="auto"/>
        </w:rPr>
        <w:t>Given the evolving nature of the healthcare industry and ongoing healthcare cost reforms, we are and will continue to be subject to effects of changes in the level of reimbursement for our products. We cannot be sure that third-party payors will maintain the current level of coverage and/or payment to our customers for use of our existing products. A reduction in coverage or payment or change in policy by the Medicare program could cause some commercial third-party payors to implement similar reductions in their coverage or payment amounts for the Heartflow Platform. Unfavorable coverage or payment determinations at the national or local level could materially adversely affect our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a concentrated customer base.</w:t>
      </w:r>
    </w:p>
    <w:p>
      <w:pPr>
        <w:spacing w:after="0" w:line="184" w:lineRule="exact"/>
        <w:rPr>
          <w:sz w:val="20"/>
          <w:szCs w:val="20"/>
          <w:color w:val="auto"/>
        </w:rPr>
      </w:pPr>
    </w:p>
    <w:p>
      <w:pPr>
        <w:ind w:right="260"/>
        <w:spacing w:after="0" w:line="207" w:lineRule="auto"/>
        <w:rPr>
          <w:sz w:val="20"/>
          <w:szCs w:val="20"/>
          <w:color w:val="auto"/>
        </w:rPr>
      </w:pPr>
      <w:r>
        <w:rPr>
          <w:rFonts w:ascii="Times New Roman" w:cs="Times New Roman" w:eastAsia="Times New Roman" w:hAnsi="Times New Roman"/>
          <w:sz w:val="17"/>
          <w:szCs w:val="17"/>
          <w:color w:val="auto"/>
        </w:rPr>
        <w:t>Our Heartflow Platform had an installed base of more than 1,465 accounts in the United States as of December 31, 2025. We define an “account” as any individual facility that orders a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Heartflow Plaque Analysis, or both. We define an account as “new” if a unique facility begins</w:t>
      </w:r>
    </w:p>
    <w:p>
      <w:pPr>
        <w:spacing w:after="0" w:line="1" w:lineRule="exact"/>
        <w:rPr>
          <w:sz w:val="20"/>
          <w:szCs w:val="20"/>
          <w:color w:val="auto"/>
        </w:rPr>
      </w:pPr>
    </w:p>
    <w:p>
      <w:pPr>
        <w:ind w:right="180"/>
        <w:spacing w:after="0" w:line="209" w:lineRule="auto"/>
        <w:rPr>
          <w:sz w:val="20"/>
          <w:szCs w:val="20"/>
          <w:color w:val="auto"/>
        </w:rPr>
      </w:pPr>
      <w:r>
        <w:rPr>
          <w:rFonts w:ascii="Times New Roman" w:cs="Times New Roman" w:eastAsia="Times New Roman" w:hAnsi="Times New Roman"/>
          <w:sz w:val="18"/>
          <w:szCs w:val="18"/>
          <w:color w:val="auto"/>
        </w:rPr>
        <w:t>generating revenue cases for our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Plaque Analysis, or both. Accounts may have more than one reading physician or CT machine. Conversely, a “customer” can be either an individual account or a health or hospital system with multiple accounts. While a single customer may include multiple accounts, no single customer accounted for 10% or more of our revenue during the years ended December 31, 2025, 2024 and 2023. However, the decision-making function for some of these accounts is concentrated in a relatively small number of customers, such that the loss of one customer could result in a disproportionate loss across our accounts.</w:t>
      </w:r>
    </w:p>
    <w:p>
      <w:pPr>
        <w:spacing w:after="0" w:line="157"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8"/>
          <w:szCs w:val="18"/>
          <w:color w:val="auto"/>
        </w:rPr>
        <w:t>We cannot guarantee that we will continue to generate revenue from these customers, whether due to an increase in competition, new technologies, our customers’ ability to terminate their contracts with us or reduce order volumes, or other factors outside of our control. If we do not increase the number of our customers and drive increased use of the Heartflow Platform as the preferred non-invasive testing method for assessing CAD, we will continue to face risks associated with a more concentrated customer base.</w:t>
      </w:r>
    </w:p>
    <w:p>
      <w:pPr>
        <w:spacing w:after="0" w:line="158"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7"/>
          <w:szCs w:val="17"/>
          <w:color w:val="auto"/>
        </w:rPr>
        <w:t>Revenue from these customers may fluctuate from time to time due to demand for the Heartflow Platform, the timing of which may be affected by seasonality or other factors outside of our control such as CT scanner capacity, contrast availability and staffing availability. These customers could also potentially pressure us to reduce the prices we charge for the Heartflow Platform, which could have a material adverse effect on our margins and business. For example, during the year ended December 31, 2025, our average sales price was impacted by customer pricing contracts that included utilization and volume rebates and by changes in the mix of customer accounts, which is a trend we expect to continue in the near term, and it is possible that similar trends in customer pricing contracts may continue to have a negative impact on our average sales price in the future. In addition, if any of our largest customers terminates its relationship with us or otherwise reduces its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volumes for any reason, we may be unable to replace them with a customer who</w:t>
      </w:r>
    </w:p>
    <w:p>
      <w:pPr>
        <w:spacing w:after="0" w:line="2" w:lineRule="exact"/>
        <w:rPr>
          <w:sz w:val="20"/>
          <w:szCs w:val="20"/>
          <w:color w:val="auto"/>
        </w:rPr>
      </w:pPr>
    </w:p>
    <w:p>
      <w:pPr>
        <w:ind w:right="480"/>
        <w:spacing w:after="0" w:line="231" w:lineRule="auto"/>
        <w:rPr>
          <w:sz w:val="20"/>
          <w:szCs w:val="20"/>
          <w:color w:val="auto"/>
        </w:rPr>
      </w:pPr>
      <w:r>
        <w:rPr>
          <w:rFonts w:ascii="Times New Roman" w:cs="Times New Roman" w:eastAsia="Times New Roman" w:hAnsi="Times New Roman"/>
          <w:sz w:val="18"/>
          <w:szCs w:val="18"/>
          <w:color w:val="auto"/>
        </w:rPr>
        <w:t>refers a similar number of patients for the Heartflow Platform, and such termination or reduction in volume could have a material adverse effect on our business, financial condition, results of operations and prospects.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in an environment of rapid technological change, and there is a possibility that our competitors may develop products that are more effective, accurate, reliable, cost-effective or more advanced than ours, which may harm our financial condition. If we are unable to compete successfully or our potential market share is reduced, we may be unable to increase or sustain our revenue or achieve profitability.</w:t>
      </w:r>
    </w:p>
    <w:p>
      <w:pPr>
        <w:spacing w:after="0" w:line="123"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The medical technology industry is highly competitive, subject to rapid change and significantly affected by the introduction of new products and technologies and other activities of industry participants. Because of the size of the market opportunity for the treatment of CAD, we believe current and potential future competitors will dedicate significant resources to aggressively promote their products or develop new products or treatments. Our principal competition comes from companies that provide traditional non-invasive tests that aid physicians in the evaluation of CAD, such as SPECT, stress echocardiography and PET. Established, traditional non-invasive tests for CAD have been used for many years and are therefore difficult to change or supplement. Many of the companies that sell these traditional non-invasive tests or the equipment they require have established relationships with healthcare providers. One of the major hurdles to adoption of our products is overcoming established testing patterns, which requires education of physicians and supportive clinical data.</w:t>
      </w:r>
    </w:p>
    <w:p>
      <w:pPr>
        <w:spacing w:after="0" w:line="157"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8"/>
          <w:szCs w:val="18"/>
          <w:color w:val="auto"/>
        </w:rPr>
        <w:t>The companies that sell the traditional non-invasive tests for CAD include companies that offer: (i) cardiac specific tests to primary care and cardiology offices, such as manufacturers of capital equipment for stress echocardiography and SPECT, including GE Healthcare, Siemens Healthineers AG and Koninklijke Philips N.V.; and (ii) products used for the invasive FFR testing market.</w:t>
      </w:r>
    </w:p>
    <w:p>
      <w:pPr>
        <w:spacing w:after="0" w:line="14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7"/>
          <w:szCs w:val="17"/>
          <w:color w:val="auto"/>
        </w:rPr>
        <w:t>With the greater resources of some of these competitors and their more diversified product offerings, it is possible that they or other entrants into the market may develop competing products or technologies that could be more effective, accurate, reliable, cost-effective, more advanced or otherwise improved relative to the Heartflow Platform, which could render our products obsolete or less competitive. In addition, one or more competitors could develop and market an on-premise solution, which may be more appealing than our cloud-based offering. Moreover, new treatments, such as GLP-1s, may indirectly reduce stenosis or plaque build-up, which could reduce the market opportunity for non-invasive CAD tests and, as a result, our Heartflow Platform. In addition, we currently target our Heartflow Platform for use only on symptomatic patients and expanding the Heartflow Platform for asymptomatic patients may take years, with potential delays due to the high-risk nature of the effort. Our competitors who offer traditional non-invasive tests offer those tests to both symptomatic and asymptomatic patients, and this increased market penetration could create additional price pressure for our products.</w:t>
      </w:r>
    </w:p>
    <w:p>
      <w:pPr>
        <w:spacing w:after="0" w:line="15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7"/>
          <w:szCs w:val="17"/>
          <w:color w:val="auto"/>
        </w:rPr>
        <w:t>In addition, the field of cardiovascular genomics is subject to rapidly changing technology, and others may invent and commercialize technology platforms such as next generation sequencing approaches that could compete with our products or could make our products or any product we may sell in the future obsolete. We also face competition and price pressure from companies that have developed or are developing AI-based platforms that leverage CCTA to diagnose CAD, including earlier-stage companies such as Cleerly, Inc., Elucid Bioimaging Inc. and Keya Medical Technology Co., Ltd. We may also face competition from companies developing AI-based platforms, even if they are not currently in the CAD market and recent and future advances in AI may allow other companies to quickly create competing products, and they may be able to create such products less expensively and benefit from FDA and reimbursement approvals we and others have obtained. For us to remain competitive, we must continuously work on our products’ design and features, improve our algorithms, and invest in and develop new technologies, including in the rapidly evolving area of AI. If we are unable to introduce products, features and improvements aimed at increasing the value proposition of the Heartflow Platform for our customers, or if the products, features and improvements we introduce are viewed less favorably than our competitors’ products, we may be unable to compete successfully. If we are unable to compete successfully against our current or future competitors, we may be unable to increase market acceptance for our products, which could prevent us from increasing or sustaining our revenue or achieving profitability and could cause the market price of our common stock to decline.</w:t>
      </w:r>
    </w:p>
    <w:p>
      <w:pPr>
        <w:spacing w:after="0" w:line="16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In addition, the Heartflow Platform relies on a CCTA first being performed, as the Heartflow Platform requires a CT image from a CT scanner to perform its analysis. A number of companies manufacture CT scanners, including, among others, GE Healthcare, Hitachi, Ltd., Koninklijke Philips N.V., Samsung Electronics Co., Ltd., Siemens Healthineers AG and Canon Medical Systems Corporation. These companies are more diversified than we are and have substantial financial, manufacturing, sales and marketing distribution and other resources. Any of these companies or others could determine to develop, partner with or acquire and offer a product that competes with ours</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6" w:lineRule="auto"/>
        <w:rPr>
          <w:sz w:val="20"/>
          <w:szCs w:val="20"/>
          <w:color w:val="auto"/>
        </w:rPr>
      </w:pPr>
      <w:r>
        <w:rPr>
          <w:rFonts w:ascii="Times New Roman" w:cs="Times New Roman" w:eastAsia="Times New Roman" w:hAnsi="Times New Roman"/>
          <w:sz w:val="18"/>
          <w:szCs w:val="18"/>
          <w:color w:val="auto"/>
        </w:rPr>
        <w:t>or manufacture CT scanners that are no longer compatible with our Heartflow Platform. Further, these larger companies have market penetration in the CT scanner market and understand the market for CAD and, if they are able to develop, partner with or acquire a competing product, they may offer it as a bundle with the purchase of a CT scanner, which could prevent us from increasing or sustaining our revenue or achieving profitability. In the past, three of these companies, Siemens Healthineers AG, Koninklijke Philips N.V. and Canon Medical Systems Corporation, considered development of a local workstation-based technology prototype aimed at deriving CT-based blood flow data without an invasive procedure. If these companies decide to further pursue this technology and obtain regulatory approval or clinical validation, it may become competitive with our products. In addition, we are reliant on these third-party CCTAs and CT scanners continuing to support standard output file formats that our Heartflow Platform supports. If a CT manufacturer were to change to a proprietary format or develop a novel method of performing CT scans, we would need to further develop our existing technology to accommodate the images its scanners output, which could materially affect the ability of physicians to use the Heartflow Platform, increase our R&amp;D expenses, and could adversely affect our business, financial condition, results of operations and prospects.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 and expected growth of our addressable market may be smaller than we estimate.</w:t>
      </w:r>
    </w:p>
    <w:p>
      <w:pPr>
        <w:spacing w:after="0" w:line="17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8"/>
          <w:szCs w:val="18"/>
          <w:color w:val="auto"/>
        </w:rPr>
        <w:t>Our estimate of the addressable market for our current products and any future products is subject to significant uncertainty and is based on assumptions and estimates, including our internal analysis and industry experience. While we believe our assumptions and the data underlying our estimates are reasonable, these assumptions and estimates may not be correct. As a result, our estimates of the addressable market for our current or future products may prove to be incorrect. Moreover, our ability to serve a significant portion of this estimated market is subject to many factors, including our success in promoting the use of CCTA as a non-invasive diagnostic test that can be combined with the Heartflow Platform, which is subject to many risks and uncertainties, and relies on the availability and proximity of healthcare facilities with active CCTA programs to the patients in our estimated market. Accordingly, if we are unable to increase the use of CCTA at the rates we estimate, if the actual number of patients who would benefit from our products is less than we estimate, or if the price at which we can sell future products or the reimbursement rate received by healthcare providers is less than we estimate, the size and expected growth of our addressable market would be smaller than our estimates, which could have a material adverse effect on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the Heartflow Platform.</w:t>
      </w:r>
    </w:p>
    <w:p>
      <w:pPr>
        <w:spacing w:after="0" w:line="18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A part of our strategy is bringing new enhancements to our customers through updates to the Heartflow Platform, which may include offering new products, additional features, applications and improvements to our technology. We expect to make significant investments to advance these efforts, and enhancing the Heartflow Platform is a complex and time-consuming endeavor. New products, additional features, applications and improvements to our technology that initially show promise may fail to achieve the desired results or may not achieve acceptable levels of analytical accuracy, utility or user friendliness. Product development and improvement is expensive, may take months or years to complete and can have uncertain outcomes. Failure can occur at any stage of the development or improvement process and may occur only after substantial work has been completed, or after completion.</w:t>
      </w:r>
    </w:p>
    <w:p>
      <w:pPr>
        <w:spacing w:after="0" w:line="146"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Even if, after development, an updated product appears successful, we may, depending on the nature of the update, need to obtain regulatory clearances, authorizations or approvals before we can market the updated product. Such regulatory clearances, authorizations or approvals are likely to require significant time and expenditures and the applicable regulatory authority may not clear, authorize or approve any product, update or new product we develop. Obtaining such clearances, authorizations or approvals may require data from clinical trials, which can be costly and time-consuming to obtain. In certain jurisdictions or in certain cases, clinical data may also be required in order to obtain reimbursement coverage, and this clinical data may be in addition to data required to obtain regulatory clearances, authorizations or approvals. Some clinical studies may fail to meet their endpoints, introducing risk or delay in the ability to commercialize a new feature or product. In light of these requirements, we may choose to limit the scope of any new products, additional features, applications and improvements we seek to develop.</w:t>
      </w:r>
    </w:p>
    <w:p>
      <w:pPr>
        <w:spacing w:after="0" w:line="157"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8"/>
          <w:szCs w:val="18"/>
          <w:color w:val="auto"/>
        </w:rPr>
        <w:t>Even if we develop a product update or new product that receives regulatory clearance, authorization or approval, and for which we obtain sufficient commercial third party and government reimbursement coverage, we would need to commit substantial resources to commercialize and market the updated product, new product or new application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80"/>
        <w:spacing w:after="0" w:line="232" w:lineRule="auto"/>
        <w:rPr>
          <w:sz w:val="20"/>
          <w:szCs w:val="20"/>
          <w:color w:val="auto"/>
        </w:rPr>
      </w:pPr>
      <w:r>
        <w:rPr>
          <w:rFonts w:ascii="Times New Roman" w:cs="Times New Roman" w:eastAsia="Times New Roman" w:hAnsi="Times New Roman"/>
          <w:sz w:val="18"/>
          <w:szCs w:val="18"/>
          <w:color w:val="auto"/>
        </w:rPr>
        <w:t>of our existing product, which may never achieve market acceptance among various stakeholders or be commercially successful. Further, the applicable regulations or the application of those regulations could change in ways that would impact the Heartflow Platform and our ability to successfully manufacture or market our products. The expenses or losses associated with unsuccessful updates to or expansion of the Heartflow Platform could adversely affect our business, financial condition, results of operations and prospects.</w:t>
      </w:r>
    </w:p>
    <w:p>
      <w:pPr>
        <w:spacing w:after="0" w:line="1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The commercialization of Heartflow Plaque Analysis is nascent, and we may not be able to achieve or maintain sufficient market acceptance or the levels of utilization we expect from Heartflow Plaque Analysis or any other future product.</w:t>
      </w:r>
    </w:p>
    <w:p>
      <w:pPr>
        <w:spacing w:after="0" w:line="133"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We began limited market education efforts for our Heartflow Plaque Analysis in the second half of 2023, and we have generated very minimal revenue from this product. HeartFlow Plaque Analysis is covered by five of the seven MACs with the remaining MACs providing coverage on a case-by-case basis and by select commercial payors. However, the coverage criteria, timing, commercial payor reimbursement rates and availability of coverage are still evolving and may vary by payor and jurisdiction, and other payors may not adopt similar coverage policies. As a result, even with these developments, we may not be able to achieve customer acceptance or broad commercial reimbursement coverage, which could limit its adoption.</w:t>
      </w:r>
    </w:p>
    <w:p>
      <w:pPr>
        <w:spacing w:after="0" w:line="15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market for alternative plaque analysis products is competitive in terms of development, availability, pricing, product quality and time-to-market. We face competition from companies that provide or are developing similar plaque analysis products, which may distinguish themselves from us through, among other things, perceived product quality, style and visuals, sleek design, enhanced user-friendliness and innovative features. In addition, some of these competitors are agile, early-stage companies that may be able to respond more quickly and effectively than we can to new or changing opportunities, technologies, standards or customer requirements in the plaque analysis category. Some of these competitors commercially launched competing plaque analysis products prior to our launch of Heartflow Plaque Analysis and may have a first-mover advantage as a result. For more information on risks related to our competition, see the risk factor titled “We face significant competition in an environment of rapid technological change, and there is a possibility that our competitors may develop products that are more effective, accurate, reliable, cost-effective or more advanced than ours, which may harm our financial condition. If we are unable to compete successfully or our potential market share is reduced, we may be unable to increase or sustain our revenue or achieve profitability.”</w:t>
      </w:r>
    </w:p>
    <w:p>
      <w:pPr>
        <w:spacing w:after="0" w:line="161"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7"/>
          <w:szCs w:val="17"/>
          <w:color w:val="auto"/>
        </w:rPr>
        <w:t>Our competitors may also be able to offer plaque analysis products similar or superior to ours at a more attractive price than we can or may be better positioned to serve certain segments of our market, which could create additional price pressure. For example, our competitors have in the past, and may in the future, offer plaque analysis and other products at a more attractive price than we can such that current or potential customers may select our competitors’ products in lieu of purchasing and using our Heartflow Plaque Analysis. Moreover, our competitors have in the past, and may in the future, suggest that their plaque analysis and other products could replace both our Heartflow Plaque Analysis and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which would adversely affect our</w:t>
      </w:r>
    </w:p>
    <w:p>
      <w:pPr>
        <w:spacing w:after="0" w:line="1" w:lineRule="exact"/>
        <w:rPr>
          <w:sz w:val="20"/>
          <w:szCs w:val="20"/>
          <w:color w:val="auto"/>
        </w:rPr>
      </w:pPr>
    </w:p>
    <w:p>
      <w:pPr>
        <w:ind w:right="20"/>
        <w:spacing w:after="0" w:line="180" w:lineRule="auto"/>
        <w:rPr>
          <w:sz w:val="20"/>
          <w:szCs w:val="20"/>
          <w:color w:val="auto"/>
        </w:rPr>
      </w:pPr>
      <w:r>
        <w:rPr>
          <w:rFonts w:ascii="Times New Roman" w:cs="Times New Roman" w:eastAsia="Times New Roman" w:hAnsi="Times New Roman"/>
          <w:sz w:val="17"/>
          <w:szCs w:val="17"/>
          <w:color w:val="auto"/>
        </w:rPr>
        <w:t>ability to achieve sufficient market acceptance for our Heartflow Plaque Analysis, could affect sales of our Heartflow FFR</w:t>
      </w:r>
      <w:r>
        <w:rPr>
          <w:rFonts w:ascii="Times New Roman" w:cs="Times New Roman" w:eastAsia="Times New Roman" w:hAnsi="Times New Roman"/>
          <w:sz w:val="27"/>
          <w:szCs w:val="27"/>
          <w:color w:val="auto"/>
          <w:vertAlign w:val="subscript"/>
        </w:rPr>
        <w:t>CT</w:t>
      </w:r>
      <w:r>
        <w:rPr>
          <w:rFonts w:ascii="Times New Roman" w:cs="Times New Roman" w:eastAsia="Times New Roman" w:hAnsi="Times New Roman"/>
          <w:sz w:val="17"/>
          <w:szCs w:val="17"/>
          <w:color w:val="auto"/>
        </w:rPr>
        <w:t xml:space="preserve"> Analysis and could cause our Heartflow FFR</w:t>
      </w:r>
      <w:r>
        <w:rPr>
          <w:rFonts w:ascii="Times New Roman" w:cs="Times New Roman" w:eastAsia="Times New Roman" w:hAnsi="Times New Roman"/>
          <w:sz w:val="27"/>
          <w:szCs w:val="27"/>
          <w:color w:val="auto"/>
          <w:vertAlign w:val="subscript"/>
        </w:rPr>
        <w:t>CT</w:t>
      </w:r>
      <w:r>
        <w:rPr>
          <w:rFonts w:ascii="Times New Roman" w:cs="Times New Roman" w:eastAsia="Times New Roman" w:hAnsi="Times New Roman"/>
          <w:sz w:val="17"/>
          <w:szCs w:val="17"/>
          <w:color w:val="auto"/>
        </w:rPr>
        <w:t xml:space="preserve"> Analysis to lose market share. While we believe Heartflow Plaque Analysis represents a significant long-term opportunity for us, there can</w:t>
      </w:r>
    </w:p>
    <w:p>
      <w:pPr>
        <w:spacing w:after="0" w:line="2" w:lineRule="exact"/>
        <w:rPr>
          <w:sz w:val="20"/>
          <w:szCs w:val="20"/>
          <w:color w:val="auto"/>
        </w:rPr>
      </w:pPr>
    </w:p>
    <w:p>
      <w:pPr>
        <w:ind w:right="640"/>
        <w:spacing w:after="0" w:line="231" w:lineRule="auto"/>
        <w:rPr>
          <w:sz w:val="20"/>
          <w:szCs w:val="20"/>
          <w:color w:val="auto"/>
        </w:rPr>
      </w:pPr>
      <w:r>
        <w:rPr>
          <w:rFonts w:ascii="Times New Roman" w:cs="Times New Roman" w:eastAsia="Times New Roman" w:hAnsi="Times New Roman"/>
          <w:sz w:val="18"/>
          <w:szCs w:val="18"/>
          <w:color w:val="auto"/>
        </w:rPr>
        <w:t>be no assurances that we will successfully compete in such market and our business, financial condition, results of operations and prospects could be materially and adversely affected.</w:t>
      </w:r>
    </w:p>
    <w:p>
      <w:pPr>
        <w:spacing w:after="0" w:line="152"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use and development of AI models, which may result in operational challenges, legal liability, reputational concerns and competitive risks.</w:t>
      </w:r>
    </w:p>
    <w:p>
      <w:pPr>
        <w:spacing w:after="0" w:line="145"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We use and develop AI and automated analysis and decision-making technologies, including proprietary AI algorithms and models and computational fluid dynamics (collectively, “AI Technologies”) to power the Heartflow Platform. In addition, we use AI Technologies to drive improvements in the performance of the Heartflow Platform. We expect that significant increased investment will be required in the future to improve our use and development of AI Technologies.</w:t>
      </w:r>
    </w:p>
    <w:p>
      <w:pPr>
        <w:spacing w:after="0" w:line="15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In particular, if the AI Technologies underlying our Heartflow Platform are incorrectly</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180"/>
        <w:spacing w:after="0" w:line="226" w:lineRule="auto"/>
        <w:rPr>
          <w:sz w:val="20"/>
          <w:szCs w:val="20"/>
          <w:color w:val="auto"/>
        </w:rPr>
      </w:pPr>
      <w:r>
        <w:rPr>
          <w:rFonts w:ascii="Times New Roman" w:cs="Times New Roman" w:eastAsia="Times New Roman" w:hAnsi="Times New Roman"/>
          <w:sz w:val="18"/>
          <w:szCs w:val="18"/>
          <w:color w:val="auto"/>
        </w:rPr>
        <w:t>designed or implemented; trained or reliant on incomplete, inadequate, inaccurate or otherwise poor quality data; used without sufficient oversight and quality control; misused or used outside of scope of applicable regulatory authorizations; and/or adversely impacted by unforeseen bugs, defects, technical challenges, cybersecurity threats or material performance issues, the performance of our Heartflow Platform and business, as well as our reputation and the reputations of our customers, could suffer or we could incur liability resulting from the violation of laws or contracts to which we are a party, regulatory enforcement actions or civil claims. This could result in fines, penalties and damage awards and disgorgement of any output, development or technology developed as a result of such violations.</w:t>
      </w:r>
    </w:p>
    <w:p>
      <w:pPr>
        <w:spacing w:after="0" w:line="160" w:lineRule="exact"/>
        <w:rPr>
          <w:sz w:val="20"/>
          <w:szCs w:val="20"/>
          <w:color w:val="auto"/>
        </w:rPr>
      </w:pPr>
    </w:p>
    <w:p>
      <w:pPr>
        <w:jc w:val="both"/>
        <w:ind w:right="60"/>
        <w:spacing w:after="0" w:line="233" w:lineRule="auto"/>
        <w:rPr>
          <w:sz w:val="20"/>
          <w:szCs w:val="20"/>
          <w:color w:val="auto"/>
        </w:rPr>
      </w:pPr>
      <w:r>
        <w:rPr>
          <w:rFonts w:ascii="Times New Roman" w:cs="Times New Roman" w:eastAsia="Times New Roman" w:hAnsi="Times New Roman"/>
          <w:sz w:val="18"/>
          <w:szCs w:val="18"/>
          <w:color w:val="auto"/>
        </w:rPr>
        <w:t>In addition, we leverage a human-in-the-loop AI system that combines advanced algorithms with an analyst-based quality inspection and monitoring process to create patient-specific reports based on CCTA images. While we constantly work to improve our Heartflow Platform and algorithms, the AI Technologies we work with are novel and complex, and we cannot assure you that our AI Technologies will be able to perform as intended under all circumstances, or that our analyst-based review process will identify and correct any errors in the outputs of our AI Technologies.</w:t>
      </w:r>
    </w:p>
    <w:p>
      <w:pPr>
        <w:spacing w:after="0" w:line="158"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regulations and guidance. For example, the FDA has issued guidance documents relating to the incorporation of AI Technologies into medical devices and marketing submissions for AI-enabled devices. Specifically, draft guidance issued on January 7, 2025, titled Artificial Intelligence-Enabled Device Software Functions: Lifecycle Management and Marketing Submission Recommendations, proposes recommendations for the design, development and implementation of AI-enabled devices that the FDA encourages manufacturers consider using throughout the total product lifecycle. In addition, the California Privacy Protection Agency has approved for rulemaking regulations under the CCPA regarding the use of automated decision-making that may require assessing risks and to provide notice and rights to opt-out and access to information underlying the logic and outputs. Colorado passed the Colorado AI Act, which will go into effect in June 2026. This law creates duties for developers and deployers to use reasonable care to protect consumers from any known or reasonably foreseeable risks of “algorithmic discrimination” arising from the intended and contracted uses of “high-risk AI systems,” including those that impact healthcare services. Such additional laws, regulations and guidance may impact our ability to develop, use and commercialize AI Technologies in the future.</w:t>
      </w:r>
    </w:p>
    <w:p>
      <w:pPr>
        <w:spacing w:after="0" w:line="157"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Heartflow Platform and the way in which we use AI Technologies. We may need to expend resources to adjust our Heartflow Platform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w:t>
      </w:r>
    </w:p>
    <w:p>
      <w:pPr>
        <w:spacing w:after="0" w:line="139" w:lineRule="exact"/>
        <w:rPr>
          <w:sz w:val="20"/>
          <w:szCs w:val="20"/>
          <w:color w:val="auto"/>
        </w:rPr>
      </w:pPr>
    </w:p>
    <w:p>
      <w:pPr>
        <w:jc w:val="both"/>
        <w:ind w:right="2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Heartflow Platform and the data and models it generates could have bugs, defects or errors, including human quality control errors, or otherwise fail to meet the expectations of patients, physicians and third-party payors, which could adversely affect our reputation, business and operating results.</w:t>
      </w:r>
    </w:p>
    <w:p>
      <w:pPr>
        <w:spacing w:after="0" w:line="9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We cannot provide assurance that the proprietary technology and algorithms used in our Heartflow Platform do not contain undetected bugs, defects or errors or that our analyst-based review process will identify and correct any errors in the outputs of our AI Technologies. We cannot provide assurance that the inbound CCTA images and image quality will always allow a true representation of the patient anatomy, and any such limitations in CCTA images could affect the results of our analyses. We have in the past, and may in the future, experience defects or errors in our Heartflow Platform or the data and models it generates that remain undetected by our analyst-based review process, and our reputation, business and operating results could be adversely affected.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Furthermore, the success of the Heartflow Platform depends in part on patients’, physicians’ and third-party payors’ confidence that our platform can provide reliable, high-quality actionable data and analysis that will improve clinical decision making. We believe that patients, physicians and third-party payors are likely to be sensitive to product defects and errors in the use of our products, including if the defects and errors affect a physician’s ability to use the CCTA imaging results or result in a misdiagnosis. In the past, we have experienced software code defects and software release process defects that have resulted in intermittent interruptions to the physician’s ability to use our Heartflow Platform, and we may experience such defects in the future. A subset of these defects were reported as part of the FDA’s Manufacturer and User Facility Device Experience (“MAUDE”) disclosure. For more information, see the risk factor titled “The Heartflow Platform may be subject to recalls, which could be costly and could harm our reputation and business.” As a result, the failure of our Heartflow Platform to perform as expected, including to reduce unnecessary invasive testing or fail to enable physicians to optimize treatment planning or provide more efficient care, could significantly impact a physician’s willingness to use and rely on the Heartflow Platform, which would impair our operating results and our reputation. In addition, we may be subject to legal claims arising from any such failures.</w:t>
      </w:r>
    </w:p>
    <w:p>
      <w:pPr>
        <w:spacing w:after="0" w:line="16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8"/>
          <w:szCs w:val="18"/>
          <w:color w:val="auto"/>
        </w:rPr>
        <w:t>Bugs, defects or errors in the Heartflow Platform or the failure of third-party service providers we rely on, such as Amazon Web Services (“AWS”) or other cloud storage and telecommunications services providers, to block a virus or prevent a security breach could harm our reputation and adversely impact our results of operations. Defects may cause our products to be vulnerable to security attacks, cause them to fail to produce accurate results or temporarily interrupt our commercial operations. Because the techniques used by computer hackers to access or sabotage networks change frequently and generally are not recognized until launched against a target, we or our third-party services providers may be unable to anticipate these techniques and provide a corrective measure in time to protect the Heartflow Platform and our networks. Potential defects may further cause the platform to be unavailable for a period of time, affect ability of a customer to access information, result in a slow or suboptimal user experience, impact turnaround time of an analysis, or provide other forms of degradation to the overall service.</w:t>
      </w:r>
    </w:p>
    <w:p>
      <w:pPr>
        <w:spacing w:after="0" w:line="15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depend on our talent to grow and operate our business, and if we are unable to hire, integrate, develop, motivate and retain our personnel, including highly qualified, technical personnel, we may not be able to grow effectively and this could adversely affect our business.</w:t>
      </w:r>
    </w:p>
    <w:p>
      <w:pPr>
        <w:spacing w:after="0" w:line="145"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technical personnel. Competition for these personnel is intense, especially for engineers with high levels of expertise in AI, cloud architecture, 3D visualization, research scientists and senior sales executives with experience in the cardiology industry. We may experience difficulty in hiring and retaining employees with appropriate qualifications. Many of the companies with which we compete for experienced personnel have greater resources than we have. We also compete with companies that are believed to have high potential growth opportunities or that have experienced rapid recent growth.</w:t>
      </w:r>
    </w:p>
    <w:p>
      <w:pPr>
        <w:spacing w:after="0" w:line="157"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retain our executive officers and other key employees and to recruit and hire new employees, including engineers, research scientists, case analysts and production team members. We do not maintain “key person” insurance for any of our executives or other employees. The loss of the services of any of these persons could impede the achievement of our development, research and commercialization objectives. Any of our executive officers and other employees may terminate employment with us at any time with no advance notice. The replacement of any of our key personnel likely would involve significant time and costs, may significantly delay or prevent the achievement of our business objectives and may harm our business.</w:t>
      </w:r>
    </w:p>
    <w:p>
      <w:pPr>
        <w:spacing w:after="0" w:line="159"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stock awards they receive in connection with their employment. If the perceived value of our stock awards declines or is perceived to be less valuable than stock awards of other competing employers, it may adversely affect our ability to recruit and retain highly skilled employees. In addition, many of our employees have become or will soon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 If we fail to attract new personnel, or fail to retain and motivate our current personnel, our business and prospects could be adversely affected.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properly manage our future growth, our business could suffer.</w:t>
      </w:r>
    </w:p>
    <w:p>
      <w:pPr>
        <w:spacing w:after="0" w:line="184"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We intend to continue to grow and may experience periods of rapid growth and expansion, which could place a significant additional strain on our limited personnel, information technology systems and other resources. Our future growth will impose significant added responsibilities on management, including the need to identify, recruit, train and integrate additional employees. In order to manage our operations and growth we will need to continue to improve our operational and management controls, administrative and operational infrastructure, reporting and information technology systems and financial internal control procedures. Due to our limited financial resources and the limited experience of our management team in managing a company with such future growth expectations, we may not be able to effectively manage the expected expansion of our operations or recruit and train additional qualified personnel. Moreover, the expected expansion of our operations may lead to significant costs and may divert our management and business development resources. Any inability to manage growth could delay the execution of our business plans or disrupt our operations.</w:t>
      </w:r>
    </w:p>
    <w:p>
      <w:pPr>
        <w:spacing w:after="0" w:line="157"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In addition, as demand for the Heartflow Platform increases, we will need to scale our capacity, expand customer service and enhance our internal quality assurance program. We may fail to implement any increases in scale, related improvements and quality assurance, and we may fail to find appropriate personnel to facilitate the growth of our business. Due to our limited resources, we may not be able to effectively manage this simultaneous execution and expansion of our operations. This may result in weaknesses in our infrastructure, give rise to operational mistakes, legal or regulatory compliance failures, loss of business opportunities, loss of employees and reduced productivity among remaining employees. The expansion of our operations may lead to significant costs and may divert financial resources from other projects, such as the development of any new products.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Heartflow Plaque Analysis or any of our future products will depend in part on our ability to effectively manage the future growth and expansion of our company. If we are unable to manage our growth effectively, it may be difficult for us to execute our business strategy and our business, financial condition, results of operations and prospects may be adversely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8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The occurrence of any catastrophic event, including earthquake, fire, flood, tsunami or other weather event, power loss, telecommunications failure, software or hardware malfunctions, pandemics, political unrest, geopolitical instability, severe or prolonged economic downturn, including domestic and global inflationary trends, interest rate volatility, and uncertainty with respect to the federal debt ceiling and budget and potential government shutdowns related thereto, cyberattack (including a ransomware attack), war or terrorist attack, could result in lengthy interruptions in our ability to serve our customers. In addition, acts of terrorism could cause disruptions to the internet or the economy as a whole and could disproportionately affect us given our reliance on the internet and cloud-based services. Specifically, our corporate headquarters are located in Mountain View, California and our production-related computers are currently located in our Mountain View office and in Austin, Texas. California is considered to be an active earthquake zone, is prone to catastrophic fires, severe weather events and the follow-on effects thereof, including tsunamis, mudslides, flooding, power outages and other events that could disrupt our business. Texas is also subject to severe weather events, power outages and other events that could disrupt our business. Any event that prevents our access to such facilities, physically or virtually, would prevent us from operating our business and have an adverse effect on our business, financial condition, results of operations and prospects.</w:t>
      </w:r>
    </w:p>
    <w:p>
      <w:pPr>
        <w:spacing w:after="0" w:line="163"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In addition, we rely on our network and third-party infrastructure, including our cloud-based infrastructure which we outsource to AWS, enterprise applications, internal technology systems and our website, for our development, marketing, operational support-hosted services and sales activities. In the event of a catastrophic event, we may be unable to continue our operations and may endure system interruptions, delays in our ability to generate reports and output them to physicians, reputational harm, delays in our product development, breaches of data security and loss of critical data, all of which could have an adverse effect on our future operating results. If we are unable to develop adequate plans to ensure that our business functions continue to operate during and after a disaster and to execute successfully on those plans in the event of a disaster or emergency, our business would be harmed. Even with our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80"/>
        <w:spacing w:after="0" w:line="239" w:lineRule="auto"/>
        <w:rPr>
          <w:sz w:val="20"/>
          <w:szCs w:val="20"/>
          <w:color w:val="auto"/>
        </w:rPr>
      </w:pPr>
      <w:r>
        <w:rPr>
          <w:rFonts w:ascii="Times New Roman" w:cs="Times New Roman" w:eastAsia="Times New Roman" w:hAnsi="Times New Roman"/>
          <w:sz w:val="18"/>
          <w:szCs w:val="18"/>
          <w:color w:val="auto"/>
        </w:rPr>
        <w:t>disaster recovery arrangements and insurance coverage, the ability of our customers to access and utilize our Heartflow Platform could be interrupted, or we could lose critical data, which would have a negative impact on our business.</w:t>
      </w:r>
    </w:p>
    <w:p>
      <w:pPr>
        <w:spacing w:after="0" w:line="156"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8"/>
          <w:szCs w:val="18"/>
          <w:color w:val="auto"/>
        </w:rPr>
        <w:t>In addition, the occurrence of a catastrophic event could impact providers of CCTAs, contrast agents for CCTAs or suppliers of iodinated contrast media or similar supplies that are necessary to perform CCTAs. For example, in 2022, the shutdown of an iodinated contrast media manufacturing facility led to a significant shortage of iodinated contrast media, which resulted in the cancellation or rescheduling of non-urgent contrast-requiring cardiac procedures and imaging. Any of these events could affect demand for the Heartflow Platform, which could have a material adverse effect on our business, financial condition, results of operations and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among healthcare providers could have an adverse effect on our business, financial condition, results of operations and prospects.</w:t>
      </w:r>
    </w:p>
    <w:p>
      <w:pPr>
        <w:spacing w:after="0" w:line="18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In the United States, there has been a trend of consolidation among healthcare providers and purchasers of medical technology devices, often to gain greater market power. As healthcare providers consolidate, they may try to use their market power to negotiate price concessions or reductions for the products and services they purchase and use, including our Heartflow Platform. As a result, it is unknown whether such purchasers will decide to stop purchasing our Heartflow Platform or demand discounts on our prices. If we reduce our prices in response to these industry trends, our revenue would decrease, which could have a material adverse effect on our business, financial condition, results of operations and prospects.</w:t>
      </w:r>
    </w:p>
    <w:p>
      <w:pPr>
        <w:spacing w:after="0" w:line="153" w:lineRule="exact"/>
        <w:rPr>
          <w:sz w:val="20"/>
          <w:szCs w:val="20"/>
          <w:color w:val="auto"/>
        </w:rPr>
      </w:pPr>
    </w:p>
    <w:p>
      <w:pPr>
        <w:ind w:right="7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solutions or technologies, which could divert our management’s attention, result in additional dilution to our stockholders and otherwise disrupt our operations and adversely affect our operating results.</w:t>
      </w:r>
    </w:p>
    <w:p>
      <w:pPr>
        <w:spacing w:after="0" w:line="145"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8"/>
          <w:szCs w:val="18"/>
          <w:color w:val="auto"/>
        </w:rPr>
        <w:t>We may in the future seek to acquire or invest in companies, solutions or technologies that we believe could complement or expand our products, enhance our technical capabilities or otherwise offer growth opportunities. The pursuit of potential acquisitions or other investment opportunities may divert the attention of management and cause us to incur various expenses in identifying, investigating and pursuing suitable transactions, whether or not they are consummated.</w:t>
      </w:r>
    </w:p>
    <w:p>
      <w:pPr>
        <w:spacing w:after="0" w:line="15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If we acquire any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inability to integrate or benefit from acquired technologies or services in a profitable manner; unanticipated costs or liabilities associated with the acquisition; incurrence of acquisition-related costs; difficulty integrating the accounting systems, operations and personnel of the acquired business; difficulties and additional expenses associated with supporting legacy products and hosting infrastructure of the acquired business; diversion of management’s attention from other business concerns; use of resources that are needed in other parts of our business; adverse effects on our existing business relationships with business partners and customers as a result of the acquisition; the potential loss of key employees; and use of substantial portions of our available cash to consummate the acquisition.</w:t>
      </w:r>
    </w:p>
    <w:p>
      <w:pPr>
        <w:spacing w:after="0" w:line="157"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any companies, solutions or technologies that we may acquire may be allocated to acquired goodwill and other intangible assets, which must be assessed for impairment at least annually. If our acquisitions do not yield expected returns, we may be required to take charges to our operating results based on this impairment assessment process, which could adversely affect our results of operations.</w:t>
      </w:r>
    </w:p>
    <w:p>
      <w:pPr>
        <w:spacing w:after="0" w:line="156"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and cause the market price of our common stock to decline. If an acquired company, solution or technology fails to meet our expectations and does not complement or expand our products, enhance our technical capabilities or otherwise offer growth opportunities, our business, financial condition, results of operations and prospects may suffer.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or with international operations expose us to risks inherent in international sales.</w:t>
      </w:r>
    </w:p>
    <w:p>
      <w:pPr>
        <w:spacing w:after="0" w:line="184"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In our fiscal years ended December 31, 2025, 2024 and 2023, sales to customers outside the United States accounted for approximately 8%, 9% and 11% of our revenue, respectively. One element of our growth strategy is to further expand our international operations and worldwide customer base. Operating in international markets requires significant resources and management attention and subjects us to regulatory, economic and political risks that are different from those in the United States.</w:t>
      </w:r>
    </w:p>
    <w:p>
      <w:pPr>
        <w:spacing w:after="0" w:line="158"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We have limited operating experience in international markets, and we cannot assure you that our existing presence in the United Kingdom, Europe and Japan or any expansion efforts into other international markets will be successful. Our experience in the United States and international markets may not be relevant to our ability to expand in other markets. Our international expansion efforts may not be successful in creating further demand for our products outside of the United States or in effectively selling our products in the international markets we enter. In addition, expansion into other international markets will be costly and will impose additional burdens on our executive and administrative personnel, finance and legal teams, sales and marketing teams and general managerial resources. If our efforts to introduce our products into other international markets are not successful, we may have expended significant resources without realizing the expected benefit. Ultimately, the investment required for international expansion could exceed the results of operations generated from this expansion.</w:t>
      </w:r>
    </w:p>
    <w:p>
      <w:pPr>
        <w:spacing w:after="0" w:line="157"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In addition, we operate in an industry which is subject to significant enforcement scrutiny by both U.S. and non-U.S. government authorities. Our international business requires us to comply with U.S. and foreign laws and regulations, such as various anti-bribery and anti-corruption laws, including the U.S. Foreign Corrupt Practices Act (“FCPA”), the U.S. Fraud Act and in certain cases the U.K. Bribery Act of 2010. Compliance with these is costly and exposes us to significant civil and criminal penalties for non-compliance. Any failure to comply with applicable legal and regulatory obligations could impact us in a variety of ways that include, but are not limited to, significant criminal, civil and administrative fines, penalties and disgorgement of profits, including imprisonment of individuals, denial of export privileges, seizure of shipments, restrictions on certain business activities and exclusion or debarment from government contracting. Our international operations expose us to risks inherent in operating in foreign jurisdictions that could adversely affect our business.</w:t>
      </w:r>
    </w:p>
    <w:p>
      <w:pPr>
        <w:spacing w:after="0" w:line="15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international regulatory registrations, clearances or approvals for our Heartflow Platform, we will be unable to market and sell our products outside of the United States.</w:t>
      </w:r>
    </w:p>
    <w:p>
      <w:pPr>
        <w:spacing w:after="0" w:line="145"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Any future sales of our products outside of the United States are subject to foreign regulatory requirements that vary widely from country to country. While the regulations of some countries may not impose barriers to marketing and selling our products or only require notification, others require that we obtain the clearance or approval of a specified regulatory authority or a Certificate of Conformity of a notified body. Complying with foreign regulatory requirements, including obtaining registrations, clearances or approvals, can be expensive and time consuming and we may not receive regulatory clearances or approvals in each country in which we plan to market our products or we may be unable to do so on a timely basis. The time required to obtain registrations, clearances or approvals, if required by other countries, may be longer than that required for FDA clearance or approval, and requirements for such registrations, clearances or approvals may significantly differ from FDA requirements. If we modify our products, we may need to apply for regulatory clearances or approvals before we are permitted to sell the modified product. Additionally, certain international regions may require maintenance and recertification of the device every several years.</w:t>
      </w:r>
    </w:p>
    <w:p>
      <w:pPr>
        <w:spacing w:after="0" w:line="16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In addition, AI governing regulations around medical devices evolve rapidly, and we may not continue to meet the quality and safety standards required to maintain the authorizations that we have received. If we are unable to maintain our authorizations in a particular country, we will no longer be able to sell the applicable product in that country.</w:t>
      </w:r>
    </w:p>
    <w:p>
      <w:pPr>
        <w:spacing w:after="0" w:line="156"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8"/>
          <w:szCs w:val="18"/>
          <w:color w:val="auto"/>
        </w:rPr>
        <w:t>Regulatory registration, clearance, marketing authorization, or approval by the FDA does not ensure registration, clearance, marketing authorization, or approval by foreign regulatory authorities or authorized representatives in other countries. Registration, clearance, marketing authorization, or approval by one or more foreign regulatory authorities or authorized representatives do not ensure registration, clearance, marketing authorization, or approval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600"/>
        <w:spacing w:after="0" w:line="239" w:lineRule="auto"/>
        <w:rPr>
          <w:sz w:val="20"/>
          <w:szCs w:val="20"/>
          <w:color w:val="auto"/>
        </w:rPr>
      </w:pPr>
      <w:r>
        <w:rPr>
          <w:rFonts w:ascii="Times New Roman" w:cs="Times New Roman" w:eastAsia="Times New Roman" w:hAnsi="Times New Roman"/>
          <w:sz w:val="18"/>
          <w:szCs w:val="18"/>
          <w:color w:val="auto"/>
        </w:rPr>
        <w:t>by regulatory authorities in other foreign countries or by the FDA. Nevertheless, a failure or delay in obtaining registration or regulatory clearance or approval in one country may have a negative effect on the regulatory process in others.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Information Technology</w:t>
      </w:r>
    </w:p>
    <w:p>
      <w:pPr>
        <w:spacing w:after="0" w:line="16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affecting the transmission, security and privacy of personal information (including health information) could result in significant penalties.</w:t>
      </w:r>
    </w:p>
    <w:p>
      <w:pPr>
        <w:spacing w:after="0" w:line="13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Federal, state and foreign government bodies and authorities have adopted, are considering adopting, or may adopt laws and regulations regarding the collection, use, processing, storage and disclosure of personal information obtained from consumers and individuals.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Under these laws we may be required to obtain certain consents to process personal data. For example, some of our data processing practices have been, and may in the future continue to be, subject to challenges or lawsuits under privacy, security, and communications laws, including, for example, challenges based on wiretapping laws for sharing consumer information with third parties through various methods, such as via third-party marketing pixels or software development kits. Our inability or failure to obtain consent for these practices could result in adverse consequences, including class action litigation and mass arbitration demands. In addition, numerous federal and state laws and regulations, including the Health Insurance Portability and Accountability Act of 1996 (“HIPAA”), as amended by the Health Information Technology for Economic and Clinical Health Act of 2009 (“HITECH”), govern the collection, dissemination, security, use and confidentiality of patient identifiable health information. HIPAA and the HITECH Act require us to comply with standards for the use and disclosure of health information within our company and with third parties. The Standards for Privacy of Individually Identifiable Health Information (“Privacy Standards”), and the Security Standards for the Protection of Electronic Protected Health Information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As a result, both covered entities and business associates can be subject to significant civil and criminal penalties for failure to comply with the Privacy Standards or the Security Standards.</w:t>
      </w:r>
    </w:p>
    <w:p>
      <w:pPr>
        <w:spacing w:after="0" w:line="161"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HIPAA, the HITECH Act and the Affordable Care Act (“ACA”) also include standards for common healthcare electronic transactions and code sets, such as claims information, plan eligibility, payment information and the use of electronic signatures, unique identifiers, operating rules. Companies that bill payors for healthcare-related services and device use are required to conform to the transaction standards. CMS, on behalf of HHS, has the authority to investigate complaints and audit for compliance with the HIPAA standards for transactions, code sets, unique identifiers and operating rules, including the Administrative Simplification provisions of HIPAA and the ACA. Failure to comply with these standards, and any investigation or audit and penalties imposed may have an adverse impact on our business. HIPAA requires covered entities and business associates to develop and maintain policies and procedures with respect to protected health information that is used or disclosed, including the adoption of administrative, physical and technical safeguards to protect such information. The HITECH Act expands the notification requirement for breaches of patient identifiable health information, restricts certain disclosures and sales of patient identifiable health information and provides a tiered system for civil monetary penalties for HIPAA violations. The Final HIPAA Omnibus Rule modifies the breach reporting standard in a manner that will likely make more data security incidents qualify as reportable breaches.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 fees and costs associated with pursuing federal civil actions. Additionally, states have adopted comparable privacy and security laws and regulations that differ somewhat from federal and other states’ laws, and that govern where more stringent than federal law.</w:t>
      </w:r>
    </w:p>
    <w:p>
      <w:pPr>
        <w:spacing w:after="0" w:line="143"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As a business associate under HIPAA, if we do not comply with the requirements of HIPAA, the HITECH Act or applicable state privacy and security laws, we could be subject to criminal or civil sanctions that could adversely affect our financial condition. The costs of complying with privacy- and security-related legal and regulatory requirements are substantial and could have an adverse effect on our business. In addition, we are unable to predict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60"/>
        <w:spacing w:after="0" w:line="228" w:lineRule="auto"/>
        <w:rPr>
          <w:sz w:val="20"/>
          <w:szCs w:val="20"/>
          <w:color w:val="auto"/>
        </w:rPr>
      </w:pPr>
      <w:r>
        <w:rPr>
          <w:rFonts w:ascii="Times New Roman" w:cs="Times New Roman" w:eastAsia="Times New Roman" w:hAnsi="Times New Roman"/>
          <w:sz w:val="18"/>
          <w:szCs w:val="18"/>
          <w:color w:val="auto"/>
        </w:rPr>
        <w:t>what changes to the HIPAA Privacy Standards and Security Standards might be made in the future or how those changes could affect our business. Any new legislation or regulation in the area of privacy and security of personal information, including personal health information, could also adversely affect our business operations. In addition, a security breach could require reporting to federal and state government entities, notification to affected individuals, expensive investigation and remediation and mitigation. Government agencies could, in their discretion, impose fines and penalties relating to the breach, that would have an adverse effect on our business.</w:t>
      </w:r>
    </w:p>
    <w:p>
      <w:pPr>
        <w:spacing w:after="0" w:line="15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Foreign data privacy regulations, such as the General Data Protection Regulation (E.U.) 2016/679, the European Union’s Data Protection Directive (“Directive 95/46/EC”), and the country specific regulations that implement Directive 95/46/EC, also govern the processing of personally identifiable data, and a number of these regulations are stricter than U.S. laws.</w:t>
      </w:r>
    </w:p>
    <w:p>
      <w:pPr>
        <w:spacing w:after="0" w:line="143"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In addition, many states have laws, regulations and other authorities that govern data privacy, security and breach notification. While some of these laws exempt protected health information subject to HIPAA, they may apply to other personal information we collect, including personal information collected from employees or from visitors to our website. Failure to comply with these authorities may have an adverse impact on our business.</w:t>
      </w:r>
    </w:p>
    <w:p>
      <w:pPr>
        <w:spacing w:after="0" w:line="15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We expect to expend significant resources to comply with these laws and regulations. The functional and operational requirements and costs of compliance with such laws and regulations may adversely impact our business, and failure to enable our solutions to comply with such laws and regulations could lead to significant fines and penalties imposed by regulators, as well as claims, lawsuits and contractual indemnification obligations by or for our customers or third parties and significant reputational harm.</w:t>
      </w:r>
    </w:p>
    <w:p>
      <w:pPr>
        <w:spacing w:after="0" w:line="154" w:lineRule="exact"/>
        <w:rPr>
          <w:sz w:val="20"/>
          <w:szCs w:val="20"/>
          <w:color w:val="auto"/>
        </w:rPr>
      </w:pPr>
    </w:p>
    <w:p>
      <w:pPr>
        <w:ind w:right="4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 and adversely affect our business and operating results.</w:t>
      </w:r>
    </w:p>
    <w:p>
      <w:pPr>
        <w:spacing w:after="0" w:line="14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damage from a variety of sources, including telecommunications or network failures, failures during the processes of upgrading or replacing software, power outages, hardware failures, user or human errors and natural disasters. Moreover, despite network security and back up measures, some of our servers are potentially vulnerable to cybersecurity incidents, including phishing attacks by computer hackers or other malicious human acts, computer viruses, ransomware, malware and similar disruptive problems or other methods of compromising employee or customer administrator credentials to access protected health information and our internal data. Failures or significant downtime of our information technology or telecommunications systems could prevent us from operating our business. Any disruption or loss of information technology or telecommunications systems on which critical aspects of our operations depend could have an adverse effect on our business and our operating results may suffer.</w:t>
      </w:r>
    </w:p>
    <w:p>
      <w:pPr>
        <w:spacing w:after="0" w:line="157"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In addition, our brand, reputation and ability to attract, retain and serve our customers are dependent upon the reliable performance of our Heartflow Platform, including our underlying information technology systems and infrastructure. Our technical infrastructure may not be adequately designed with sufficient reliability and redundancy to avoid performance delays or outages that could be harmful to our business. If our Heartflow Platform is unavailable when physicians attempt to access it, or if it does not load as quickly as they expect, physicians may not use our Heartflow Platform as often in the future, or at all. As our customer base continues to grow, we will need an increasing amount of technical infrastructure, including network capacity and computing power, to continue to satisfy the needs of our users.</w:t>
      </w:r>
    </w:p>
    <w:p>
      <w:pPr>
        <w:spacing w:after="0" w:line="1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rely upon AWS to operate our cloud offering; any disruption of or interference with our use of AWS would adversely affect our business, results of operations and financial condition.</w:t>
      </w:r>
    </w:p>
    <w:p>
      <w:pPr>
        <w:spacing w:after="0" w:line="120"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We outsource all of our cloud-based infrastructure to AWS. Our customers need to be able to access our cloud-based infrastructure at any time, without interruption or degradation of performance. AWS runs its own platform that we access, and we are, therefore, vulnerable to service interruptions at AWS. We may experience interruptions, delays and outages in service and availability from time to time as a result of problems with our AWS provided infrastructure. For example, in October 2025 and at other times in the past, AWS has suffered significant outages that had a widespread impact on cloud-based software and services companies. Although our cloud offering has not been affected by these outages, a similar outage could render our cloud offering inaccessible to customers, and such</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120"/>
        <w:spacing w:after="0" w:line="231" w:lineRule="auto"/>
        <w:rPr>
          <w:sz w:val="20"/>
          <w:szCs w:val="20"/>
          <w:color w:val="auto"/>
        </w:rPr>
      </w:pPr>
      <w:r>
        <w:rPr>
          <w:rFonts w:ascii="Times New Roman" w:cs="Times New Roman" w:eastAsia="Times New Roman" w:hAnsi="Times New Roman"/>
          <w:sz w:val="18"/>
          <w:szCs w:val="18"/>
          <w:color w:val="auto"/>
        </w:rPr>
        <w:t>outages may be prolonged. Additionally, AWS has suffered outages at specific customer locations in the past, rendering the customer unable to access our offering for periods of time. Lack of availability of our AWS infrastructure could be due to a number of potential causes including technical failures, natural disasters, fraud or security attacks that we cannot predict or prevent.</w:t>
      </w:r>
    </w:p>
    <w:p>
      <w:pPr>
        <w:spacing w:after="0" w:line="157"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In addition, if the security of the AWS infrastructure is compromised or believed to have been compromised, our business, results of operations and financial condition could be adversely affected. It is possible that our customers and potential customers would hold us accountable for any breach of security affecting the AWS infrastructure and we may incur significant liability from those customers and from third parties with respect to any breach affecting AWS systems. For more information, see the risk factor titled “Failure to comply with laws and regulations affecting the transmission, security and privacy of personal information (including health information) could result in significant penalties.” Because our agreement with AWS limits AWS’ liability for damages, we may not be able to recover a material portion of our liabilities to our customers and third parties from AWS. Customers and potential customers may refuse to do business with us because of the perceived or actual failure of our cloud offering as hosted by AWS and our operating results could be harmed.</w:t>
      </w:r>
    </w:p>
    <w:p>
      <w:pPr>
        <w:spacing w:after="0" w:line="14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Our agreement with AWS allows AWS to terminate the agreement by providing 30 days’ advance notice, and allows AWS to terminate in case of a material breach of contract if such breach is uncured for 30 days following receipt of notice of such breach, or to terminate immediately upon notice to us (i) if AWS has the right to suspend our account; (ii) if AWS’ relationship with a third-party software or technology provider terminates, expires or requires AWS to change the way it provides its services; or (iii) in order to comply with the law or requests of governmental entities. Although we expect that we could receive similar services from other third parties, if any of our arrangements with AWS are terminated, we could experience interruptions on our platform and in our ability to make our platform available to customers, as well as delays and additional expenses in arranging alternative cloud infrastructure services.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customer support, our business and reputation could suffer.</w:t>
      </w:r>
    </w:p>
    <w:p>
      <w:pPr>
        <w:spacing w:after="0" w:line="184"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17"/>
          <w:szCs w:val="17"/>
          <w:color w:val="auto"/>
        </w:rPr>
        <w:t>Our customers rely on our customer support teams to resolve technical and operational issues if and when they arise. We may be unable to respond quickly enough to accommodate short-term increases in customer demand for customer support. We also may be unable to modify the nature, scope and delivery of our customer support to compete with changes in customer support services provided by our competitors or to adapt to product and industry developments.</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Increased customer demand for customer support, without corresponding revenue, could increase costs and harm our results of operations. In addition, as we continue to grow our operations and reach a large global customer base, we need to be able to provide efficient customer support that meets our customers’ needs globally at scale. The number of our customers has grown significantly, and that growth has and will continue to put additional pressure on our support organization. As our business scales, we may need to engage third-party customer support service providers, which could negatively impact the quality of our customer support if such third parties are unable to provide customer support that is as effective as that we provide ourselves. Our sales are highly dependent on our business reputation and on positive recommendations from our existing customers. Accordingly, high quality customer support is important for the renewal and expansion of our agreements with existing customers and any failure to maintain such standards of customer support, or a market perception that we do not maintain high quality customer support, could harm our reputation, our ability to sell product to existing and prospective customers and our business, financial condition, results of operations and prospects.</w:t>
      </w:r>
    </w:p>
    <w:p>
      <w:pPr>
        <w:spacing w:after="0" w:line="153" w:lineRule="exact"/>
        <w:rPr>
          <w:sz w:val="20"/>
          <w:szCs w:val="20"/>
          <w:color w:val="auto"/>
        </w:rPr>
      </w:pPr>
    </w:p>
    <w:p>
      <w:pPr>
        <w:ind w:right="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investments do not translate into new products, features or improvements to our current products, or if we do not use those investments efficiently, our business, financial condition, results of operations and prospects would be harmed.</w:t>
      </w:r>
    </w:p>
    <w:p>
      <w:pPr>
        <w:spacing w:after="0" w:line="155"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A key element of our strategy is to invest significantly in our research and development efforts to introduce new products, features and improvements aimed at increasing the value proposition of the Heartflow Platform for our customers. For the years ended December 31, 2025, 2024 and 2023, our research and development expenses were 37%, 35% and 41% of our revenue, respectively. If we do not spend our research and development budget efficiently or effectively on compelling innovation and technologies, our business may be harmed and we may not realize the expected benefits of our strategy. Moreover, research and development projects can be technically challenging and expensive. The nature of these research and development cycles may cause us to experience delays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7" w:lineRule="auto"/>
        <w:rPr>
          <w:sz w:val="20"/>
          <w:szCs w:val="20"/>
          <w:color w:val="auto"/>
        </w:rPr>
      </w:pPr>
      <w:r>
        <w:rPr>
          <w:rFonts w:ascii="Times New Roman" w:cs="Times New Roman" w:eastAsia="Times New Roman" w:hAnsi="Times New Roman"/>
          <w:sz w:val="18"/>
          <w:szCs w:val="18"/>
          <w:color w:val="auto"/>
        </w:rPr>
        <w:t>between the time we incur expenses associated with research and development and the time we are able to offer compelling solutions and generate revenue, if any, from such investment. For example, investments made to expand the Heartflow Platform to asymptomatic patients may be expensive, technically challenging, experience delays and may not be successful. Additionally, anticipated customer demand for a product or feature we are developing could decrease after the development cycle has commenced, and we would nonetheless be unable to avoid substantial costs associated with the development of any such product or features. If we expend a significant amount of resources on research and development and our efforts do not lead to the successful introduction or improvement of products or features that are competitive in our current or future markets, it would harm our business, financial condition, results of operations and prospects.</w:t>
      </w:r>
    </w:p>
    <w:p>
      <w:pPr>
        <w:spacing w:after="0" w:line="155" w:lineRule="exact"/>
        <w:rPr>
          <w:sz w:val="20"/>
          <w:szCs w:val="20"/>
          <w:color w:val="auto"/>
        </w:rPr>
      </w:pPr>
    </w:p>
    <w:p>
      <w:pPr>
        <w:ind w:right="5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Our networks and those of our third-party service providers may become the target of bad actors or security breaches that we cannot anticipate or successfully defend, which could have an adverse impact on our business.</w:t>
      </w:r>
    </w:p>
    <w:p>
      <w:pPr>
        <w:spacing w:after="0" w:line="145"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8"/>
          <w:szCs w:val="18"/>
          <w:color w:val="auto"/>
        </w:rPr>
        <w:t>The Heartflow Platform involves the storage and transmission of our customers’ personal information or identifying information of their patients. Increasingly, we and other companies are subject to a wide variety of attacks on their networks on an ongoing basis. In addition to attacks from traditional computer “hackers,” malicious code (such as viruses and worms), employee theft or misuse, ransomware attacks and denial of service attacks, sophisticated nation state and nation state supported actors now engage in intrusions and attacks (including advanced persistent threat intrusions), and add to the risks to our internal networks and the information they store and process. Additionally, such bad actors frequently attempt to fraudulently induce employees or customers into disclosing sensitive information such as user names, passwords or other information in order to gain access to our customers’ data, their patient’s data or our data, including our intellectual property and other confidential business information, or our information technology systems. Because techniques used to obtain unauthorized access or to sabotage systems change frequently and generally are not recognized until successfully launched against a target, we may be unable to anticipate these techniques or to implement adequate preventative measures. Despite significant efforts to create process and security barriers to such threats, it is virtually impossible for us to entirely mitigate these risks. Any such breach could compromise our networks, creating system disruptions or slowdowns and exploiting security vulnerabilities of our products, and the information stored on our networks could be accessed, publicly disclosed, lost or stolen, which could subject us to liability and cause us significant financial harm. Such breaches often result in reputational damage, negative publicity, loss of industry data security certifications, customers and sales, increased costs to remedy any problem, costly litigation and contractual indemnification obligations by or for impacted customers or third parties, any of which could adversely affect our business. In addition, although we have, and intend to maintain, insurance with respect to any such indemnification obligations, the coverage limits of our insurance policies may not be adequate, and one or more successful claims brought against us may have an adverse effect on our business, financial condition, results of operations and prospects.</w:t>
      </w:r>
    </w:p>
    <w:p>
      <w:pPr>
        <w:spacing w:after="0" w:line="161"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18"/>
          <w:szCs w:val="18"/>
          <w:color w:val="auto"/>
        </w:rPr>
        <w:t>We also rely on third-party service providers, such as cloud storage and telecommunications services providers. Such service providers are also potentially vulnerable to cybersecurity incidents that could result in the interruption of their services to us or unauthorized access, use or disclosure of our confidential information and confidential information of our customers and protected health information of their patients.</w:t>
      </w:r>
    </w:p>
    <w:p>
      <w:pPr>
        <w:spacing w:after="0" w:line="143"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Our products are also targets for malicious cybersecurity acts. While some of our products contain encryption or security algorithms to protect third-party content or patient information or other data stored in our products, these products could still be hacked or targeted by malicious software programs or other attacks or the encryption schemes could be compromised, breached or circumvented by motivated or sophisticated hackers, which could harm our business and our reputation. In addition, see the risk factor titled “Our Heartflow Platform and the data and models it generates could have bugs, defects or errors, including human quality control errors, or otherwise fail to meet the expectations of patients, physicians and third-party payors, which could adversely affect our reputation, business and operating results” for more information on bugs, defects or errors in the Heartflow Platform.</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5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We face extensive regulatory requirements to bring our products to market, and our failure to receive and maintain regulatory clearances or approvals of our current and future products in the United States or abroad or to comply with medical device regulatory requirements could adversely affect our business.</w:t>
      </w:r>
    </w:p>
    <w:p>
      <w:pPr>
        <w:spacing w:after="0" w:line="155"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In order to market any product, we must establish and comply with numerous and varying regulatory requirements that differ by country and by region within certain countries. Approval, clearance or marketing authorization in the United States by the FDA or by a regulatory authority or other body in another country does not ensure approval by the regulatory authorities in other countries or jurisdictions or ensure approval, clearance or other marketing authorization for the same conditions of use. Approval processes vary among countries and can involve additional product testing and validation and additional administrative review periods. In general, unless an exemption applies, in the United States current and future versions of our products must receive pre-market notification (“510(k)”), de novo classification (“de novo”) or pre-market approval (“PMA”) from the FDA before they can be marketed in the United States. We cannot provide assurance that any of our future products, to the extent required, will be cleared, approved or otherwise authorized by the FDA through any of its pre-market review processes, or that the FDA will provide export certificates that are necessary to export certain products to certain countries. In addition, the national health or social security organizations of certain foreign countries, including those outside Europe, require our products to be qualified before they can be marketed in those countries. Failure to receive, or delays in the receipt of, relevant foreign qualifications in the European Economic Area or other foreign countries could have an adverse effect on our business.</w:t>
      </w:r>
    </w:p>
    <w:p>
      <w:pPr>
        <w:spacing w:after="0" w:line="144"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Pre-market notification, de novo classification request or PMA applications may require support by data from clinical trials. We are subject to requirements to publicly register and report the results of our clinical trials. We must also abide by good clinical practice (“GCP”) requirements in the conduct and documentation of our clinical trials and report to the FDA significant financial interests of investigators in any clinical trials we submit to support marketing applications for our products. We, the FDA or an institutional review board (“IRB”), may suspend or terminate clinical trials at any time on various grounds, including a finding that patients are being exposed to an unacceptable health risk or that the treatment does not have any effect. If the FDA considers data from our clinical trials to be actually or potentially biased due to investigators’ financial interests, or unreliable due to GCP noncompliance, it can require us to implement extensive data analyses or other corrective actions, or exclude data from consideration in support of our marketing applications. These outcomes could result in delay or denial of FDA clearance or approval and could result in the need to conduct additional, costly and time-consuming clinical trials.</w:t>
      </w:r>
    </w:p>
    <w:p>
      <w:pPr>
        <w:spacing w:after="0" w:line="146"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8"/>
          <w:szCs w:val="18"/>
          <w:color w:val="auto"/>
        </w:rPr>
        <w:t>Additionally, we are required to obtain pre-market clearance or approval to market significantly modified versions of our currently cleared Heartflow Platform, as well as to market the existing product for new indications. The FDA requires us to make and document a determination as to whether or not a modification requires a new 510(k) clearance, de novo classification or PMA approval; however, the FDA can review and disagree with our decision. Although we have received 510(k) clearance from the FDA for the current version of the Heartflow Platform, we may not be successful in receiving clearances, de novo classification or approvals in the future or the FDA may not agree with our decisions not to seek clearances, de novo classifications or approvals for any new products or particular product modifications or updates. The FDA may require us to obtain a new 510(k) clearance, de novo classifications or approval for any past or future modification or a new indication for our existing products. Such submissions may require the development and submission of additional data, may be time consuming and costly, and ultimately may not be cleared or approved by the FDA.</w:t>
      </w:r>
    </w:p>
    <w:p>
      <w:pPr>
        <w:spacing w:after="0" w:line="15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If the FDA requires us to obtain pre-market clearances, de novo classifications or approvals for any marketed modification to a previously cleared version of the Heartflow Platform, we may be required to cease manufacturing and marketing of the modified product or to recall the modified product until we obtain such FDA marketing authorization. The FDA may not clear, grant or approve such submissions in a timely manner, if at all. The FDA also may change its policies, adopt additional regulations, or revise existing regulations, each of which could prevent or delay pre-market clearance, de novo classification or approval of our devices, or could impact our ability to market a device that was previously cleared. Any of the foregoing could adversely impact our business and financial condition.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18"/>
          <w:szCs w:val="18"/>
          <w:color w:val="auto"/>
        </w:rPr>
        <w:t>In addition, the FDA and other comparable foreign regulatory authorities may delay, limit or deny clearance, de novo classification or approval of future versions of or future indications for our products or any other potential product for many reasons, including, among others:</w:t>
      </w:r>
    </w:p>
    <w:p>
      <w:pPr>
        <w:spacing w:after="0" w:line="150" w:lineRule="exact"/>
        <w:rPr>
          <w:sz w:val="20"/>
          <w:szCs w:val="20"/>
          <w:color w:val="auto"/>
        </w:rPr>
      </w:pPr>
    </w:p>
    <w:p>
      <w:pPr>
        <w:ind w:left="320" w:right="200" w:hanging="313"/>
        <w:spacing w:after="0" w:line="245" w:lineRule="auto"/>
        <w:tabs>
          <w:tab w:leader="none" w:pos="3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results of our clinical trials may not meet the level of statistically significant and clinically meaningful efficacy with an acceptable safety profile as required by FDA, or other comparable regulatory authorities in other countries, for marketing approval;</w:t>
      </w:r>
    </w:p>
    <w:p>
      <w:pPr>
        <w:spacing w:after="0" w:line="150" w:lineRule="exact"/>
        <w:rPr>
          <w:rFonts w:ascii="Arial" w:cs="Arial" w:eastAsia="Arial" w:hAnsi="Arial"/>
          <w:sz w:val="18"/>
          <w:szCs w:val="18"/>
          <w:color w:val="auto"/>
        </w:rPr>
      </w:pPr>
    </w:p>
    <w:p>
      <w:pPr>
        <w:ind w:left="320" w:right="360" w:hanging="313"/>
        <w:spacing w:after="0" w:line="261" w:lineRule="auto"/>
        <w:tabs>
          <w:tab w:leader="none" w:pos="3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FDA or other comparable regulatory authorities in other countries may disagree with the number, design, size, conduct or implementation of our clinical trials;</w:t>
      </w:r>
    </w:p>
    <w:p>
      <w:pPr>
        <w:spacing w:after="0" w:line="123" w:lineRule="exact"/>
        <w:rPr>
          <w:rFonts w:ascii="Arial" w:cs="Arial" w:eastAsia="Arial" w:hAnsi="Arial"/>
          <w:sz w:val="18"/>
          <w:szCs w:val="18"/>
          <w:color w:val="auto"/>
        </w:rPr>
      </w:pPr>
    </w:p>
    <w:p>
      <w:pPr>
        <w:ind w:left="320" w:hanging="313"/>
        <w:spacing w:after="0"/>
        <w:tabs>
          <w:tab w:leader="none" w:pos="3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FDA or other comparable regulatory authorities in other countries may disagree with our interpretation of data from our clinical trials;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FDA or other comparable regulatory authorities in other countries may not accept data generated at one or more of our clinical trial sites;</w:t>
      </w:r>
    </w:p>
    <w:p>
      <w:pPr>
        <w:spacing w:after="0" w:line="179" w:lineRule="exact"/>
        <w:rPr>
          <w:rFonts w:ascii="Arial" w:cs="Arial" w:eastAsia="Arial" w:hAnsi="Arial"/>
          <w:sz w:val="18"/>
          <w:szCs w:val="18"/>
          <w:color w:val="auto"/>
        </w:rPr>
      </w:pPr>
    </w:p>
    <w:p>
      <w:pPr>
        <w:ind w:left="320" w:right="80" w:hanging="313"/>
        <w:spacing w:after="0" w:line="239" w:lineRule="auto"/>
        <w:tabs>
          <w:tab w:leader="none" w:pos="3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if our 510(k) notifications, de novo classification requests, PMA applications, or similar notifications or applications, if and when submitted, are reviewed by the FDA or other comparable regulatory authorities, as applicable, the regulatory authorities may have difficulties scheduling the necessary review meetings in a timely manner, or may recommend against clearance or approval of our application; or</w:t>
      </w:r>
    </w:p>
    <w:p>
      <w:pPr>
        <w:spacing w:after="0" w:line="142" w:lineRule="exact"/>
        <w:rPr>
          <w:rFonts w:ascii="Arial" w:cs="Arial" w:eastAsia="Arial" w:hAnsi="Arial"/>
          <w:sz w:val="18"/>
          <w:szCs w:val="18"/>
          <w:color w:val="auto"/>
        </w:rPr>
      </w:pPr>
    </w:p>
    <w:p>
      <w:pPr>
        <w:ind w:left="320" w:right="300" w:hanging="313"/>
        <w:spacing w:after="0" w:line="239" w:lineRule="auto"/>
        <w:tabs>
          <w:tab w:leader="none" w:pos="3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FDA may determine that our 510(k) notifications for new indications, if and when submitted, must follow a different regulatory pathway than we have attempted, and there may be potentially extended standards, timelines, reviews (such as by an FDA Advisory Committee) and costs in order to pursue approval.</w:t>
      </w:r>
    </w:p>
    <w:p>
      <w:pPr>
        <w:spacing w:after="0" w:line="156"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Further, the ability of the FDA to review and approve new products, to provide feedback on clinical trials and development programs, to meet with manufacturers, and other related processes can be affected by a variety of factors, including government budget and funding levels, reductions in workforce, ability to hire and retain key personnel, and statutory, regulatory and policy changes. Government shutdowns, if prolonged, can significantly impact the ability of government agencies upon which we rely, such as the FDA, to timely review and process our regulatory submissions, which could have a material adverse effect on our business.</w:t>
      </w:r>
    </w:p>
    <w:p>
      <w:pPr>
        <w:spacing w:after="0" w:line="14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clearance, de novo classification or approval for current or future versions of the Heartflow Platform and could result in difficulties and costs for us. If we fail to comply with regulatory requirements in international markets or to obtain and maintain required marketing authorizations, or if marketing authorizations in international markets are delayed, our ability to realize the full market potential of our new potential products will be limited.</w:t>
      </w:r>
    </w:p>
    <w:p>
      <w:pPr>
        <w:spacing w:after="0" w:line="14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Healthcare policy changes, including recently enacted legislation reforming the U.S. healthcare system could have an adverse effect on our business, financial condition, results of operations and prospects.</w:t>
      </w:r>
    </w:p>
    <w:p>
      <w:pPr>
        <w:spacing w:after="0" w:line="120"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7"/>
          <w:szCs w:val="17"/>
          <w:color w:val="auto"/>
        </w:rPr>
        <w:t>In the United States, there have been and continue to be a number of legislative and regulatory initiatives to contain healthcare costs. Federal and state lawmakers regularly propose and, at times, enact legislation that would result in significant changes to the U.S. healthcare system, some of which are intended to contain or reduce the costs of medical products and services, including our own products. For example, on July 4, 2025, the annual reconciliation bill,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which expired in 2025, which, among other provisions in the law, are anticipated to reduce the number of Americans with health insurance. These changes may decrease patient access to advanced cardiovascular diagnostics, including Heartflow’s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and Plaque Analysis products, particularly among lower-</w:t>
      </w:r>
    </w:p>
    <w:p>
      <w:pPr>
        <w:spacing w:after="0" w:line="4" w:lineRule="exact"/>
        <w:rPr>
          <w:sz w:val="20"/>
          <w:szCs w:val="20"/>
          <w:color w:val="auto"/>
        </w:rPr>
      </w:pPr>
    </w:p>
    <w:p>
      <w:pPr>
        <w:ind w:right="320"/>
        <w:spacing w:after="0" w:line="216" w:lineRule="auto"/>
        <w:rPr>
          <w:sz w:val="20"/>
          <w:szCs w:val="20"/>
          <w:color w:val="auto"/>
        </w:rPr>
      </w:pPr>
      <w:r>
        <w:rPr>
          <w:rFonts w:ascii="Times New Roman" w:cs="Times New Roman" w:eastAsia="Times New Roman" w:hAnsi="Times New Roman"/>
          <w:sz w:val="18"/>
          <w:szCs w:val="18"/>
          <w:color w:val="auto"/>
        </w:rPr>
        <w:t>income and high-risk populations. In addition, reduced federal and state funding, caps on supplemental payments, and limits on provider revenue sources may constrain hospital and health system budgets, potentially slowing adoption of innovative diagnostics despite demonstrated clinical value.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8" w:lineRule="exact"/>
        <w:rPr>
          <w:sz w:val="20"/>
          <w:szCs w:val="20"/>
          <w:color w:val="auto"/>
        </w:rPr>
      </w:pPr>
    </w:p>
    <w:p>
      <w:pPr>
        <w:jc w:val="both"/>
        <w:ind w:right="600"/>
        <w:spacing w:after="0" w:line="239" w:lineRule="auto"/>
        <w:rPr>
          <w:sz w:val="20"/>
          <w:szCs w:val="20"/>
          <w:color w:val="auto"/>
        </w:rPr>
      </w:pPr>
      <w:r>
        <w:rPr>
          <w:rFonts w:ascii="Times New Roman" w:cs="Times New Roman" w:eastAsia="Times New Roman" w:hAnsi="Times New Roman"/>
          <w:sz w:val="18"/>
          <w:szCs w:val="18"/>
          <w:color w:val="auto"/>
        </w:rPr>
        <w:t>Current and future legislative proposals to further reform healthcare or reduce healthcare costs may limit coverage of or lower reimbursement for the diagnostic tests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56"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We expect additional state and federal healthcare policies and reform measures to be adopted in the future, particularly in light of the recent administration changes in the White House and Congress,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whether any future legislation or regulation in the United States may negatively affect our business, financial condition, results of operations and prospects. The continuing efforts of the government, insurance companies, managed care organizations and other payors of healthcare services to contain or reduce costs of healthcare may adversely affect our ability to set a price that we believe is fair for our products, our ability to generate revenue and achieve or maintain profitability and the availability of capital.</w:t>
      </w:r>
    </w:p>
    <w:p>
      <w:pPr>
        <w:spacing w:after="0" w:line="15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Any changes of, or uncertainty with respect to, future coverage or reimbursement rates could affect demand for our products, which may prevent us from being able to generate additional revenue or attain profitability.</w:t>
      </w:r>
    </w:p>
    <w:p>
      <w:pPr>
        <w:spacing w:after="0" w:line="11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many laws and governmental regulations affecting our marketed products, both domestically and internationally, and any adverse regulatory action may adversely affect our business, financial condition, results of operations and prospects.</w:t>
      </w:r>
    </w:p>
    <w:p>
      <w:pPr>
        <w:spacing w:after="0" w:line="133"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7"/>
          <w:szCs w:val="17"/>
          <w:color w:val="auto"/>
        </w:rPr>
        <w:t>The Heartflow Platform is subject to regulation by numerous government authorities, including the FDA and comparable foreign authorities, after clearance or approval of current and future versions of the product. To varying degrees, each of these authorities requires us to comply with laws and regulations governing the development, design, testing, manufacture, labeling, advertising, promotion, distribution, import and export of our products. The Heartflow Platform (also referred to as Heartflow Analysis, which consists of four main functions, the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the Heartflow Plaque Analysis, the</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Heartflow RoadMap Analysis and the Heartflow PCI Navigator (which we expect to launch in the second quarter of 2026)) has been cleared by the FDA and received Conformité Européene Mark (“CE Mark”) in the European Economic Area and the United Kingdom, while the Heartflow FFRct Analysis has been approved for marketing authorization in Japan by the Pharmaceuticals and Medical Devices Agency (“PMDA”), all for specific indications for use.</w:t>
      </w:r>
    </w:p>
    <w:p>
      <w:pPr>
        <w:ind w:right="300"/>
        <w:spacing w:after="0" w:line="239" w:lineRule="auto"/>
        <w:rPr>
          <w:sz w:val="20"/>
          <w:szCs w:val="20"/>
          <w:color w:val="auto"/>
        </w:rPr>
      </w:pPr>
      <w:r>
        <w:rPr>
          <w:rFonts w:ascii="Times New Roman" w:cs="Times New Roman" w:eastAsia="Times New Roman" w:hAnsi="Times New Roman"/>
          <w:sz w:val="18"/>
          <w:szCs w:val="18"/>
          <w:color w:val="auto"/>
        </w:rPr>
        <w:t>Additionally, some or all of our platform have received medical device licensing or approvals in Canada, Australia, Israel, Saudi Arabia and United Arab Emirates and Bahrain.</w:t>
      </w:r>
    </w:p>
    <w:p>
      <w:pPr>
        <w:spacing w:after="0" w:line="15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We currently have ongoing responsibilities under U.S. and global registered or licensed regions regulation requirements related to product and facility registration, device listing, adverse event reporting, reporting of recalls and field corrective actions, manufacturing, advertising, promotion, distribution, import, and export. Additionally, based on the scope of our sites, we have facility registration responsibilities in the state of California with the California Department of Public Health (“CDPH”). In certain jurisdictions outside of the United States, we contract with third parties (i.e., notified bodies, authorized representatives, importers, and manufacturing authorization holders) who either oversee regulatory compliance or assume regulatory responsibilities for our products distributed by those third parties. We are subject to periodic inspections and audits by the FDA, notified bodies, authorized representatives and comparable foreign authorities to determine compliance with regulatory requirements, including good manufacturing practices such as the Quality Management System Regulation of the FDA, Medical Device Single Audit Program, ISO 13485:2016, and EN ISO 13485:2021 concerning the EU, establishment registration and device listing, medical device reporting, vigilance reporting of adverse events, notification of corrections, recalls, field safety corrective actions and product labeling and marketing. These inspections and audits can result in inspectional observations or reports, untitled letters and warning letters or other forms of enforcement action. If the FDA or comparable foreign authorities conclude, as a result of these inspections or audits or from any other source of information, that we are not in compliance with applicable laws or regulations, or that our products are ineffective or pose an unreasonable health risk, such authorities could ban these products, suspend or cancel our marketing authorizations, impose “stop sale” and “stop import” orders, refuse to issue export certificates, detain or seize adulterated or misbranded products, order a recall, repair, replacement, correction or refund of such products, require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2" w:lineRule="auto"/>
        <w:rPr>
          <w:sz w:val="20"/>
          <w:szCs w:val="20"/>
          <w:color w:val="auto"/>
        </w:rPr>
      </w:pPr>
      <w:r>
        <w:rPr>
          <w:rFonts w:ascii="Times New Roman" w:cs="Times New Roman" w:eastAsia="Times New Roman" w:hAnsi="Times New Roman"/>
          <w:sz w:val="18"/>
          <w:szCs w:val="18"/>
          <w:color w:val="auto"/>
        </w:rPr>
        <w:t>us to conduct post-market surveillance studies or change the labeling for our products, or require us to notify health professionals and others that the products present unreasonable risks of substantial harm to the public health. Failure to comply with regulatory requirements may also subject us to additional administrative and judicially imposed sanctions, warning letters, civil and criminal penalties, injunctions, interruption of manufacturing or clinical trials, total or partial suspension of production and resulting adverse publicity.</w:t>
      </w:r>
    </w:p>
    <w:p>
      <w:pPr>
        <w:spacing w:after="0" w:line="141"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18"/>
          <w:szCs w:val="18"/>
          <w:color w:val="auto"/>
        </w:rPr>
        <w:t>Discovery of previously unknown problems with our products’ design or manufacture may result in restrictions on the use of the Heartflow Platform, restrictions placed on us or our suppliers or withdrawal of the existing regulatory clearance of the Heartflow Platform. The FDA or comparable foreign authorities may also impose operating restrictions, enjoin and restrain violations of applicable law pertaining to medical devices, assess civil or criminal penalties against our officers, employees or us or recommend criminal prosecution of our company. Adverse regulatory action of a certain magnitude may restrict us from effectively marketing and selling our products. In addition, negative publicity or product liability claims resulting from any adverse regulatory action could have an adverse effect on our business, financial condition, results of operations and prospects.</w:t>
      </w:r>
    </w:p>
    <w:p>
      <w:pPr>
        <w:spacing w:after="0" w:line="15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In many of the foreign countries in which we market our products, we are subject to extensive medical device regulations that are similar or more extensive to those of the FDA, including those in Europe. The regulation of our products in Europe falls within the European Economic Area, which consists of the 27 member states of the European Union, as well as Iceland, Liechtenstein and Norway. Only medical devices that comply with certain conformity requirements of the Medical Devices Regulation (E.U.) 2017/745 concerning Medical Devices, or in certain cases the E.U. Medical Devices Directive, Directive 2006/114/EC are allowed to be marketed within the European Economic Area.</w:t>
      </w:r>
    </w:p>
    <w:p>
      <w:pPr>
        <w:spacing w:after="0" w:line="144"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8"/>
          <w:szCs w:val="18"/>
          <w:color w:val="auto"/>
        </w:rPr>
        <w:t>Foreign governmental regulations have become increasingly stringent and more extensive, and we may become subject to even more rigorous regulation by foreign governmental authorities in the future. Penalties for a company’s noncompliance with foreign governmental regulation could be severe, including revocation or suspension of a company’s business license and civil or criminal sanctions. In some jurisdictions, such as Germany, any violation of a law related to medical devices is also considered to be a violation of unfair competition law. In such cases, governmental authorities, our competitors and business or consumer associations may then file lawsuits to prohibit us from commercializing the Heartflow Platform in such jurisdictions. Our competitors may also sue us for damages. Any domestic or foreign governmental law or regulation imposed in the future may have an adverse effect on our business, financial condition, results of operations and prospects.</w:t>
      </w:r>
    </w:p>
    <w:p>
      <w:pPr>
        <w:spacing w:after="0" w:line="15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or completion of future or ongoing clinical testing could result in increased costs to us and delay our ability to market the Heartflow Platform for additional indications.</w:t>
      </w:r>
    </w:p>
    <w:p>
      <w:pPr>
        <w:spacing w:after="0" w:line="145" w:lineRule="exact"/>
        <w:rPr>
          <w:sz w:val="20"/>
          <w:szCs w:val="20"/>
          <w:color w:val="auto"/>
        </w:rPr>
      </w:pPr>
    </w:p>
    <w:p>
      <w:pPr>
        <w:jc w:val="both"/>
        <w:ind w:right="220"/>
        <w:spacing w:after="0" w:line="239" w:lineRule="auto"/>
        <w:rPr>
          <w:sz w:val="20"/>
          <w:szCs w:val="20"/>
          <w:color w:val="auto"/>
        </w:rPr>
      </w:pPr>
      <w:r>
        <w:rPr>
          <w:rFonts w:ascii="Times New Roman" w:cs="Times New Roman" w:eastAsia="Times New Roman" w:hAnsi="Times New Roman"/>
          <w:sz w:val="18"/>
          <w:szCs w:val="18"/>
          <w:color w:val="auto"/>
        </w:rPr>
        <w:t>We recently completed enrolling patients for our DECIDE clinical trial to evaluate our Heartflow Plaque Analysis in a real-world setting. We do not know whether our DECIDE clinical trial or any future trials will be completed on schedule, or at all. The commencement or completion of clinical trials can be disrupted for a variety of reasons, including difficulties in:</w:t>
      </w:r>
    </w:p>
    <w:p>
      <w:pPr>
        <w:spacing w:after="0" w:line="143"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recruiting and enrolling patients to participate in, and investigators to conduct, a clinical trial;</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reaching agreements on acceptable terms with prospective clinical research organizations and trial sites;</w:t>
      </w:r>
    </w:p>
    <w:p>
      <w:pPr>
        <w:spacing w:after="0" w:line="179" w:lineRule="exact"/>
        <w:rPr>
          <w:rFonts w:ascii="Arial" w:cs="Arial" w:eastAsia="Arial" w:hAnsi="Arial"/>
          <w:sz w:val="18"/>
          <w:szCs w:val="18"/>
          <w:color w:val="auto"/>
        </w:rPr>
      </w:pPr>
    </w:p>
    <w:p>
      <w:pPr>
        <w:ind w:left="320" w:right="140" w:hanging="313"/>
        <w:spacing w:after="0" w:line="245" w:lineRule="auto"/>
        <w:tabs>
          <w:tab w:leader="none" w:pos="32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obtaining approval of an investigational device exemption, application from the FDA or equivalent authorization from foreign regulatory authorities, if required; or</w:t>
      </w:r>
    </w:p>
    <w:p>
      <w:pPr>
        <w:spacing w:after="0" w:line="151" w:lineRule="exact"/>
        <w:rPr>
          <w:rFonts w:ascii="Arial" w:cs="Arial" w:eastAsia="Arial" w:hAnsi="Arial"/>
          <w:sz w:val="18"/>
          <w:szCs w:val="18"/>
          <w:color w:val="auto"/>
        </w:rPr>
      </w:pPr>
    </w:p>
    <w:p>
      <w:pPr>
        <w:ind w:left="320" w:hanging="313"/>
        <w:spacing w:after="0"/>
        <w:tabs>
          <w:tab w:leader="none" w:pos="32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obtaining IRB approval to conduct a clinical trial at a prospective 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clinical trial may also be suspended or terminated by us, an IRB, the FDA or other regulatory authorities due to a number of factors, including:</w:t>
      </w:r>
    </w:p>
    <w:p>
      <w:pPr>
        <w:spacing w:after="0" w:line="180" w:lineRule="exact"/>
        <w:rPr>
          <w:sz w:val="20"/>
          <w:szCs w:val="20"/>
          <w:color w:val="auto"/>
        </w:rPr>
      </w:pPr>
    </w:p>
    <w:p>
      <w:pPr>
        <w:ind w:left="5540" w:right="2140" w:hanging="5533"/>
        <w:spacing w:after="0" w:line="462" w:lineRule="auto"/>
        <w:tabs>
          <w:tab w:leader="none" w:pos="333"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in accordance with our clinical protocols;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inspection of the clinical trial operations or trial site by the FDA or other regulatory authorities resulting in the imposition of a clinical hold;</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safety or effectiveness issues; or</w:t>
      </w:r>
    </w:p>
    <w:p>
      <w:pPr>
        <w:spacing w:after="0" w:line="166" w:lineRule="exact"/>
        <w:rPr>
          <w:rFonts w:ascii="Arial" w:cs="Arial" w:eastAsia="Arial" w:hAnsi="Arial"/>
          <w:sz w:val="18"/>
          <w:szCs w:val="18"/>
          <w:color w:val="auto"/>
        </w:rPr>
      </w:pPr>
    </w:p>
    <w:p>
      <w:pPr>
        <w:ind w:left="320" w:hanging="313"/>
        <w:spacing w:after="0"/>
        <w:tabs>
          <w:tab w:leader="none" w:pos="3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8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In addition, changes in regulatory requirements and guidance may occur, and we may need to amend clinical trial protocols to respond to such changes, which could impact the cost, timing or successful completion of a clinical trial. If we experience delays in the commencement or completion of our clinical trials, the commercial prospects for additional indications for our products will be harmed.</w:t>
      </w:r>
    </w:p>
    <w:p>
      <w:pPr>
        <w:spacing w:after="0" w:line="15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5"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including our DECIDE clinical trial, which is based on a preliminary analysis of then-available data, and the results and related findings and conclusions are subject to change following a more comprehensive review of the data related to the particular trial or additional data collected at a later time.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interim, top-line or preliminary data we previously announced. As a result, interim,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our share price.</w:t>
      </w:r>
    </w:p>
    <w:p>
      <w:pPr>
        <w:spacing w:after="0" w:line="16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Further, others, including the FDA and other regulatory authorities or other bodies, may not accept or agree with our assumptions, estimates, calculations, conclusions or analyses or may interpret or weigh the importance of data differently, which could impact the value of the particular trial, or the approvability or potential for commercialization of the particular medical device.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The interim, top-line or preliminary data that we report may differ from final results, and regulatory authorities and other bodies may disagree with the conclusions reached, which may harm our ability to obtain marketing authorization for, and commercialize, our future products, which could harm our business, financial condition, results of operations and prospects.</w:t>
      </w:r>
    </w:p>
    <w:p>
      <w:pPr>
        <w:spacing w:after="0" w:line="13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face product liability claims that could result in costly litigation and significant liabilities. We may not be able to maintain adequate product liability insurance.</w:t>
      </w:r>
    </w:p>
    <w:p>
      <w:pPr>
        <w:spacing w:after="0" w:line="120"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Development, marketing and clinical testing of our products may expose us to product liability and other tort claims. Although we have, and intend to maintain, liability insurance, the coverage limits of our insurance policies may not be adequate and one or more successful claims brought against us may have an adverse effect on our business, financial condition, results of operations and prospects. For example, the U.S. Supreme Court declined to hear an appeal where the U.S. Court of Appeals for the Ninth Circuit ruled that the 1976 Medical Device Amendments to the Federal Food, Drug and Cosmetic Act did not preempt state laws in a product liability case involving a medical device company. If other courts in the United States adopt similar rulings, we may be subject to increased litigation risk in connection with our products. Product liability claims could negatively affect our reputation, product sales, and our ability to obtain and maintain regulatory approval for our products.</w:t>
      </w:r>
    </w:p>
    <w:p>
      <w:pPr>
        <w:spacing w:after="0" w:line="155"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18"/>
          <w:szCs w:val="18"/>
          <w:color w:val="auto"/>
        </w:rPr>
        <w:t>In addition, although we have product liability and clinical study liability insurance, this insurance is subject to deductibles and coverage limitations. Our current product liability insurance may not continue to be available to us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40"/>
        <w:spacing w:after="0" w:line="228" w:lineRule="auto"/>
        <w:rPr>
          <w:sz w:val="20"/>
          <w:szCs w:val="20"/>
          <w:color w:val="auto"/>
        </w:rPr>
      </w:pPr>
      <w:r>
        <w:rPr>
          <w:rFonts w:ascii="Times New Roman" w:cs="Times New Roman" w:eastAsia="Times New Roman" w:hAnsi="Times New Roman"/>
          <w:sz w:val="18"/>
          <w:szCs w:val="18"/>
          <w:color w:val="auto"/>
        </w:rPr>
        <w:t>on acceptable terms, if at all, and, if available, coverage may not be adequate to protect us against any future product liability claims. If we are unable to obtain insurance at an acceptable cost, on acceptable terms with adequate coverage, or at all, or otherwise protect against potential product liability claims, we will be exposed to significant liabilities, which may harm our business. A product liability claim, recall or other claim with respect to uninsured liabilities or for amounts in excess of insured liabilities could have an adverse effect on our reputation, business, financial condition, results of operations and prospects.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Heartflow Platform may be subject to recalls, which could be costly and could harm our reputation and business.</w:t>
      </w:r>
    </w:p>
    <w:p>
      <w:pPr>
        <w:spacing w:after="0" w:line="18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We are subject to ongoing medical device reporting regulations that require us to report to the FDA or similar governmental authorities in other countries if our products cause, or contribute to, death or serious injury, or if they malfunction and would be likely to cause, or contribute to, death or serious injury if the malfunction were to recur. We could voluntarily elect to, or the FDA and similar governmental authorities in other countries could require us to, perform a correction, field safety corrective action, advisory notices, removal or other recall of our products in the event of material deficiencies or defects in design, manufacturing or labeling that could cause harm. Under some of these circumstances we have recall reporting obligations, which are typically public. Our products have been in the past, and may in the future, be the subject of medical device reports of adverse events with the MAUDE database, including reports of false negative results and incorrect or imprecise results or readings. While none of these MAUDE reports resulted in a mandated or voluntary correction, field safety action, removal or a recall, a government mandated or voluntary correction, field safety corrective action, removal or other recall could occur as a result of manufacturing errors or design defects, including defects in labeling. Any correction, field safety corrective action, removal or other recall would divert managerial and financial resources and could lead to a substantial loss of physician and patient confidence in our products and, consequently, have an adverse effect on our growth prospects or operating results. A correction, field safety corrective action, removal or other recall could result in further regulatory scrutiny and also result in substantial litigation, including product liability claims, with liabilities well in excess of our insurance coverage limits. Any of these events could have an adverse effect on our reputation, business, financial condition, results of operations and prospects.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Off-label or other unlawful promotion of our products could result in costly investigations and sanctions from the FDA and other regulatory bodies.</w:t>
      </w:r>
    </w:p>
    <w:p>
      <w:pPr>
        <w:spacing w:after="0" w:line="18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We may only promote or market our products for their specifically cleared or approved indications. We train our marketing and sales force against promoting our products for uses outside of the cleared or approved indications for use (“off-label use”) and our marketing materials undergo internal reviews prior to release.</w:t>
      </w:r>
    </w:p>
    <w:p>
      <w:pPr>
        <w:spacing w:after="0" w:line="143"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8"/>
          <w:szCs w:val="18"/>
          <w:color w:val="auto"/>
        </w:rPr>
        <w:t>If the FDA determines that our promotional materials or training constitute promotion of an off-label use, or if there are claims that are not adequately substantiated or that are otherwise false or misleading, it could request that we modify our training or promotional materials or subject us to regulatory or enforcement actions, including triggering a for-cause inspection, the issuance of an untitled letter, a warning letter, injunction, seizure, civil fine or criminal penalties. It is also possible that other federal, state or foreign enforcement authorities, including the Federal Trade Commission or Department of Justice, might take action if they consider our business activities to constitute promotion of an off-label use or other unlawful promotion, which could result in significant penalties, including criminal, civil and administrative penalties, damages, fines, disgorgement, exclusion from participation in government healthcare programs and the curtailment of our operations. Any of these events could significantly harm our business, results of operations, financial condition and prospects.</w:t>
      </w:r>
    </w:p>
    <w:p>
      <w:pPr>
        <w:spacing w:after="0" w:line="15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Further, the advertising and promotion of our products are subject to European Economic Area Member States laws implementing the Medical Device Regulation and Directive 2005/29/EC on unfair commercial practices, as well as other European Economic Area Member State legislation governing the advertising and promotion of medical devices. European Economic Area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 harming our business, financial condition, results of operations and prospects.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state and foreign healthcare fraud and abuse, compliance, transparency and privacy laws and regulations, and a failure to comply with such laws and regulations could have an adverse effect on our business; similarly, an investigation, inquiry or audit by a government agency that alleges violations of law or regulation may have an adverse effect on our business.</w:t>
      </w:r>
    </w:p>
    <w:p>
      <w:pPr>
        <w:spacing w:after="0" w:line="14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Our operations are, and will continue to be, directly and indirectly affected by various federal, state and/or foreign healthcare laws, including those described below. In particular, because the use of our products are directly or indirectly reimbursed by U.S. federal health care programs, for example Medicare, we are subject to the federal Anti-Kickback Statute, a criminal law that prohibits, among other things, any person or entity from knowingly and willfully offering, paying, soliciting or receiving any remuneration in cash or in-kind (including any kickback or bribe, but also common forms of remuneration, such as service or consulting fees, service fees, meals, travel expenses, discounts or rebates), directly or indirectly, overtly or covertly, in cash or in-kind, in return for or to induce the referring, ordering, leasing, purchasing or arranging for or recommending the referring, ordering, purchasing or leasing of any good, facility, item or service, for which payment may be made, in whole or in part, under federal healthcare programs, such as the Medicare and Medicaid programs. The term “remuneration” has been broadly interpreted to include anything of value. Although there are a number of statutory exceptions and regulatory safe harbors protecting certain common activities, the exceptions and safe harbors are drawn narrowly. Failure to meet all of the requirements of a statutory exception or regulatory safe harbor does not make the conduct per se illegal under the Anti-Kickback Statute. Instead,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(or purchases, uses or recommendations of prescriptions, uses or purchases related to) federal healthcare program covered business, the Anti-Kickback Statute has been implicated and potentially violated. Our practices may not in all cases meet all of the criteria for safe harbor protection from Anti-Kickback Statute liability. Further, the ACA, amends the intent requirement of the federal Anti-Kickback Statute and certain criminal healthcare fraud statutes. A person or entity no longer needs to have actual knowledge of the statute or specific intent to violate it. In addition, the government may assert that a claim for payment by a government health care program including items or services resulting from a violation of the Anti-Kickback Statute constitutes a false or fraudulent claim for purposes of the false claims laws.</w:t>
      </w:r>
    </w:p>
    <w:p>
      <w:pPr>
        <w:spacing w:after="0" w:line="150"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8"/>
          <w:szCs w:val="18"/>
          <w:color w:val="auto"/>
        </w:rPr>
        <w:t>The U.S.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civil False Claims Act also applies to false submissions that cause the government to not receive a benefit to which it is entitled, such as a discounted sales price for products covered by federal healthcare programs. Intent to deceive is not required to establish liability under the civil False Claims Act. In addition, the civil False Claims Act includes a whistleblower provision that allows private citizens to bring claims on behalf of the U.S. government alleging violations of the law. Whistleblowers may be entitled to up to as much as thirty percent (30%) of the government’s financial recovery resulting from such claims. This incentivizes potential whistleblowers to file complaints in federal court, which complaints are relied upon heavily by the government to investigate and prosecute allegations of violations of both the civil False Claims Act and the Anti-Kickback Statute. U.S. enforcement authorities or private whistleblowers acting on behalf of the U.S. government may file complaints under the civil False Claims Act alleging that we have caused one or more of our customers to submit false submissions for reimbursement from federal health care programs, including Medicare, Medicaid, or the Veterans Affairs program due to alleged kickbacks, the sale of adulterated or misbranded products, or the provision of false or misleading information to our customers or other third parties. For example, in October 2025, we and certain of our employees received civil investigative demands (the “CID”) from the U.S. Department of Justice, Civil Division, in connection with an investigation under the federal Anti-Kickback Statute and Civil False Claims Act (the “Investigation”). The CID requests information, documents, and testimony focused on our financial and contractual arrangements with providers and our sales and marketing activities. We are cooperating with the Investigation. We are unable to express a view at this time regarding the likely duration, or ultimate outcome, of the Investigation. Depending on the outcome of the Investigation, there may be a material impact on our business, results of operations, financial condition, or cash flows.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Additionally, under the federal Civil Money Penalty Statute, the Department of Health and Human Services (“HHS”) may impose civil money penalties against entities that make offers to transfer or transfer remuneration, including gifts, payments or routine waivers of co-payments or deductibles, to any Medicare beneficiary in order to influence such individual to order or receive any item or service for which payment may be made, in whole or in part, under Medicare and/or a State health care program. The federal Civil Money Penalty Statute also creates potential civil liability, with a lower threshold for violation, of the same types of activities that would violate the criminal Anti-Kickback Statute.</w:t>
      </w:r>
    </w:p>
    <w:p>
      <w:pPr>
        <w:spacing w:after="0" w:line="15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Violations of these laws and regulations may result in significant criminal and/or civil fines and penalties, as well as potential exclusion from participation in federal health care programs, that could significantly impact our business and operations.</w:t>
      </w:r>
    </w:p>
    <w:p>
      <w:pPr>
        <w:spacing w:after="0" w:line="12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We are also subject to other federal and state fraud and abuse laws, including HIPAA’s fraud provisions, which among other things, are criminal laws that prohibit, among other actions, knowingly and willfully executing, or attempting to execute, a scheme or artifice to defraud any healthcare benefit program, including private payors, knowingly and willfully embezzling or stealing from a healthcare benefit program, willfully preventing, obstructing, misleading, delaying or attempting to delay a criminal investigation of a healthcare offense and knowingly and willfully falsifying, concealing or covering up a material fact or making any materially false, fictitious or fraudulent statement or representation in connection with the delivery of or payment for healthcare benefits, items or services. Many of these state laws closely mirror the federal Anti-Kickback Statute or civil False Claims Act but apply more broadly to products and services that are paid for in any way, whereas the federal law pertains only to those reimbursed by federal health care programs. In addition, many states have also adopted laws prohibiting fee-splitting (the sharing of professional fees with non-state licensed persons or entities), restricting marketing activities with physicians and/or prohibiting the practice of medicine (or the direction of the practice of medicine) by corporations or others that are not specifically licensed to practice medicine within the state. While under our model, licensed practitioners independently are providing any and all medical treatment and diagnostic services for which a state license is required, these state laws still may apply to 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are subject to foreign fraud and abuse laws and regulations, which vary by country, and can prohibit many of the same activities addressed by U.S.</w:t>
      </w:r>
    </w:p>
    <w:p>
      <w:pPr>
        <w:spacing w:after="0"/>
        <w:rPr>
          <w:sz w:val="20"/>
          <w:szCs w:val="20"/>
          <w:color w:val="auto"/>
        </w:rPr>
      </w:pPr>
      <w:r>
        <w:rPr>
          <w:rFonts w:ascii="Times New Roman" w:cs="Times New Roman" w:eastAsia="Times New Roman" w:hAnsi="Times New Roman"/>
          <w:sz w:val="18"/>
          <w:szCs w:val="18"/>
          <w:color w:val="auto"/>
        </w:rPr>
        <w:t>laws.</w:t>
      </w:r>
    </w:p>
    <w:p>
      <w:pPr>
        <w:spacing w:after="0" w:line="160"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We are also subject to the federal and state transparency reporting laws and regulations, gift bans and compliance reporting provisions. The Physician Payments Sunshine Act (also known as Open Payments) requires manufacturers of drugs, devices, biologics and medical supplies for which payment is available under Medicare, Medicaid or the State Children’s Health Insurance Program to report annually to the Centers for Medicare and Medicaid Services information related to payments and other transfers of value provided directly or indirectly to physicians (defined to include doctors, dentists, optometrists, podiatrists and chiropractors), other healthcare providers (such as physician assistants and nurse practitioners) and teaching hospitals. Such manufacturers are also required to annually report certain ownership and investment interests held by such U.S. physicians and their immediate family members. Certain states, like Massachusetts and Vermont, have similar reporting requirements. Some states, like Vermont, prohibit gifts and certain benefits from being provided to physicians licensed within that state. Other states, such as California and Nevada, mandate implementation of compliance programs to ensure compliance with fraud and abuse laws and regulations, as well as with industry codes of conduct, such as the AdvaMed Code of Ethics on Interactions with Health Care Professionals. Our business is subject to these many requirements, which can be nuanced and lacking in clear guidance. Our failure to comply with these laws or regulations could result in substantial fines or penalties. Further, our reports made pursuant to these laws may be used by enforcement authorities or whistleblowers to raise or substantiate allegations against us.</w:t>
      </w:r>
    </w:p>
    <w:p>
      <w:pPr>
        <w:spacing w:after="0" w:line="15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We are also subject to the federal physician self-referral prohibitions, commonly known as the Stark Law, which prohibits, among other things, physicians who have a financial relationship, including an investment, ownership or compensation relationship with an entity that submits claims for payment to the Medicare or Medicaid programs, from referring Medicare or Medicaid patients for certain “designated health services,” which include diagnostic imaging services related to our products, unless an exception applies. Similarly, entities may not bill Medicare or any other party for services furnished pursuant to a prohibited referral. Many states have their own self-referral laws as well, which in some cases apply to all payors, not just Medicare and Medicaid.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now or in the future, we may be subject to significant penalties, including civil and criminal penalties, damages, fines, disgorgement, exclusion from governmental healthcare programs and the curtailment or restructuring of our operations, any of which could adversely affect our ability to operate our business and our financial results.</w:t>
      </w:r>
    </w:p>
    <w:p>
      <w:pPr>
        <w:spacing w:after="0" w:line="15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We also note that there is risk of our being found in violation of these laws by the fact that many of them have not been fully, clearly or consistently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to achieve compliance with applicable federal and state privacy, security and electronic transaction laws, we may be required to modify our operations with respect to the handling of patient information. Similarly, to achieve compliance with other applicable federal and state anti-fraud, open payments or other healthcare regulations, we may be required to modify our operations. Implementing any of these modifications may prove costly. At this time, we are not able to determine the full consequences to us, including the total cost of compliance, of these various federal and state laws.</w:t>
      </w:r>
    </w:p>
    <w:p>
      <w:pPr>
        <w:spacing w:after="0" w:line="152"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45"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We are subject to the FCPA, the U.S. domestic bribery statute contained in 18 U.S.C. § 201, the U.S. Travel Act, the USA PATRIOT Act, the U.K. Bribery Act of 2010 and Proceeds of Crime Act 2002 and possibly other state and national anti-bribery and anti-money laundering laws in countries in which we conduct activities. Anti-corruption laws are interpreted broadly and prohibit companies and their employees and third-party intermediaries from authorizing, promising, offering or providing, directly or indirectly, improper payments or benefits to recipients in the public or private sector. We use third-party representatives to support sales of our products abroad. In addition, as we increase our international sales and business, we may engage with additional business partners and third-party intermediaries to sell our products abroad and to obtain necessary permits, licenses and other regulatory approvals. We or our third-party intermediaries may have direct or indirect interactions with officials and employees of government agencies or state owned or affiliated entities.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6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 As a general matter, enforcement actions and sanctions could harm our business, financial condition, results of operations and prospects.</w:t>
      </w:r>
    </w:p>
    <w:p>
      <w:pPr>
        <w:spacing w:after="0" w:line="136" w:lineRule="exact"/>
        <w:rPr>
          <w:sz w:val="20"/>
          <w:szCs w:val="20"/>
          <w:color w:val="auto"/>
        </w:rPr>
      </w:pPr>
    </w:p>
    <w:p>
      <w:pPr>
        <w:ind w:right="9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133"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8"/>
          <w:szCs w:val="18"/>
          <w:color w:val="auto"/>
        </w:rPr>
        <w:t>Our products are subject to export control and import laws and regulations, including the U.S. Export Administration Regulations, U.S. Customs regulations and various economic and trade sanctions regulations administered by the U.S. Treasury Department’s Office of Foreign Assets Control. Exports of our products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7" w:lineRule="auto"/>
        <w:rPr>
          <w:sz w:val="20"/>
          <w:szCs w:val="20"/>
          <w:color w:val="auto"/>
        </w:rPr>
      </w:pPr>
      <w:r>
        <w:rPr>
          <w:rFonts w:ascii="Times New Roman" w:cs="Times New Roman" w:eastAsia="Times New Roman" w:hAnsi="Times New Roman"/>
          <w:sz w:val="18"/>
          <w:szCs w:val="18"/>
          <w:color w:val="auto"/>
        </w:rPr>
        <w:t>license, for a particular sale may be time consuming, is not guaranteed and may result in the delay or loss of sales opportunities. In addition, changes in our products or changes in applicable export or import regulations may create delays in the introduction and sale of our products in international markets, prevent our customers with international operations from deploying our products or, in some cases, prevent the export or import of our products to certain countries, governments or persons altogether. Any change in export or import regulations, shift in the enforcement or scope of existing regulations or change in the countries, governments, persons or technologies targeted by such regulations, could also result in decreased use of our products, or in our decreased ability to export or sell our products to existing or potential customers with international operations. Any decreased use of our products or limitation on our ability to export or sell our products would likely adversely affect our business.</w:t>
      </w:r>
    </w:p>
    <w:p>
      <w:pPr>
        <w:spacing w:after="0" w:line="159"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Furthermore, we incorporate encryption technology into certain of our products. Various countries regulate the import of certain encryption technology, including through import permitting and licensing requirements, and have enacted laws that could limit our ability to distribute our products or could limit our customers’ ability to implement our products in those countries. Encrypted products and the underlying technology may also be subject to export control restrictions. Governmental regulation of encryption technology and regulation of imports or exports of encryption products, or our failure to obtain required import or export approval for our products, when applicable, could harm our international sales and adversely affect our revenue. Compliance with applicable regulatory requirements regarding the export of our products, including with respect to new releases of our products, may create delays in the introduction of our products in international markets, prevent our customers with international operations from deploying our products throughout their globally distributed systems or, in some cases, prevent the export of our products to some countries altogether.</w:t>
      </w:r>
    </w:p>
    <w:p>
      <w:pPr>
        <w:spacing w:after="0" w:line="157" w:lineRule="exact"/>
        <w:rPr>
          <w:sz w:val="20"/>
          <w:szCs w:val="20"/>
          <w:color w:val="auto"/>
        </w:rPr>
      </w:pPr>
    </w:p>
    <w:p>
      <w:pPr>
        <w:jc w:val="both"/>
        <w:ind w:right="180"/>
        <w:spacing w:after="0" w:line="239" w:lineRule="auto"/>
        <w:rPr>
          <w:sz w:val="20"/>
          <w:szCs w:val="20"/>
          <w:color w:val="auto"/>
        </w:rPr>
      </w:pPr>
      <w:r>
        <w:rPr>
          <w:rFonts w:ascii="Times New Roman" w:cs="Times New Roman" w:eastAsia="Times New Roman" w:hAnsi="Times New Roman"/>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7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8"/>
          <w:szCs w:val="18"/>
          <w:color w:val="auto"/>
        </w:rPr>
        <w:t>We have been in the past, and we may become in the future, subject to legal proceedings and claims that arise in the ordinary course of business, such as claims brought by our third-party vendors, our customers or their patients in connection with contractual disputes or the use of our Heartflow Platform, claims brought by us or by competitors related to intellectual property or employment claims made by our current or former employees. Litigation might result in substantial costs and may divert management’s attention and resources, which might seriously harm our business, financial condition, results of operations and prospects. Insurance might not cover such claims, might not provide sufficient payments to cover all the costs to resolve one or more such claims, and might not continue to be available at all or on terms acceptable to us (including premium increases or the imposition of large deductible or co-insurance requirements). A claim brought against us that is uninsured or underinsured could result in unanticipated costs, potentially harming our business, financial condition, results of operations and prospects. In addition, we cannot be sure that our existing insurance coverage will continue to be available on acceptable terms or at all or that our insurers will not deny coverage as to any future claim.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0" w:lineRule="exact"/>
        <w:rPr>
          <w:sz w:val="20"/>
          <w:szCs w:val="20"/>
          <w:color w:val="auto"/>
        </w:rPr>
      </w:pPr>
    </w:p>
    <w:p>
      <w:pPr>
        <w:ind w:right="42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rights, or the scope of our rights is not sufficiently broad, third parties could develop and commercialize technology and products similar or identical to ours, and our ability to successfully commercialize our technology and products may be adversely affected.</w:t>
      </w:r>
    </w:p>
    <w:p>
      <w:pPr>
        <w:spacing w:after="0" w:line="155"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continue obtaining and maintaining intellectual property protection for our technology and products, in both the United States and certain other countries, successfully defending this intellectual property against third-party challenges and successfully enforcing this intellectual property to prevent third-party infringement. We rely upon a combination of patents, trade secrets, know-how, copyrights, trademarks, license agreements and contractual provisions to establish our intellectual property rights and protect our products.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8"/>
          <w:szCs w:val="18"/>
          <w:color w:val="auto"/>
        </w:rPr>
        <w:t>Our ability to protect our technologies and products from unauthorized or infringing use by third parties depends in substantial part on our ability to obtain and maintain valid and enforceable patents in both the United States and certain other countries. The patent positions of medical technology and software companies can be highly uncertain and involve complex legal, scientific and factual questions for which important legal principles remain unresolved. In addition, the patent prosecution process is expensive, time-consuming and complex, and we may not be able to file, prosecute, maintain, enforce, defend or license all necessary or desirable patents or patent applications at a reasonable cost or in a timely manner, or in all jurisdictions.</w:t>
      </w:r>
    </w:p>
    <w:p>
      <w:pPr>
        <w:spacing w:after="0" w:line="15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We cannot guarantee that any patents will issue from any pending or future patent applications owned by or licensed to us, or if issued, the breadth of such patent coverage.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It is also possible that we may fail to identify patentable aspects of inventions made in the course of our development and commercial activities before it is too late to obtain patent protection on such inventions. If we fail to timely file for patent protection in any jurisdiction, we may be precluded from doing so at a later date.</w:t>
      </w:r>
    </w:p>
    <w:p>
      <w:pPr>
        <w:spacing w:after="0" w:line="15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ownership, scope, validity, or enforceability, and our owned or licensed patents may be challenged in the courts or the patent offices of the United States or abroad. Such challenges may result in a loss of exclusivity or in the patent’s claims being narrowed, invalidated or held unenforceable, in whole or in part, which could limit our ability to stop third parties from using or commercializing similar or identical products, or limit the duration of patent protection for our technology and products. In addition, changes in either the patent laws, implementing regulations or interpretations of patent laws in the United States or foreign countries may diminish the value of our patent rights.</w:t>
      </w:r>
    </w:p>
    <w:p>
      <w:pPr>
        <w:spacing w:after="0" w:line="157"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Even if unchallenged, our owned or licensed patents may not provide us with exclusivity or commercial value for our products, or any significant protection against competitive products, or prevent others from designing around our claims. Our competitors might conduct research and development activities in countries where we do not have patent rights (or in those countries where we do, under safe harbor provisions) and then use the information learned from such activities to develop competitive products for sale in our major commercial markets. Further, if we encounter delays in regulatory approvals, the period of time during which we could market our products under patent protection could be reduced. Any of these outcomes could impair our ability to prevent competition from third parties, which may have an adverse impact on our business.</w:t>
      </w:r>
    </w:p>
    <w:p>
      <w:pPr>
        <w:spacing w:after="0" w:line="15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Patent applications are generally maintained in confidence until publication. In the United States, for example, patent applications are maintained in secrecy for up to 18 months after their filing. Nonpublication requests may allow a United States patent application to go unpublished until issuance. Similarly, publication of discoveries in scientific or patent literature often lag behind actual discoveries. Consequently, we cannot be certain that we or our licensors were the first to invent, or the first to file patent applications on our products. There is also no assurance that all of the potentially relevant prior art relating to our patents and patent applications has been found, which could be used by a third party to challenge the validity of our patents or prevent a patent from issuing from a pending patent application.</w:t>
      </w:r>
    </w:p>
    <w:p>
      <w:pPr>
        <w:spacing w:after="0" w:line="15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In addition to patents, proprietary trade secrets and unpatented know-how are important to our business. For information about risks related to these intellectual property rights, see the risk factor titled “If we are unable to protect the disclosure and use of our confidential information and trade secrets, the value of our products and technologies and our business and competitive position could be harmed” below. We also rely on the trademarks we own to distinguish our products from the products of our competitors. We cannot guarantee that any trademark applications filed by us will be approved. Third parties may also oppose or attempt to cancel our trademark applications or trademarks, or otherwise challenge our use of the trademarks. In the event that the trademarks we use are successfully challenged, we could be forced to rebrand our products, which could result in loss of brand recognition, and could require us to devote resources to advertising and marketing new brands. Competitors or other parties may adopt trade names or trademarks similar to ours, thereby impeding our ability to build brand identity and possibly leading to market confusion.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Further, we cannot provide assurance that competitors will not infringe the trademarks we use, or that we will have adequate resources to enforce these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Over the long term, if we are unable to establish name recognition based on our trademarks and trade names, then we may not be able to compete effectively and our business may be adversely affected.</w:t>
      </w:r>
    </w:p>
    <w:p>
      <w:pPr>
        <w:spacing w:after="0" w:line="14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For information about risks related to our inability to protect our intellectual property rights outside the United States, see the risk factor titled “We may not be able to adequately protect our intellectual property rights throughout the world” below.</w:t>
      </w:r>
    </w:p>
    <w:p>
      <w:pPr>
        <w:spacing w:after="0" w:line="11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disclosure and use of our confidential information and trade secrets, the value of our products and technologies and our business and competitive position could be harmed.</w:t>
      </w:r>
    </w:p>
    <w:p>
      <w:pPr>
        <w:spacing w:after="0" w:line="133"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trade secrets, know -how, and/or other proprietary information that is not patentable or that we elect not to patent. However, trade secrets can be difficult to protect, and some courts are less willing or unwilling to protect trade secrets. Although we have taken steps to protect our trade secrets and unpatented know-how, including by entering into confidentiality agreements with third parties, and proprietary information and invention agreements with our employees, consultants and advisors, third parties may still obtain this information or we may be unable to protect our rights. There can be no assurance that binding agreements will not be breached, that we would have adequate remedies for any breach, or that our trade secrets and unpatented know-how will not otherwise become known or be independently discovered by our competitors.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security measures may be breached, and we may not have adequate remedies for any such breach.</w:t>
      </w:r>
    </w:p>
    <w:p>
      <w:pPr>
        <w:spacing w:after="0" w:line="162" w:lineRule="exact"/>
        <w:rPr>
          <w:sz w:val="20"/>
          <w:szCs w:val="20"/>
          <w:color w:val="auto"/>
        </w:rPr>
      </w:pPr>
    </w:p>
    <w:p>
      <w:pPr>
        <w:ind w:right="300"/>
        <w:spacing w:after="0" w:line="230"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we would have no right to prevent them, or those to whom they communicate it, from using that information to compete with us. Any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or technologies, which could adversely affect our pricing and market share. Unauthorized parties may also attempt to copy or reverse engineer certain aspects of our products or technologies that we consider proprietary.</w:t>
      </w:r>
    </w:p>
    <w:p>
      <w:pPr>
        <w:spacing w:after="0" w:line="14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claims are often based on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agreement terms that address non-competition are difficult to enforce in many jurisdictions and might not be enforceable in certain cases. Even if we were to be successful in the enforcement of our claims, we may not be able to obtain adequate remedies.</w:t>
      </w:r>
    </w:p>
    <w:p>
      <w:pPr>
        <w:spacing w:after="0" w:line="153" w:lineRule="exact"/>
        <w:rPr>
          <w:sz w:val="20"/>
          <w:szCs w:val="20"/>
          <w:color w:val="auto"/>
        </w:rPr>
      </w:pPr>
    </w:p>
    <w:p>
      <w:pPr>
        <w:ind w:right="4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 to others.</w:t>
      </w:r>
    </w:p>
    <w:p>
      <w:pPr>
        <w:spacing w:after="0" w:line="145"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8"/>
          <w:szCs w:val="18"/>
          <w:color w:val="auto"/>
        </w:rPr>
        <w:t>Any collaboration or other engagement with third parties for the development of our products may require us, at times, to share trade secrets with them. We may also conduct joint research and development programs that may require us to share trade secrets under the terms of our research and development partnerships or similar agreements.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40"/>
        <w:spacing w:after="0" w:line="227" w:lineRule="auto"/>
        <w:rPr>
          <w:sz w:val="20"/>
          <w:szCs w:val="20"/>
          <w:color w:val="auto"/>
        </w:rPr>
      </w:pPr>
      <w:r>
        <w:rPr>
          <w:rFonts w:ascii="Times New Roman" w:cs="Times New Roman" w:eastAsia="Times New Roman" w:hAnsi="Times New Roman"/>
          <w:sz w:val="18"/>
          <w:szCs w:val="18"/>
          <w:color w:val="auto"/>
        </w:rPr>
        <w:t>We seek to protect our trade secrets and other proprietary technology in part by entering into confidentiality agreements with third parties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Heartflow Platform is based, in part, on our know-how and trade secrets, a competitor’s discovery of our trade secrets or other unauthorized use or disclosure could have an adverse effect on our business, financial condition, results of operations and prospects.</w:t>
      </w:r>
    </w:p>
    <w:p>
      <w:pPr>
        <w:spacing w:after="0" w:line="15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 -how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58" w:lineRule="exact"/>
        <w:rPr>
          <w:sz w:val="20"/>
          <w:szCs w:val="20"/>
          <w:color w:val="auto"/>
        </w:rPr>
      </w:pPr>
    </w:p>
    <w:p>
      <w:pPr>
        <w:jc w:val="both"/>
        <w:ind w:right="62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5"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The U.S. Patent and Trademark Office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be due to be paid to the USPTO and various governmental patent agencies outside of the United States over the lifetime of our patents and/or applications and any patent rights we may obtain in the future. We have systems in place to remind us to pay these fees, and we employ outside firms to remind us to pay annuity fees due to patent agencies on our patents and pending patent applications.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relevant market, which would have an adverse effect on our business. Noncompliance events that could result in abandonment or lapse of a patent or patent application include failure to respond to official actions within prescribed time limits, non-payment of fees and failure to properly legalize and submit formal documents.</w:t>
      </w:r>
    </w:p>
    <w:p>
      <w:pPr>
        <w:spacing w:after="0" w:line="157" w:lineRule="exact"/>
        <w:rPr>
          <w:sz w:val="20"/>
          <w:szCs w:val="20"/>
          <w:color w:val="auto"/>
        </w:rPr>
      </w:pPr>
    </w:p>
    <w:p>
      <w:pPr>
        <w:ind w:right="5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precedents and policies in the United States and other jurisdictions could diminish the value of patents in general, thereby impairing our ability to protect our products.</w:t>
      </w:r>
    </w:p>
    <w:p>
      <w:pPr>
        <w:spacing w:after="0" w:line="14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The United States Supreme Court has ruled on several patent cases in recent years, either narrowing the scope of patent protection available in certain circumstances or weakening the rights of patent owners in certain situations. Changes</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6" w:lineRule="auto"/>
        <w:rPr>
          <w:sz w:val="20"/>
          <w:szCs w:val="20"/>
          <w:color w:val="auto"/>
        </w:rPr>
      </w:pPr>
      <w:r>
        <w:rPr>
          <w:rFonts w:ascii="Times New Roman" w:cs="Times New Roman" w:eastAsia="Times New Roman" w:hAnsi="Times New Roman"/>
          <w:sz w:val="18"/>
          <w:szCs w:val="18"/>
          <w:color w:val="auto"/>
        </w:rPr>
        <w:t>in either the patent laws or interpretations of patent laws in the United States or other jurisdictions may diminish the value of our intellectual property. In the United States, in certain circumstances, court rulings may narrow the scope of patent protection and weaken the rights of patent owners. We cannot predict how decisions by the courts, the U.S. Congress, the USPTO or changes in the patent laws of other jurisdictions may impact the value of our patents. Changes in the laws, regulations, precedents and procedures governing patents could have a material adverse effect on our existing patent portfolio and our ability to protect and enforce our intellectual property in the future, which could have a material adverse effect on our business, financial condition, results of operations and prospects.</w:t>
      </w:r>
    </w:p>
    <w:p>
      <w:pPr>
        <w:spacing w:after="0" w:line="160"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Further, patent coverage in medical devices and technologies is a subject of evolution and differences between countries. This is especially true of the definition of patentable subject matter which affects both computer-related inventions and biological inventions. This evolution may cause current granted patents to be considered non-patent eligible or prevent us from protecting future inventions. U.S. Supreme Court and Federal Circuit Court decisions interpreting and/or limiting the scope of patentable subject matter under 35 U.S.C. § 101, in addition to examination guidelines from the USPTO, have made it more difficult for patentees to obtain and/or maintain patent claims in the United States that are directed to medical technologies involving computer-implemented applications. Several precedential decisions regarding patentable subject matter are of particular relevance to patents in the computer-implemented applications space. Our efforts to seek patent protection for our technologies and products may be impacted by the evolving case law and guidance or procedures issued by the USPTO or authorities in other jurisdictions based on such evolving case law.</w:t>
      </w:r>
    </w:p>
    <w:p>
      <w:pPr>
        <w:spacing w:after="0" w:line="157"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For example, the complexity and uncertainty of European patent laws have also increased in recent years. In Europe, a new unitary patent system took effect June 1, 2023, which significantly impacts European patents, including those granted before the introduction of the new unitary patent system. Under the unitary patent system, European applications have the option, upon grant of a patent, of becoming a Unitary Patent which will be subject to the jurisdiction of the Unitary Patent Court (“UPC”). As the UPC is a new court system, there is limited precedent for the court, increasing the uncertainty of any litigation. Patents granted before the implementation of the UPC have the ability to opt out of the jurisdiction of the UPC and remain as national patents in the UPC countries. The UPC will provide our competitors with a new forum to centrally revoke European patents and allow for the possibility of a competitor to obtain pan-European injunctions, since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44"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United States and Europe.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142"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In addition, on September 16, 2011, the Leahy-Smith America Invents Act (the “Leahy-Smith Act”) was signed into law. The Leahy-Smith Act includes a number of significant changes to U.S. patent law. 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this system, a third party that files a patent application in the USPTO before us could be awarded a patent covering an invention of ours even if we had made the invention before it was made by such third party. Since patent applications in the United States and most other countries are confidential for a period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60"/>
        <w:spacing w:after="0" w:line="239" w:lineRule="auto"/>
        <w:rPr>
          <w:sz w:val="20"/>
          <w:szCs w:val="20"/>
          <w:color w:val="auto"/>
        </w:rPr>
      </w:pPr>
      <w:r>
        <w:rPr>
          <w:rFonts w:ascii="Times New Roman" w:cs="Times New Roman" w:eastAsia="Times New Roman" w:hAnsi="Times New Roman"/>
          <w:sz w:val="18"/>
          <w:szCs w:val="18"/>
          <w:color w:val="auto"/>
        </w:rPr>
        <w:t>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5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The Leahy-Smith Act also changed the way patent applications are prosecuted, including by allowing third-party submission of prior art to the USPTO during patent prosecution and additional procedures to challenge the validity of a patent by USPTO administered post-grant proceedings to attack the validity of a patent.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might not be sufficient to invalidate the claim if presented in a federal court action. Accordingly, third parties may use USPTO proceedings to invalidate our patent claims that would not have been invalidated if first challenged in a district court action. Therefore, the Leahy-Smith Act and its implementation could increase the uncertainties and costs surrounding the prosecution of our patent applications and the enforcement or defense of our issued patents, which could have a material adverse effect on our business, financial condition, results of operations and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throughout the world.</w:t>
      </w:r>
    </w:p>
    <w:p>
      <w:pPr>
        <w:spacing w:after="0" w:line="18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Our patent portfolio includes patents and patent applications in countries outside of the United States, including Japan, Korea, China, Canada, Australia, Israel, India and countries in Europe. The requirements for patentability differ from country to country, the breadth of allowed patent claims can be inconsistent, the scope of coverage provided by these patents varies and the laws of some foreign countries may not protect our intellectual property rights to the same extent as laws in the United States. In addition, filing, prosecuting and defending patents on our products in all countries throughout the world would be prohibitively expensive. For those countries where we do not have granted patents, we may not have any ability to prevent the unauthorized sale of our products.</w:t>
      </w:r>
    </w:p>
    <w:p>
      <w:pPr>
        <w:spacing w:after="0" w:line="159"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or technology. For example, certain jurisdictions do not allow for patent protection with respect to methods of treatment.</w:t>
      </w:r>
    </w:p>
    <w:p>
      <w:pPr>
        <w:spacing w:after="0" w:line="157"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 Accordingly, our efforts to enforce our intellectual property and proprietary rights around the world may be inadequate to obtain a significant commercial advantage from the intellectual property that we develop or license.</w:t>
      </w:r>
    </w:p>
    <w:p>
      <w:pPr>
        <w:spacing w:after="0" w:line="144"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5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We do not seek or have patent rights in certain foreign countries in which a market may exist. Accordingly, our efforts to protect our intellectual property rights in such countries may be inadequate, which may have an adverse effect on our ability to successfully commercialize our products in all of our expected significant foreign markets.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could put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or the patents of our licensors, which could be expensive, time consuming and unsuccessful.</w:t>
      </w:r>
    </w:p>
    <w:p>
      <w:pPr>
        <w:spacing w:after="0" w:line="120"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Competitors or other third parties may infringe, misappropriate or otherwise violate our owned or licensed patents, trade secrets or other intellectual property. To counter infringement or unauthorized use, we may be compelled to file infringement or misappropriation claims, which can be expensive and time consuming. We do not carry intellectual property insurance that would cover such claims. In certain circumstances it may not be practicable or cost effective for us to enforce our intellectual property rights fully, particularly in certain developing countries or where the initiation of a claim might harm our business relationships. If we initiate legal proceedings against a third party to enforce a patent covering our products, the defendant could counterclaim that our patent(s) are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a patent we own or license is not valid, is unenforceable or is not infringed, or may refuse to stop the other party from using the technology at issue on the grounds that our patents do not cover the technology in question. The outcome following legal assertions of invalidity and unenforceability is unpredictable. With respect to the validity question, for example, we cannot be certain that there is no invalidating prior art. If a defendant were to prevail on a legal assertion of invalidity and/or unenforceability, we may lose some, and perhaps all, of the patent protection covering our products. An adverse result in any litigation or defense proceeding could put one or more of our patents at risk of being invalidated or interpreted narrowly, could put our patent applications at risk of not issuing and could have a material adverse impact on our business.</w:t>
      </w:r>
    </w:p>
    <w:p>
      <w:pPr>
        <w:spacing w:after="0" w:line="165"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Our defense of litigation may fail and, even if successful, may result in substantial costs and distract our management and other employees. Even if we establish infringement, the court may decide not to grant an injunction against further infringing activity and instead award only monetary damages, which may or may not be an adequate remedy. For example, the amount of any monetary damages may be inadequate to compensate us for damage as a result of the infringement and the proceedings. We may not be able to prevent, alone or with our suppliers, misappropriation of intellectual property rights important to our business, particularly in countries where the laws may not protect those rights as fully as in the United States.</w:t>
      </w:r>
    </w:p>
    <w:p>
      <w:pPr>
        <w:spacing w:after="0" w:line="157" w:lineRule="exact"/>
        <w:rPr>
          <w:sz w:val="20"/>
          <w:szCs w:val="20"/>
          <w:color w:val="auto"/>
        </w:rPr>
      </w:pPr>
    </w:p>
    <w:p>
      <w:pPr>
        <w:ind w:right="400"/>
        <w:spacing w:after="0" w:line="233"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158"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color w:val="auto"/>
        </w:rPr>
        <w:t>Third-party defendants may challenge any patent we own or in-license through adversarial proceedings in the issuing offices, which could result in the invalidation or unenforceability of some or all of the relevant patent claims. If a third party asserts a substantial new question of patentability against any claim of a U.S. patent we own or license, the USPTO may grant a request for reexamination, which may result in a loss of scope of some claims or a loss of the entire patent. The adoption of the Leahy-Smith Act has established additional opportunities for third parties to invalidate U.S. patent claims, including inter partes review and post grant review, on the basis of lower legal standards than reexamination and additional grounds. Outside of the United States, patents we own or license may become subject to patent opposition or similar proceedings, which may result in loss of scope of some claims or loss of the entire patent. Participation in adversarial proceedings is very complex, expensive and may divert our management’s attention from our core business and may result in unfavorable outcomes that could adversely affect our ability to prevent third parties from competing with us.</w:t>
      </w:r>
    </w:p>
    <w:p>
      <w:pPr>
        <w:spacing w:after="0" w:line="153" w:lineRule="exact"/>
        <w:rPr>
          <w:sz w:val="20"/>
          <w:szCs w:val="20"/>
          <w:color w:val="auto"/>
        </w:rPr>
      </w:pPr>
    </w:p>
    <w:p>
      <w:pPr>
        <w:ind w:right="38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 rights or alleging that we have violated the intellectual property rights or other proprietary rights of third parties.</w:t>
      </w:r>
    </w:p>
    <w:p>
      <w:pPr>
        <w:spacing w:after="0" w:line="145"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develop, manufacture, market and sell our products and use our proprietary technologies without infringing the proprietary rights and intellectual property of third parties. The medical device industry is characterized by extensive and complex litigation regarding patents and other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7" w:lineRule="auto"/>
        <w:rPr>
          <w:sz w:val="20"/>
          <w:szCs w:val="20"/>
          <w:color w:val="auto"/>
        </w:rPr>
      </w:pPr>
      <w:r>
        <w:rPr>
          <w:rFonts w:ascii="Times New Roman" w:cs="Times New Roman" w:eastAsia="Times New Roman" w:hAnsi="Times New Roman"/>
          <w:sz w:val="18"/>
          <w:szCs w:val="18"/>
          <w:color w:val="auto"/>
        </w:rPr>
        <w:t>intellectual property rights. We may be exposed to, or threatened with, future litigation by third parties having patent or other intellectual property rights alleging that our products or proprietary technologies infringe on their intellectual property rights.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products. This includes litigation, or threatened litigation, with non-practicing entities that have no relevant product revenue and against whom our own patent portfolio may have no deterrent effect. The legal threshold for initiating litigation or contested proceedings is low, so that even lawsuits or proceedings with a low probability of success might be initiated and require significant resources to defend.</w:t>
      </w:r>
    </w:p>
    <w:p>
      <w:pPr>
        <w:spacing w:after="0" w:line="15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7"/>
          <w:szCs w:val="17"/>
          <w:color w:val="auto"/>
        </w:rPr>
        <w:t>We may also be subject to claims that former employees, collaborators or other third parties have an ownership interest in our patent rights or other intellectual property, for example, based on conflicting obligations of consultants or others who are involved in developing our products.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5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We employ individuals who were previously employed at other medical technology companies. In addition, we use publications that are subject to copyright, as well as proprietary information and materials from third parties in our research. Some of the information and materials we use from third parties may be subject to agreements that include restrictions on use or disclosure. Although we strive to ensure proper safeguards, we cannot guarantee strict compliance with such agreements, nor can we be sure that our employees, consultants and advisors do not use proprietary information, materials or know-how of others in their work for us. In addition, we may be subject to claims that we or our employees, consultants or independent contractors have inadvertently or otherwise used or disclosed alleged trade secrets or other proprietary information of former employers or other third parties.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We may also be subject to claims that former employers or other third parties have an ownership interest in our future patents. In addition, we may be subject to claims that we are infringing other intellectual property rights, such as trademarks or copyrights, and to the extent that our employees, consultants or contractors use intellectual property or proprietary information owned by others in their work for us, disputes may arise as to the rights in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160"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An unfavorable outcome for any such claim could require us to cease using the related technology or to attempt to license rights to it from the prevailing party. Our business could be harmed if the prevailing party does not offer us a license on commercially reasonable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w:t>
      </w:r>
    </w:p>
    <w:p>
      <w:pPr>
        <w:spacing w:after="0" w:line="180" w:lineRule="exact"/>
        <w:rPr>
          <w:sz w:val="20"/>
          <w:szCs w:val="20"/>
          <w:color w:val="auto"/>
        </w:rPr>
      </w:pPr>
    </w:p>
    <w:p>
      <w:pPr>
        <w:ind w:left="320" w:right="400" w:hanging="313"/>
        <w:spacing w:after="0" w:line="245" w:lineRule="auto"/>
        <w:tabs>
          <w:tab w:leader="none" w:pos="32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 consuming to litigate and may divert our management’s attention from our core business;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320" w:right="140" w:hanging="313"/>
        <w:spacing w:after="0" w:line="245" w:lineRule="auto"/>
        <w:tabs>
          <w:tab w:leader="none" w:pos="32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at issue infringes or violates the third party’s rights, and if the court finds that the infringement was willful, we could be ordered to pay treble damages and the patent owner’s attorneys’ fees;</w:t>
      </w:r>
    </w:p>
    <w:p>
      <w:pPr>
        <w:spacing w:after="0" w:line="151" w:lineRule="exact"/>
        <w:rPr>
          <w:rFonts w:ascii="Arial" w:cs="Arial" w:eastAsia="Arial" w:hAnsi="Arial"/>
          <w:sz w:val="18"/>
          <w:szCs w:val="18"/>
          <w:color w:val="auto"/>
        </w:rPr>
      </w:pPr>
    </w:p>
    <w:p>
      <w:pPr>
        <w:ind w:left="320" w:hanging="313"/>
        <w:spacing w:after="0"/>
        <w:tabs>
          <w:tab w:leader="none" w:pos="32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a court prohibiting us from selling or licensing the product unless the third-party licenses its product rights to us, which it is not required to do;</w:t>
      </w:r>
    </w:p>
    <w:p>
      <w:pPr>
        <w:spacing w:after="0" w:line="179" w:lineRule="exact"/>
        <w:rPr>
          <w:rFonts w:ascii="Arial" w:cs="Arial" w:eastAsia="Arial" w:hAnsi="Arial"/>
          <w:sz w:val="18"/>
          <w:szCs w:val="18"/>
          <w:color w:val="auto"/>
        </w:rPr>
      </w:pPr>
    </w:p>
    <w:p>
      <w:pPr>
        <w:ind w:left="320" w:right="80" w:hanging="313"/>
        <w:spacing w:after="0" w:line="245" w:lineRule="auto"/>
        <w:tabs>
          <w:tab w:leader="none" w:pos="32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or grant cross licenses to intellectual property rights for our products; and</w:t>
      </w:r>
    </w:p>
    <w:p>
      <w:pPr>
        <w:spacing w:after="0" w:line="151" w:lineRule="exact"/>
        <w:rPr>
          <w:rFonts w:ascii="Arial" w:cs="Arial" w:eastAsia="Arial" w:hAnsi="Arial"/>
          <w:sz w:val="18"/>
          <w:szCs w:val="18"/>
          <w:color w:val="auto"/>
        </w:rPr>
      </w:pPr>
    </w:p>
    <w:p>
      <w:pPr>
        <w:ind w:left="320" w:hanging="313"/>
        <w:spacing w:after="0"/>
        <w:tabs>
          <w:tab w:leader="none" w:pos="32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redesigning our products or processes so they do not infringe, which may not be possible or may require substantial monetary expenditures and time.</w:t>
      </w:r>
    </w:p>
    <w:p>
      <w:pPr>
        <w:spacing w:after="0" w:line="18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In order to successfully challenge the validity of a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third-party claim of patent infringement.</w:t>
      </w:r>
    </w:p>
    <w:p>
      <w:pPr>
        <w:spacing w:after="0" w:line="158"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an adverse effect on our ability to raise additional funds or on our business, financial condition, results of operations and prospects.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patents may not be sufficiently long to effectively protect our products and business.</w:t>
      </w:r>
    </w:p>
    <w:p>
      <w:pPr>
        <w:spacing w:after="0" w:line="184"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non-provisional filing date, but can be shorter due to terminal disclaimers or similar term reductions in other jurisdictions. Although various extensions may be available, the term of a patent, and the protection it affords, is limited. Even if patents covering our technologies or products are obtained, once the patent term has expired, we may be open to competition. In addition, although upon issuance in the United States, a patent’s term can be increased based on certain delays caused by the USPTO, this increase can be reduced or eliminated based on certain delays caused by the patent applicant during patent prosecution. Given the amount of time required for the development, testing and regulatory review of products, patents protecting such potential products might expire before or shortly after such products are commercialized. If we do not have sufficient patent life to protect our technologies and products, our business, financial condition, results of operations and prospects will be adversely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obtain additional protection under the Hatch-Waxman Amendments or similar foreign legislation, our business may be materially affected.</w:t>
      </w:r>
    </w:p>
    <w:p>
      <w:pPr>
        <w:spacing w:after="0" w:line="18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for our future products, one or more of our U.S. patents may be eligible for limited patent term restoration under the Drug Price Competition and Patent Term Restoration Act of 1984 (the “Hatch-Waxman Amendments”). The Hatch-Waxman Amendments permit a patent term extension of up to five years beyond the normal expiration of the patent as compensation for patent term lost during product development and the FDA regulatory review process, which is limited to the approved indication (or any additional indications approved during the period of extension). This extension is limited to one patent that covers the approved product, the approved use of the product, or a method of manufacturing the product. A patent term extension cannot extend the remaining term of a patent beyond a total of 14 years from the date of product approval, and only those claims covering such approved product, a method for using it or a method for manufacturing it may be extended. However, the applicable authorities, including the FDA and the USPTO in the United States, and any equivalent regulatory authority in other countries or areas,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scope of patent protection afforded could be less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auto"/>
        <w:rPr>
          <w:sz w:val="20"/>
          <w:szCs w:val="20"/>
          <w:color w:val="auto"/>
        </w:rPr>
      </w:pPr>
      <w:r>
        <w:rPr>
          <w:rFonts w:ascii="Times New Roman" w:cs="Times New Roman" w:eastAsia="Times New Roman" w:hAnsi="Times New Roman"/>
          <w:sz w:val="18"/>
          <w:szCs w:val="18"/>
          <w:color w:val="auto"/>
        </w:rPr>
        <w:t>than we request. If we are unable to obtain patent term extension or restoration of the term of any such extension is less than we request, our competitors may obtain approval for competing products following our patent expiration, and our ability to generate revenues may be adversely affected.</w:t>
      </w:r>
    </w:p>
    <w:p>
      <w:pPr>
        <w:spacing w:after="0" w:line="15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Open-source software licenses often impose unanticipated or unclear restrictions on us or could expose us to litigation, and using open-source software has inherent risks, any of which could impair our ability to successfully commercialize the Heartflow Platform.</w:t>
      </w:r>
    </w:p>
    <w:p>
      <w:pPr>
        <w:spacing w:after="0" w:line="145"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Our technology platform implements software modules licensed to us by third parties under “open source” licenses. The terms of many open source licenses have not been interpreted by U.S. courts, and there is a risk that these licenses could be construed in ways that could impose unanticipated conditions or restrictions on our ability to commercialize our products. Moreover, we cannot be certain that our processes for controlling our use of open-source software in connection with our products will be effective. From time to time, we may face claims from third parties asserting ownership of, or demanding release of, the open-source software or derivative works that we developed using such software (which could include our proprietary source code), or otherwise seeking to enforce the terms of the applicable open source license. These claims could result in litigation. If we are held to have breached the terms of an open source software license, we could be required to seek licenses from third parties to continue offering our products on terms that are not economically feasible, to re-engineer our proprietary code, to discontinue the sale of our products if re-engineering could not be accomplished on a timely or cost effective basis, or to make generally available, in source code form, our proprietary code, any of which could adversely affect our business, financial condition, results of operations and prospects.</w:t>
      </w:r>
    </w:p>
    <w:p>
      <w:pPr>
        <w:spacing w:after="0" w:line="161"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The use of open-source software may entail greater risks than the use of third-party commercial software, as open source licensors generally do not provide warranties or other contractual protections regarding infringement or the quality or ownership of the code. Many of these risks cannot be eliminated, and could, if not properly addressed, negatively affect our business. We cannot be sure that all open source software is submitted for approval prior to use in connection with our products.</w:t>
      </w:r>
    </w:p>
    <w:p>
      <w:pPr>
        <w:spacing w:after="0" w:line="158"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In addition,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portions of the source code of our proprietary software to the public. This would allow our competitors to create similar products with less development effort and time and ultimately could result in a loss of sales for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84"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50" w:lineRule="exact"/>
        <w:rPr>
          <w:sz w:val="20"/>
          <w:szCs w:val="20"/>
          <w:color w:val="auto"/>
        </w:rPr>
      </w:pPr>
    </w:p>
    <w:p>
      <w:pPr>
        <w:ind w:left="320" w:right="40" w:hanging="313"/>
        <w:spacing w:after="0" w:line="245" w:lineRule="auto"/>
        <w:tabs>
          <w:tab w:leader="none" w:pos="32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potential products but that are not covered by the claims of our current or future patents;</w:t>
      </w:r>
    </w:p>
    <w:p>
      <w:pPr>
        <w:spacing w:after="0" w:line="151" w:lineRule="exact"/>
        <w:rPr>
          <w:rFonts w:ascii="Arial" w:cs="Arial" w:eastAsia="Arial" w:hAnsi="Arial"/>
          <w:sz w:val="18"/>
          <w:szCs w:val="18"/>
          <w:color w:val="auto"/>
        </w:rPr>
      </w:pPr>
    </w:p>
    <w:p>
      <w:pPr>
        <w:ind w:left="320" w:right="300" w:hanging="313"/>
        <w:spacing w:after="0" w:line="245" w:lineRule="auto"/>
        <w:tabs>
          <w:tab w:leader="none" w:pos="32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potential products may be terminated by the licensor;</w:t>
      </w:r>
    </w:p>
    <w:p>
      <w:pPr>
        <w:spacing w:after="0" w:line="151" w:lineRule="exact"/>
        <w:rPr>
          <w:rFonts w:ascii="Arial" w:cs="Arial" w:eastAsia="Arial" w:hAnsi="Arial"/>
          <w:sz w:val="18"/>
          <w:szCs w:val="18"/>
          <w:color w:val="auto"/>
        </w:rPr>
      </w:pPr>
    </w:p>
    <w:p>
      <w:pPr>
        <w:ind w:left="320" w:right="440" w:hanging="313"/>
        <w:spacing w:after="0" w:line="261" w:lineRule="auto"/>
        <w:tabs>
          <w:tab w:leader="none" w:pos="32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we or future collaborators might not have been the first to make the inventions covered by our issued or future issued patents or our pending patent applications;</w:t>
      </w:r>
    </w:p>
    <w:p>
      <w:pPr>
        <w:spacing w:after="0" w:line="123" w:lineRule="exact"/>
        <w:rPr>
          <w:rFonts w:ascii="Arial" w:cs="Arial" w:eastAsia="Arial" w:hAnsi="Arial"/>
          <w:sz w:val="18"/>
          <w:szCs w:val="18"/>
          <w:color w:val="auto"/>
        </w:rPr>
      </w:pPr>
    </w:p>
    <w:p>
      <w:pPr>
        <w:ind w:left="320" w:hanging="313"/>
        <w:spacing w:after="0"/>
        <w:tabs>
          <w:tab w:leader="none" w:pos="32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we or future collaborators might not have been the first to file patent applications covering certain of our inventions;</w:t>
      </w:r>
    </w:p>
    <w:p>
      <w:pPr>
        <w:spacing w:after="0" w:line="179" w:lineRule="exact"/>
        <w:rPr>
          <w:rFonts w:ascii="Arial" w:cs="Arial" w:eastAsia="Arial" w:hAnsi="Arial"/>
          <w:sz w:val="18"/>
          <w:szCs w:val="18"/>
          <w:color w:val="auto"/>
        </w:rPr>
      </w:pPr>
    </w:p>
    <w:p>
      <w:pPr>
        <w:ind w:left="320" w:right="280" w:hanging="313"/>
        <w:spacing w:after="0" w:line="261" w:lineRule="auto"/>
        <w:tabs>
          <w:tab w:leader="none" w:pos="32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23" w:lineRule="exact"/>
        <w:rPr>
          <w:rFonts w:ascii="Arial" w:cs="Arial" w:eastAsia="Arial" w:hAnsi="Arial"/>
          <w:sz w:val="18"/>
          <w:szCs w:val="18"/>
          <w:color w:val="auto"/>
        </w:rPr>
      </w:pPr>
    </w:p>
    <w:p>
      <w:pPr>
        <w:ind w:left="320" w:hanging="313"/>
        <w:spacing w:after="0"/>
        <w:tabs>
          <w:tab w:leader="none" w:pos="32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8" w:lineRule="exact"/>
        <w:rPr>
          <w:sz w:val="20"/>
          <w:szCs w:val="20"/>
          <w:color w:val="auto"/>
        </w:rPr>
      </w:pPr>
    </w:p>
    <w:p>
      <w:pPr>
        <w:ind w:left="320" w:hanging="313"/>
        <w:spacing w:after="0"/>
        <w:tabs>
          <w:tab w:leader="none" w:pos="3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new potential products in all countries;</w:t>
      </w:r>
    </w:p>
    <w:p>
      <w:pPr>
        <w:spacing w:after="0" w:line="179" w:lineRule="exact"/>
        <w:rPr>
          <w:rFonts w:ascii="Arial" w:cs="Arial" w:eastAsia="Arial" w:hAnsi="Arial"/>
          <w:sz w:val="18"/>
          <w:szCs w:val="18"/>
          <w:color w:val="auto"/>
        </w:rPr>
      </w:pPr>
    </w:p>
    <w:p>
      <w:pPr>
        <w:ind w:left="320" w:right="20" w:hanging="313"/>
        <w:spacing w:after="0" w:line="245" w:lineRule="auto"/>
        <w:tabs>
          <w:tab w:leader="none" w:pos="3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1" w:lineRule="exact"/>
        <w:rPr>
          <w:rFonts w:ascii="Arial" w:cs="Arial" w:eastAsia="Arial" w:hAnsi="Arial"/>
          <w:sz w:val="18"/>
          <w:szCs w:val="18"/>
          <w:color w:val="auto"/>
        </w:rPr>
      </w:pPr>
    </w:p>
    <w:p>
      <w:pPr>
        <w:ind w:left="320" w:hanging="313"/>
        <w:spacing w:after="0"/>
        <w:tabs>
          <w:tab w:leader="none" w:pos="3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Financing and Tax Matters</w:t>
      </w:r>
    </w:p>
    <w:p>
      <w:pPr>
        <w:spacing w:after="0" w:line="180"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terms favorable to us, or at all, and may dilute ownership of our common stock for our stockholders.</w:t>
      </w:r>
    </w:p>
    <w:p>
      <w:pPr>
        <w:spacing w:after="0" w:line="14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153"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revenue and results of operations may fluctuate from quarter to quarter due to, among others, the following reasons:</w:t>
      </w:r>
    </w:p>
    <w:p>
      <w:pPr>
        <w:spacing w:after="0" w:line="53" w:lineRule="exact"/>
        <w:rPr>
          <w:sz w:val="20"/>
          <w:szCs w:val="20"/>
          <w:color w:val="auto"/>
        </w:rPr>
      </w:pPr>
    </w:p>
    <w:p>
      <w:pPr>
        <w:ind w:left="320" w:right="180" w:hanging="313"/>
        <w:spacing w:after="0" w:line="222" w:lineRule="auto"/>
        <w:tabs>
          <w:tab w:leader="none" w:pos="32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the level of physicians’ acceptance and adoption of our products, and changes in the rates at which physicians order our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or the percentage of CCTA scans for which our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is ordered;</w:t>
      </w:r>
    </w:p>
    <w:p>
      <w:pPr>
        <w:spacing w:after="0" w:line="165" w:lineRule="exact"/>
        <w:rPr>
          <w:rFonts w:ascii="Arial" w:cs="Arial" w:eastAsia="Arial" w:hAnsi="Arial"/>
          <w:sz w:val="18"/>
          <w:szCs w:val="18"/>
          <w:color w:val="auto"/>
        </w:rPr>
      </w:pPr>
    </w:p>
    <w:p>
      <w:pPr>
        <w:ind w:left="320" w:hanging="313"/>
        <w:spacing w:after="0"/>
        <w:tabs>
          <w:tab w:leader="none" w:pos="32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determinations, including the timing of determinations, by payors concerning coverage and reimbursement of our products;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coverage amounts or government and payors’ reimbursement policies;</w:t>
      </w:r>
    </w:p>
    <w:p>
      <w:pPr>
        <w:spacing w:after="0" w:line="166" w:lineRule="exact"/>
        <w:rPr>
          <w:rFonts w:ascii="Arial" w:cs="Arial" w:eastAsia="Arial" w:hAnsi="Arial"/>
          <w:sz w:val="18"/>
          <w:szCs w:val="18"/>
          <w:color w:val="auto"/>
        </w:rPr>
      </w:pPr>
    </w:p>
    <w:p>
      <w:pPr>
        <w:ind w:left="320" w:hanging="313"/>
        <w:spacing w:after="0"/>
        <w:tabs>
          <w:tab w:leader="none" w:pos="32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the timing, expense and results of research and development activities, clinical trials and any additional regulatory approvals;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7"/>
          <w:szCs w:val="17"/>
          <w:color w:val="auto"/>
        </w:rPr>
        <w:t>changes in AHA or ACC guidelines, or guidelines in other countries, that lower support for our products or elevate alternative products as the preferred</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pathway for diagnosis and management of CAD;</w:t>
      </w: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8" w:lineRule="exact"/>
        <w:rPr>
          <w:sz w:val="20"/>
          <w:szCs w:val="20"/>
          <w:color w:val="auto"/>
        </w:rPr>
      </w:pPr>
    </w:p>
    <w:p>
      <w:pPr>
        <w:ind w:left="320" w:hanging="313"/>
        <w:spacing w:after="0"/>
        <w:tabs>
          <w:tab w:leader="none" w:pos="3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our expenses associated with expanding our commercial operations and operating as a public company;</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patients meeting their annual health insurance deductible later in the calendar year;</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the introduction of new products and technologies by our competitors;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our pricing policies or in the pricing policies of our competitors;</w:t>
      </w:r>
    </w:p>
    <w:p>
      <w:pPr>
        <w:spacing w:after="0" w:line="166" w:lineRule="exact"/>
        <w:rPr>
          <w:rFonts w:ascii="Arial" w:cs="Arial" w:eastAsia="Arial" w:hAnsi="Arial"/>
          <w:sz w:val="18"/>
          <w:szCs w:val="18"/>
          <w:color w:val="auto"/>
        </w:rPr>
      </w:pPr>
    </w:p>
    <w:p>
      <w:pPr>
        <w:ind w:left="320" w:right="480" w:hanging="313"/>
        <w:spacing w:after="0" w:line="261" w:lineRule="auto"/>
        <w:tabs>
          <w:tab w:leader="none" w:pos="3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the productivity of our sales and marketing teams, and their ability to identify physicians who consistently refer appropriate patients for CCTAs in accordance with AHA and ACC guidelines;</w:t>
      </w:r>
    </w:p>
    <w:p>
      <w:pPr>
        <w:spacing w:after="0" w:line="123" w:lineRule="exact"/>
        <w:rPr>
          <w:rFonts w:ascii="Arial" w:cs="Arial" w:eastAsia="Arial" w:hAnsi="Arial"/>
          <w:sz w:val="18"/>
          <w:szCs w:val="18"/>
          <w:color w:val="auto"/>
        </w:rPr>
      </w:pPr>
    </w:p>
    <w:p>
      <w:pPr>
        <w:ind w:left="320" w:hanging="313"/>
        <w:spacing w:after="0"/>
        <w:tabs>
          <w:tab w:leader="none" w:pos="3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quality problems with our products or the Heartflow Platform; and</w:t>
      </w:r>
    </w:p>
    <w:p>
      <w:pPr>
        <w:spacing w:after="0" w:line="179" w:lineRule="exact"/>
        <w:rPr>
          <w:rFonts w:ascii="Arial" w:cs="Arial" w:eastAsia="Arial" w:hAnsi="Arial"/>
          <w:sz w:val="18"/>
          <w:szCs w:val="18"/>
          <w:color w:val="auto"/>
        </w:rPr>
      </w:pPr>
    </w:p>
    <w:p>
      <w:pPr>
        <w:ind w:left="320" w:right="20" w:hanging="313"/>
        <w:spacing w:after="0" w:line="239" w:lineRule="auto"/>
        <w:tabs>
          <w:tab w:leader="none" w:pos="3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catastrophic events such as a pandemic, cybersecurity events, global business, political and economic instability, including domestic and global inflationary trends, interest rate volatility, and uncertainty with respect to the federal debt ceiling and budget and potential government shutdowns related thereto.</w:t>
      </w:r>
    </w:p>
    <w:p>
      <w:pPr>
        <w:spacing w:after="0" w:line="156"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18"/>
          <w:szCs w:val="18"/>
          <w:color w:val="auto"/>
        </w:rPr>
        <w:t>Because of these and other factors, it is likely that in some future period our operating results will not meet investor expectations or those of public market analysts. Any unanticipated change in revenue or operating results is likely to cause our stock price to fluctuate. New information may cause investors and analysts to revalue our business, which could cause a decline in our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currency fluctuations, and changes in foreign currency exchange rates could impact our results of operations.</w:t>
      </w:r>
    </w:p>
    <w:p>
      <w:pPr>
        <w:spacing w:after="0" w:line="18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The vast majority of our revenue and the majority of our expense and capital purchasing activities through the year ended December 31, 2025 were transacted in U.S. dollars. Approximately 8% of our 2025 revenue, approximately 9% of our 2024 revenue and approximately 11% of our 2023 revenue was generated from customers outside the United States. However, because a portion of our operations consists of business activities outside of the United States, we have foreign currency operating expenses as well as asset and liability balances. During the year ended December 31, 2025, we were exposed to foreign currency risks in connection with our non-U.S. operations, and we anticipate that, over time, an increasing portion of our international agreements may provide for payment denominated in foreign currencies. Changes in the exchange rates between such foreign currencies and the U.S. dollar could therefore materially impact our reported results of operations and distort period-to-period comparisons. Fluctuations in foreign currency exchange rates also impact the reporting of our receivables and payables in non-U.S. currencies.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spacing w:after="0" w:line="14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We do not currently engage in currency hedging activities to limit the risk of exchange rate fluctuations. In the future, we may engage in exchange rate hedging activities in an effort to mitigate the impact of exchange rate fluctuations but we may not be successful in doing so. If our hedging activities are not effective, changes in currency exchange rates may have a more significant impact on our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taxes may be subject to certain limitations.</w:t>
      </w:r>
    </w:p>
    <w:p>
      <w:pPr>
        <w:spacing w:after="0" w:line="18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As of December 31, 2025, we had net operating loss (“NOL”) carryforwards of approximately $609.9 million and $467.4 million for federal and state income tax purposes, respectively, which may be utilized against future federal and state income taxes. Federal NOL carryforwards we generated in tax years through December 31, 2017 generally may be carried forward for 20 years and may fully offset taxable income in the year utilized, and federal NOLs we generated in tax years beginning after December 31, 2017 generally may be carried forward indefinitely but may only be used to offset 80% of our taxable income annually for tax years beginning after December 31, 2017.</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8"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(the “Code”), a corporation that undergoes an “ownership change” is subject to limitations on its ability to utilize its pre-change NOL carryforwards and other tax attributes, such as research and development tax credits, to offset future taxable income and taxes. In general, an ownership change occurs if the aggregate stock ownership of certain stockholders, generally stockholders beneficially owning five percent or more of our common stock, applying certain look through and aggregation rules, increases by more than 50% over such stockholders’ lowest percentage ownership during the testing period, generally three years. Purchases of our common stock in amounts greater than specified levels, which will be beyond our control, could create a limitation on our ability to utilize our NOL carryforwards for tax purposes in the future. We completed a Section 382 study of our historic ownership changes through December 31, 2025 and determined there are limitations on our loss and credit carryforwards.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 carryforwards and other tax attributes we can use to reduce our taxable income, potentially increasing and accelerating our liability for income taxes, and also potentially causing those tax attributes to expire unused.</w:t>
      </w:r>
    </w:p>
    <w:p>
      <w:pPr>
        <w:spacing w:after="0" w:line="15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If we are limited in our ability to use our NOL and tax credit carryforwards in future years in which we have taxable income, we will pay more taxes than if we were able to fully utilize our NOL and tax credit carryforwards, and we could be required to pay taxes earlier than we would otherwise be required, which could cause such NOLs to expire unused. This could adversely affect our results of operations. Furthermore, we may not be able to generate sufficient taxable income to utilize our pre-2018 NOLs before they expire beginning in 2030. If any of these events occur, we may not derive some or all of the expected benefits from our NOLs, and our business, financial condition, results of operations and prospects may be adversely affected as a result.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potentially adverse tax consequences.</w:t>
      </w:r>
    </w:p>
    <w:p>
      <w:pPr>
        <w:spacing w:after="0" w:line="184"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We currently report our taxable income in various jurisdictions based upon our business operations in those jurisdictions, including in the United States, United Kingdom, and Japan. We may in the future be subject to reporting requirements in other foreign jurisdictions. The international nature and organization of our business activities are subject to complex transfer pricing regulations administered by taxing authorities in various jurisdictions. The relevant taxing authorities may disagree with our determinations as to the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consolidated financial statements reflect adequate reserves to cover such a contingency, but there can be no assurances in that regard.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vary significantly from period to period.</w:t>
      </w:r>
    </w:p>
    <w:p>
      <w:pPr>
        <w:spacing w:after="0" w:line="184"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effects on our future effective tax rate. These factors include, but are not limited to, changes in tax laws, regulations or rates, both within and outside the United States,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w:t>
      </w:r>
    </w:p>
    <w:p>
      <w:pPr>
        <w:spacing w:after="0" w:line="160"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40"/>
        <w:spacing w:after="0" w:line="231" w:lineRule="auto"/>
        <w:rPr>
          <w:sz w:val="20"/>
          <w:szCs w:val="20"/>
          <w:color w:val="auto"/>
        </w:rPr>
      </w:pPr>
      <w:r>
        <w:rPr>
          <w:rFonts w:ascii="Times New Roman" w:cs="Times New Roman" w:eastAsia="Times New Roman" w:hAnsi="Times New Roman"/>
          <w:sz w:val="18"/>
          <w:szCs w:val="18"/>
          <w:color w:val="auto"/>
        </w:rPr>
        <w:t>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spacing w:after="0" w:line="15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145"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not be a sustainable trading market for our common stock.</w:t>
      </w:r>
    </w:p>
    <w:p>
      <w:pPr>
        <w:spacing w:after="0" w:line="184"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Prior to our IPO, there was no public market for our common stock. Following our IPO, it is possible that an active trading market will not be sustained, which would make it difficult for you to sell your shares of common stock at an attractive price or at all. An inactive market may also impair our ability to raise capital, to attract and motivate our employees through equity incentive awards and our ability to acquire businesses, brands, assets or technologies by using shares of our common stock as consideration.</w:t>
      </w:r>
    </w:p>
    <w:p>
      <w:pPr>
        <w:spacing w:after="0" w:line="15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cause the value of your investment to decline and could result in substantial losses for investors.</w:t>
      </w:r>
    </w:p>
    <w:p>
      <w:pPr>
        <w:spacing w:after="0" w:line="14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could be subject to wide fluctuations due to a variety of factors, some of which may be beyond our control, including:</w:t>
      </w:r>
    </w:p>
    <w:p>
      <w:pPr>
        <w:spacing w:after="0" w:line="122" w:lineRule="exact"/>
        <w:rPr>
          <w:sz w:val="20"/>
          <w:szCs w:val="20"/>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or our failure to achieve analysts’ estimates;</w:t>
      </w:r>
    </w:p>
    <w:p>
      <w:pPr>
        <w:spacing w:after="0" w:line="179"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179"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periodic fluctuations in our revenue, which could be due in part to the way in which we recognize revenue;</w:t>
      </w:r>
    </w:p>
    <w:p>
      <w:pPr>
        <w:spacing w:after="0" w:line="179"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6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future sales of our common stock or other securities, by us or our stockholders;</w:t>
      </w:r>
    </w:p>
    <w:p>
      <w:pPr>
        <w:spacing w:after="0" w:line="179"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79" w:lineRule="exact"/>
        <w:rPr>
          <w:rFonts w:ascii="Arial" w:cs="Arial" w:eastAsia="Arial" w:hAnsi="Arial"/>
          <w:sz w:val="18"/>
          <w:szCs w:val="18"/>
          <w:color w:val="auto"/>
        </w:rPr>
      </w:pPr>
    </w:p>
    <w:p>
      <w:pPr>
        <w:ind w:left="640" w:hanging="313"/>
        <w:spacing w:after="0" w:line="239" w:lineRule="auto"/>
        <w:tabs>
          <w:tab w:leader="none" w:pos="64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industry, market conditions and other factors unrelated to our operating performance or the operating performance of our competitors, including inflation, interest rate volatility, and uncertainty with respect to the federal debt ceiling and budget and potential government shutdowns related thereto;</w:t>
      </w:r>
    </w:p>
    <w:p>
      <w:pPr>
        <w:spacing w:after="0" w:line="155"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reimbursement by current or potential payors;</w:t>
      </w:r>
    </w:p>
    <w:p>
      <w:pPr>
        <w:spacing w:after="0" w:line="166" w:lineRule="exact"/>
        <w:rPr>
          <w:rFonts w:ascii="Arial" w:cs="Arial" w:eastAsia="Arial" w:hAnsi="Arial"/>
          <w:sz w:val="18"/>
          <w:szCs w:val="18"/>
          <w:color w:val="auto"/>
        </w:rPr>
      </w:pPr>
    </w:p>
    <w:p>
      <w:pPr>
        <w:ind w:left="640" w:right="80" w:hanging="313"/>
        <w:spacing w:after="0" w:line="261" w:lineRule="auto"/>
        <w:tabs>
          <w:tab w:leader="none" w:pos="64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the medical device industry in particular;</w:t>
      </w:r>
    </w:p>
    <w:p>
      <w:pPr>
        <w:spacing w:after="0" w:line="135"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8" w:lineRule="exact"/>
        <w:rPr>
          <w:sz w:val="20"/>
          <w:szCs w:val="20"/>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the results of our clinical trials;</w:t>
      </w:r>
    </w:p>
    <w:p>
      <w:pPr>
        <w:spacing w:after="0" w:line="179"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the loss of key personnel, including changes in our board of directors and management;</w:t>
      </w:r>
    </w:p>
    <w:p>
      <w:pPr>
        <w:spacing w:after="0" w:line="179"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legislation or regulation of our market;</w:t>
      </w:r>
    </w:p>
    <w:p>
      <w:pPr>
        <w:spacing w:after="0" w:line="179" w:lineRule="exact"/>
        <w:rPr>
          <w:rFonts w:ascii="Arial" w:cs="Arial" w:eastAsia="Arial" w:hAnsi="Arial"/>
          <w:sz w:val="18"/>
          <w:szCs w:val="18"/>
          <w:color w:val="auto"/>
        </w:rPr>
      </w:pPr>
    </w:p>
    <w:p>
      <w:pPr>
        <w:ind w:left="640" w:right="280" w:hanging="313"/>
        <w:spacing w:after="0" w:line="245" w:lineRule="auto"/>
        <w:tabs>
          <w:tab w:leader="none" w:pos="64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lawsuits threatened or filed against us, including litigation by current or former employees alleging wrongful termination, whistleblower or other claims;</w:t>
      </w:r>
    </w:p>
    <w:p>
      <w:pPr>
        <w:spacing w:after="0" w:line="150"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16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179"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developments in our industry; and</w:t>
      </w:r>
    </w:p>
    <w:p>
      <w:pPr>
        <w:spacing w:after="0" w:line="179"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other factors described in this “Risk Factors” section and elsewhere in this Annual Report.</w:t>
      </w:r>
    </w:p>
    <w:p>
      <w:pPr>
        <w:spacing w:after="0" w:line="18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w:t>
      </w:r>
    </w:p>
    <w:p>
      <w:pPr>
        <w:spacing w:after="0" w:line="1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reporting requirements applicable to emerging growth companies could make our common stock less attractive to investors.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w:t>
      </w:r>
    </w:p>
    <w:p>
      <w:pPr>
        <w:spacing w:after="0" w:line="167" w:lineRule="exact"/>
        <w:rPr>
          <w:sz w:val="20"/>
          <w:szCs w:val="20"/>
          <w:color w:val="auto"/>
        </w:rPr>
      </w:pPr>
    </w:p>
    <w:p>
      <w:pPr>
        <w:ind w:left="320" w:hanging="313"/>
        <w:spacing w:after="0"/>
        <w:tabs>
          <w:tab w:leader="none" w:pos="32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18"/>
          <w:szCs w:val="18"/>
          <w:color w:val="auto"/>
        </w:rPr>
        <w:t>the last day of the fiscal year during which our total annual revenue equals or exceeds $1.235 billion (subject to adjustment for inflation);</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18"/>
          <w:szCs w:val="18"/>
          <w:color w:val="auto"/>
        </w:rPr>
        <w:t>December 31, 2030;</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 billion in non-convertible debt; or</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18"/>
          <w:szCs w:val="18"/>
          <w:color w:val="auto"/>
        </w:rPr>
        <w:t>the date on which we are deemed to be a “large accelerated filer” under the Exchange Act.</w:t>
      </w:r>
    </w:p>
    <w:p>
      <w:pPr>
        <w:spacing w:after="0" w:line="166"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spacing w:after="0" w:line="152"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are subject to additional regulations and requirements as a result of becoming a public company, which could lower our profits or make it more difficult to run our business.</w:t>
      </w:r>
    </w:p>
    <w:p>
      <w:pPr>
        <w:spacing w:after="0" w:line="14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have not incurred as a private company, including costs associated with public company reporting requirements. We have also incurred and will continue to incur costs associated with the Sarbanes-Oxley Act and related rules implemented by the SEC and the listing requirements of the Nasdaq Global Select Market. The expenses generally incurred by public companies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60"/>
        <w:spacing w:after="0" w:line="227" w:lineRule="auto"/>
        <w:rPr>
          <w:sz w:val="20"/>
          <w:szCs w:val="20"/>
          <w:color w:val="auto"/>
        </w:rPr>
      </w:pPr>
      <w:r>
        <w:rPr>
          <w:rFonts w:ascii="Times New Roman" w:cs="Times New Roman" w:eastAsia="Times New Roman" w:hAnsi="Times New Roman"/>
          <w:sz w:val="18"/>
          <w:szCs w:val="18"/>
          <w:color w:val="auto"/>
        </w:rPr>
        <w:t>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5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spacing w:after="0" w:line="145"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Any failure to maintain effective internal control over financial reporting could severely inhibit our ability to accurately report our financial condition, results of operations or cash flows. Further, if we identify one or more material weaknesses in our internal control over financial reporting, if we are unable to comply with the requirements of Section 404 of the Sarbanes-Oxley Act in a timely manner or if we and, if required, our auditors,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84"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Our disclosure controls and procedures are designed to reasonably ensure that information required to be disclosed by us in reports we file or submit under the Exchange Act is accumulated and communicated to management and recorded, processed, summarized and reported within the time periods specified in the rules and forms of the SEC. We believe that our disclosure controls and procedures as well as internal control over financial reporting, no matter how well conceived and operated, can provide only reasonable, not absolute, assurance that the objectives of the control system are and will be met.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3" w:lineRule="exact"/>
        <w:rPr>
          <w:sz w:val="20"/>
          <w:szCs w:val="20"/>
          <w:color w:val="auto"/>
        </w:rPr>
      </w:pPr>
    </w:p>
    <w:p>
      <w:pPr>
        <w:jc w:val="both"/>
        <w:ind w:right="22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55"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(“GAAP”) requires management to make estimates and assumptions that affect the reported amounts of assets, liabilities, revenue, expenses and related disclosures. We base our estimates on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If our assumptions change or if actual circumstances differ from our assumptions, our operating</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auto"/>
        <w:rPr>
          <w:sz w:val="20"/>
          <w:szCs w:val="20"/>
          <w:color w:val="auto"/>
        </w:rPr>
      </w:pPr>
      <w:r>
        <w:rPr>
          <w:rFonts w:ascii="Times New Roman" w:cs="Times New Roman" w:eastAsia="Times New Roman" w:hAnsi="Times New Roman"/>
          <w:sz w:val="18"/>
          <w:szCs w:val="18"/>
          <w:color w:val="auto"/>
        </w:rPr>
        <w:t>results may be adversely affected and could fall below our publicly announced guidance or the expectations of analysts and investors, resulting in a decline in the market price of our common stock.</w:t>
      </w:r>
    </w:p>
    <w:p>
      <w:pPr>
        <w:spacing w:after="0" w:line="15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45"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8"/>
          <w:szCs w:val="18"/>
          <w:color w:val="auto"/>
        </w:rPr>
        <w:t>As of February 28, 2026, our executive officers, directors, owners of more than 5% of our capital stock and their respective affiliates beneficially owned approximately 45.4% of our outstanding shares. Therefore,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53" w:lineRule="exact"/>
        <w:rPr>
          <w:sz w:val="20"/>
          <w:szCs w:val="20"/>
          <w:color w:val="auto"/>
        </w:rPr>
      </w:pPr>
    </w:p>
    <w:p>
      <w:pPr>
        <w:ind w:right="4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(or, if such court does not have jurisdiction, Delaware federal district court) is the exclusive forum for certain disputes between us and our stockholders, which could limit our stockholders’ ability to obtain a favorable judicial forum for disputes with us or our directors, officers or employees.</w:t>
      </w:r>
    </w:p>
    <w:p>
      <w:pPr>
        <w:spacing w:after="0" w:line="15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is the exclusive forum for any derivative action or proceeding brought on our behalf, any action asserting a claim of breach of fiduciary duty owed by any of our current or former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as to which the Delaware General Corporation Law confers jurisdiction on the Delaware Court of Chancery, or any action asserting a claim against us that is governed by the internal affairs doctrine of the State of Delaware. Our amended and restated certificate of incorporation also provides that the federal district courts of the United States is the exclusive forum for the resolution of any complaint asserting a cause of action arising under the Securities Act. Further, our amended and restated certificate of incorporation provides that the foregoing choice of forum provisions do not apply to suits brought to enforce any liability or duty created by the Exchange Act, or any other claim for which the federal courts of the United States have exclusive jurisdiction.</w:t>
      </w:r>
    </w:p>
    <w:p>
      <w:pPr>
        <w:spacing w:after="0" w:line="14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any person or entity purchasing or otherwise acquiring or holding any interest in any of our securities shall be deemed to have notice of and consented to the foregoing provisions of the amended and restated certificate of incorporation.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4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to be inapplicable or unenforceable in an action, we may incur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660"/>
        <w:spacing w:after="0" w:line="239" w:lineRule="auto"/>
        <w:rPr>
          <w:sz w:val="20"/>
          <w:szCs w:val="20"/>
          <w:color w:val="auto"/>
        </w:rPr>
      </w:pPr>
      <w:r>
        <w:rPr>
          <w:rFonts w:ascii="Times New Roman" w:cs="Times New Roman" w:eastAsia="Times New Roman" w:hAnsi="Times New Roman"/>
          <w:sz w:val="18"/>
          <w:szCs w:val="18"/>
          <w:color w:val="auto"/>
        </w:rPr>
        <w:t>additional costs associated with resolving such action in other jurisdictions, which could adversely affect our business, financial condition, results of operations and prospects.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net proceeds to us from our IPO and may not use them effectively.</w:t>
      </w:r>
    </w:p>
    <w:p>
      <w:pPr>
        <w:spacing w:after="0" w:line="18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In connection with the completion of our IPO, we were obligated to use certain of the net proceeds from our IPO to repay $55.0 million of the indebtedness outstanding under the 2024 Credit Agreement and to pay approximately $5.8 million of fees in connection therewith. In addition, in August 2025, we prepaid in full all remaining outstanding indebtedness, comprising an aggregate principal amount of $60.1 million plus accrued interest of $1.0 million, under the 2024 Credit Agreement. We expect to use the remainder to fund our sales and marketing efforts, fund research and product development activities and for other general corporate purposes, including working capital, operating expenses, and capital expenditures. We may also use a portion of the net proceeds from our IPO to acquire complementary businesses, products, services, or technologies.</w:t>
      </w:r>
    </w:p>
    <w:p>
      <w:pPr>
        <w:spacing w:after="0" w:line="159"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8"/>
          <w:szCs w:val="18"/>
          <w:color w:val="auto"/>
        </w:rPr>
        <w:t>We periodically evaluate strategic opportunities; however, we have no current understandings or commitments to enter into any such acquisitions or make any such investments. The expected use of our IPO net proceeds represents our intentions based upon our present plans and business conditions. We cannot predict with certainty all of the particular uses for the proceeds from our IPO or the amounts that we will actually spend on the uses set forth above. The timing and amount of our actual expenditures will be based on many factors, including cash flows from operations and the anticipated growth of our business.</w:t>
      </w:r>
    </w:p>
    <w:p>
      <w:pPr>
        <w:spacing w:after="0" w:line="15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7"/>
          <w:szCs w:val="17"/>
          <w:color w:val="auto"/>
        </w:rPr>
        <w:t>If we do not use the net proceeds that we received from our IPO effectively, our business, financial condition, results of operations and prospects could be harmed, and the market price of our common stock could decline. Pending their use, we are investing our IPO net proceeds in a variety of capital-preservation investments, including government securities and money market funds. These investments may not yield a favorable return to our investors.</w:t>
      </w:r>
    </w:p>
    <w:p>
      <w:pPr>
        <w:spacing w:after="0" w:line="135"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market price of our common stock.</w:t>
      </w:r>
    </w:p>
    <w:p>
      <w:pPr>
        <w:spacing w:after="0" w:line="145"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determinations regarding the declaration and payment of dividends, if any, will be at the discretion of our board of directors, subject to applicable law, and will depend upon then-existing conditions, including our financial condition, results of operations, contractual restrictions, general business conditions, capital requirements, and other factors our board of directors may deem relevant. Our ability to pay cash dividends on our capital stock in the future may also be limited by the terms of any preferred securities we may issue or agreements governing any additional indebtedness we may incur.</w:t>
      </w:r>
    </w:p>
    <w:p>
      <w:pPr>
        <w:spacing w:after="0" w:line="155" w:lineRule="exact"/>
        <w:rPr>
          <w:sz w:val="20"/>
          <w:szCs w:val="20"/>
          <w:color w:val="auto"/>
        </w:rPr>
      </w:pPr>
    </w:p>
    <w:p>
      <w:pPr>
        <w:ind w:right="6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any guidance that we provide to the public, the market price of our common stock may decline.</w:t>
      </w:r>
    </w:p>
    <w:p>
      <w:pPr>
        <w:spacing w:after="0" w:line="145"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We may, but are not obligated to, provide public guidance on our expected operating and financial results for future periods. Any such guidance will be comprised of forward-looking statements subject to the risks and uncertainties described in this Annual Report, including in the section titled “Risk factors,” and in our future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or misleading opinion regarding our stock, or if they cease coverage of us or fail to publish reports on us regularly, our stock price and trading volume could decline.</w:t>
      </w:r>
    </w:p>
    <w:p>
      <w:pPr>
        <w:spacing w:after="0" w:line="14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securities analysts publish about us or our business. We do not control these analysts. If any of the analysts who cover us downgrade their evaluations of our stock or issue an adverse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84"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In the past, following periods of volatility in the overall market and the market price of a company’s securities, securities class action litigation has often been instituted against these companies. Because of the potential volatility of our stock price, we may become the target of securities litigation in the future. These events may also result in or be concurrent with investigations by the SEC. We may be exposed to such litigation or investigation even if no wrongdoing occurred. Such litigation, if instituted against us, could result in substantial costs and a diversion of our management’s attention and resources, which could seriously harm our business.</w:t>
      </w:r>
    </w:p>
    <w:p>
      <w:pPr>
        <w:spacing w:after="0" w:line="14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3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delay or prevent changes in control or changes in our management without the consent of our board of directors. These provisions include the following:</w:t>
      </w:r>
    </w:p>
    <w:p>
      <w:pPr>
        <w:spacing w:after="0" w:line="150" w:lineRule="exact"/>
        <w:rPr>
          <w:sz w:val="20"/>
          <w:szCs w:val="20"/>
          <w:color w:val="auto"/>
        </w:rPr>
      </w:pPr>
    </w:p>
    <w:p>
      <w:pPr>
        <w:ind w:left="320" w:right="240" w:hanging="313"/>
        <w:spacing w:after="0" w:line="245" w:lineRule="auto"/>
        <w:tabs>
          <w:tab w:leader="none" w:pos="3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51" w:lineRule="exact"/>
        <w:rPr>
          <w:rFonts w:ascii="Arial" w:cs="Arial" w:eastAsia="Arial" w:hAnsi="Arial"/>
          <w:sz w:val="18"/>
          <w:szCs w:val="18"/>
          <w:color w:val="auto"/>
        </w:rPr>
      </w:pPr>
    </w:p>
    <w:p>
      <w:pPr>
        <w:ind w:left="320" w:hanging="313"/>
        <w:spacing w:after="0"/>
        <w:tabs>
          <w:tab w:leader="none" w:pos="3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our directors may be removed by our stockholders only for cause;</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79" w:lineRule="exact"/>
        <w:rPr>
          <w:rFonts w:ascii="Arial" w:cs="Arial" w:eastAsia="Arial" w:hAnsi="Arial"/>
          <w:sz w:val="18"/>
          <w:szCs w:val="18"/>
          <w:color w:val="auto"/>
        </w:rPr>
      </w:pPr>
    </w:p>
    <w:p>
      <w:pPr>
        <w:ind w:left="320" w:right="120" w:hanging="313"/>
        <w:spacing w:after="0" w:line="234" w:lineRule="auto"/>
        <w:tabs>
          <w:tab w:leader="none" w:pos="3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the exclusive right of our board of directors to change the size of the board of directors and to elect a director to fill a new directorship created by the expansion of the board of directors or a vacancy created by the resignation, death or removal of a director, which prevents stockholders from being able to change the board’s size or fill new directorships and vacancies on our board of directors;</w:t>
      </w:r>
    </w:p>
    <w:p>
      <w:pPr>
        <w:spacing w:after="0" w:line="155" w:lineRule="exact"/>
        <w:rPr>
          <w:rFonts w:ascii="Arial" w:cs="Arial" w:eastAsia="Arial" w:hAnsi="Arial"/>
          <w:sz w:val="18"/>
          <w:szCs w:val="18"/>
          <w:color w:val="auto"/>
        </w:rPr>
      </w:pPr>
    </w:p>
    <w:p>
      <w:pPr>
        <w:ind w:left="320" w:right="120" w:hanging="313"/>
        <w:spacing w:after="0" w:line="239" w:lineRule="auto"/>
        <w:tabs>
          <w:tab w:leader="none" w:pos="3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or adopt a stockholder rights plan;</w:t>
      </w:r>
    </w:p>
    <w:p>
      <w:pPr>
        <w:spacing w:after="0" w:line="155" w:lineRule="exact"/>
        <w:rPr>
          <w:rFonts w:ascii="Arial" w:cs="Arial" w:eastAsia="Arial" w:hAnsi="Arial"/>
          <w:sz w:val="18"/>
          <w:szCs w:val="18"/>
          <w:color w:val="auto"/>
        </w:rPr>
      </w:pPr>
    </w:p>
    <w:p>
      <w:pPr>
        <w:ind w:left="320" w:hanging="313"/>
        <w:spacing w:after="0"/>
        <w:tabs>
          <w:tab w:leader="none" w:pos="3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66" w:lineRule="exact"/>
        <w:rPr>
          <w:rFonts w:ascii="Arial" w:cs="Arial" w:eastAsia="Arial" w:hAnsi="Arial"/>
          <w:sz w:val="18"/>
          <w:szCs w:val="18"/>
          <w:color w:val="auto"/>
        </w:rPr>
      </w:pPr>
    </w:p>
    <w:p>
      <w:pPr>
        <w:jc w:val="both"/>
        <w:ind w:left="320" w:right="60" w:hanging="313"/>
        <w:spacing w:after="0" w:line="239" w:lineRule="auto"/>
        <w:tabs>
          <w:tab w:leader="none" w:pos="3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the required approval of at least sixty-six and two-thirds percent (66-2/3%) of the voting power of all then-outstanding shares of capital stock entitled to vote generally in the election of directors to remove directors or to adopt, amend, alter or repeal our amended and restated bylaws and certain provisions of our amended and restated certificate of incorporation;</w:t>
      </w:r>
    </w:p>
    <w:p>
      <w:pPr>
        <w:spacing w:after="0" w:line="155" w:lineRule="exact"/>
        <w:rPr>
          <w:rFonts w:ascii="Arial" w:cs="Arial" w:eastAsia="Arial" w:hAnsi="Arial"/>
          <w:sz w:val="18"/>
          <w:szCs w:val="18"/>
          <w:color w:val="auto"/>
        </w:rPr>
      </w:pPr>
    </w:p>
    <w:p>
      <w:pPr>
        <w:ind w:left="320" w:hanging="313"/>
        <w:spacing w:after="0"/>
        <w:tabs>
          <w:tab w:leader="none" w:pos="3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7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both"/>
        <w:ind w:left="320" w:right="200" w:hanging="313"/>
        <w:spacing w:after="0" w:line="239" w:lineRule="auto"/>
        <w:tabs>
          <w:tab w:leader="none" w:pos="3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secretary at the request of our board of directors, the chairman of our board of directors, or our chief executive officer, which may delay the ability of our stockholders to force consideration of a proposal or to take action, including the removal of directors; and</w:t>
      </w:r>
    </w:p>
    <w:p>
      <w:pPr>
        <w:spacing w:after="0" w:line="142" w:lineRule="exact"/>
        <w:rPr>
          <w:rFonts w:ascii="Arial" w:cs="Arial" w:eastAsia="Arial" w:hAnsi="Arial"/>
          <w:sz w:val="18"/>
          <w:szCs w:val="18"/>
          <w:color w:val="auto"/>
        </w:rPr>
      </w:pPr>
    </w:p>
    <w:p>
      <w:pPr>
        <w:jc w:val="both"/>
        <w:ind w:left="320" w:hanging="313"/>
        <w:spacing w:after="0" w:line="239" w:lineRule="auto"/>
        <w:tabs>
          <w:tab w:leader="none" w:pos="3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56"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(“Section 203”). Under Section 203, a corporation may not, in general, engage in a business combination (as defined in Section 203) with any interested stockholder (generally defined by Section 203 to include holders of 15% or more of our capital stock) unless the interested stockholder has held the stock for three years or, among other exceptions and exclusions, the board of directors has approved the business combination transaction or the transaction that resulted in the stockholder becoming an interested stockholder.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We maintain an Information Security Management System designed to identify, assess, and manage material risks from cybersecurity threats. Our program is informed by international security standards, including ISO 27001 and NIST CSF 2.0, and we maintain HITRUST, ISO 27001, ISO 13485, SOC 2 Type 2 and UK CyberEssentials certifications to validate our security and data privacy practices.</w:t>
      </w:r>
    </w:p>
    <w:p>
      <w:pPr>
        <w:spacing w:after="0" w:line="10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We have developed and integrated into our overall risk management program an information security program that is designed to address material risks from cybersecurity threats. Our program includes policies and procedures that identify how security measures and controls are developed, implemented and maintained. A cybersecurity risk assessment, based on an internationally recognized methodology, is conducted annually.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Governance</w:t>
      </w:r>
    </w:p>
    <w:p>
      <w:pPr>
        <w:spacing w:after="0" w:line="184" w:lineRule="exact"/>
        <w:rPr>
          <w:sz w:val="20"/>
          <w:szCs w:val="20"/>
          <w:color w:val="auto"/>
        </w:rPr>
      </w:pPr>
    </w:p>
    <w:p>
      <w:pPr>
        <w:ind w:right="560"/>
        <w:spacing w:after="0" w:line="246" w:lineRule="auto"/>
        <w:rPr>
          <w:sz w:val="20"/>
          <w:szCs w:val="20"/>
          <w:color w:val="auto"/>
        </w:rPr>
      </w:pPr>
      <w:r>
        <w:rPr>
          <w:rFonts w:ascii="Times New Roman" w:cs="Times New Roman" w:eastAsia="Times New Roman" w:hAnsi="Times New Roman"/>
          <w:sz w:val="18"/>
          <w:szCs w:val="18"/>
          <w:color w:val="auto"/>
        </w:rPr>
        <w:t>The Audit Committee of our Board of Directors is primarily responsible for the oversight of risks from cybersecurity threats. The Committee receives quarterly reports from management regarding our security posture, recent threat assessments, and any significant incidents.</w:t>
      </w:r>
    </w:p>
    <w:p>
      <w:pPr>
        <w:spacing w:after="0" w:line="97"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Our Chief Technology Officer and Senior Director of Information Security are responsible for the day-to-day assessment and management of cybersecurity risks. The Information Security Steering Committee consists of internal stakeholders and meets regularly to review key security indicators, identified risks and risk treatment plans. Our Senior Director of Information Security has 10 years of experience in healthcare security leadership and leads a team with experience in a broad set of security areas including product security, endpoint security, network security, incident response and identity and access management with relevant industry certifications. We work with external experts including security assessors, auditors and consultants to ensure expertise in necessary areas.</w:t>
      </w:r>
    </w:p>
    <w:p>
      <w:pPr>
        <w:spacing w:after="0" w:line="10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All employees and workforce members receive training at least annually on our information security policies and procedures, ensuring they follow industry best practices on security and are prepared to report any security incidents.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Risk Identification and Assessment</w:t>
      </w:r>
    </w:p>
    <w:p>
      <w:pPr>
        <w:spacing w:after="0" w:line="184" w:lineRule="exact"/>
        <w:rPr>
          <w:sz w:val="20"/>
          <w:szCs w:val="20"/>
          <w:color w:val="auto"/>
        </w:rPr>
      </w:pPr>
    </w:p>
    <w:p>
      <w:pPr>
        <w:ind w:right="640"/>
        <w:spacing w:after="0" w:line="246" w:lineRule="auto"/>
        <w:rPr>
          <w:sz w:val="20"/>
          <w:szCs w:val="20"/>
          <w:color w:val="auto"/>
        </w:rPr>
      </w:pPr>
      <w:r>
        <w:rPr>
          <w:rFonts w:ascii="Times New Roman" w:cs="Times New Roman" w:eastAsia="Times New Roman" w:hAnsi="Times New Roman"/>
          <w:sz w:val="18"/>
          <w:szCs w:val="18"/>
          <w:color w:val="auto"/>
        </w:rPr>
        <w:t>We conduct risk assessments at least annually, incorporating data from penetration testing, vulnerability scanning, threat modeling and other security processes to identify potential threats to our systems and data.</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8"/>
          <w:szCs w:val="18"/>
          <w:color w:val="auto"/>
        </w:rPr>
        <w:t>As we rely on third-party cloud service providers for our production process, we conduct security due diligence on all of our vendors, which is performed annually for critical vendors, including reviewing their third-party audits, penetration test results and other security documentation. Third party risks are included in our risk assessment.</w:t>
      </w:r>
    </w:p>
    <w:p>
      <w:pPr>
        <w:spacing w:after="0" w:line="10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Identified risks are reviewed and prioritized, considering the criticality of the systems, potential impact of the risk and likelihood. Where needed, the information security team will work with the Steering Committee to develop plans to mitigate or eliminate risks and implement them across the organization.</w:t>
      </w:r>
    </w:p>
    <w:p>
      <w:pPr>
        <w:spacing w:after="0" w:line="73"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The information security team stays informed of cybersecurity threats through conferences, industry groups and other training to ensure risk assessments incorporate real data on likelihood and impact and trends in threats.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Incident Response</w:t>
      </w:r>
    </w:p>
    <w:p>
      <w:pPr>
        <w:spacing w:after="0" w:line="18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maintain a formal incident response plan that includes protocols for investigating, containing, and mitigating security events. This plan is tested annually through tabletop exercises involving both technical staff and senior management.</w:t>
      </w:r>
    </w:p>
    <w:p>
      <w:pPr>
        <w:spacing w:after="0" w:line="82"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18"/>
          <w:szCs w:val="18"/>
          <w:color w:val="auto"/>
        </w:rPr>
        <w:t>We maintain a 24x7x365 on-call rotation to ensure timely responses to critical security incidents and monitor critical systems. We incorporate public and private threat intelligence data from industry organizations into our threat detection system to ensure we identify new threats. We have established communication channels to ensure that potential material cybersecurity incidents are promptly escalated to our legal and executive teams to determine if a disclosure obligation exists under SEC rules.</w:t>
      </w:r>
    </w:p>
    <w:p>
      <w:pPr>
        <w:spacing w:after="0" w:line="105"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8"/>
          <w:szCs w:val="18"/>
          <w:color w:val="auto"/>
        </w:rPr>
        <w:t>To date, we do not believe that known risks from cybersecurity threats, including as a result of any previous cybersecurity incidents that we are aware of, have materially affected or are reasonably likely to materially affect us, including our business strategy, results of operations, or financial condition. However, we can give no assurance that we have detected or protected against all cybersecurity incidents or cybersecurity threats. Please see the risk factor titled “Our networks and those of our third-party service providers may become the target of bad actors or security breaches that we cannot anticipate or successfully defend, which could have an adverse impact on our business.” in Part I. Item 1A. “Risk Factors” in this Annual Report for additional information about the risks we face associated with cybersecurity threats.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1"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212529"/>
        </w:rPr>
        <w:t>We currently lease approximately 61,000 square feet for our corporate headquarters located in Mountain View, California under a lease agreement which terminates in August 2030. We also lease approximately 26,000 square feet of office space located in Austin, Texas under a lease agreement which terminates in March 2027. We have the option to extend the Austin, Texas lease term for two additional three-year periods. The option must be exercised no more than 12 months and no less than nine months prior to the expiration of the applicable term.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We also have leased office space in Santa Rosa, San Francisco and Rohnert Park, California and Tokyo, Japan.</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existing facilities will continue to support our production, research and development, finance, marketing, and administrative teams. We believe that our existing and new facilities are adequate to support our expansion through the end of the facilities’ lease periods. We believe that suitable additional or alternative space would be available in the future as required on commercially reasonable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4"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In October 2025, we and certain of our employees received civil investigative demands (the “CID”) from the U.S. Department of Justice, Civil Division, in connection with an investigation under the federal Anti-Kickback Statute and Civil False Claims Act (the “Investigation”). The CID requests information, documents, and testimony focused on our financial and contractual arrangements with providers and our sales and marketing activities. We are cooperating with the Investigation. We are unable to express a view at this time regarding the likely duration, or ultimate outcome, of the Investigation. Depending on the outcome of the Investigation, there may be a material impact on our business, results of operations, financial condition, or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212529"/>
        </w:rPr>
        <w:t>We are subject to litigation and other legal actions from time to time arising in the ordinary course of business, including intellectual property, products liability, breach of contract, commercial, employment, and other similar claims which could have an adverse impact on our reputation, business and financial condition and divert the attention of our management from the operation of our business. In the opinion of management, the outcome of these and any other pending legal matters will not have a material adverse effect on our financial condition, results of operations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4"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212529"/>
        </w:rPr>
        <w:t>Our common stock is listed on The Nasdaq Global Select Market under the symbol “HTFL” and began trading on August 8, 2025. Prior to that date, there was no public trading market for our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212529"/>
        </w:rPr>
        <w:t>As of February 28, 2026, there were approximately 344 stockholders of record of our common stock. Since many of our shares of common stock are held by brokers and other institutions on behalf of stockholders, we are unable to estimate the total number of stockholders represented by these record 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Dividends</w:t>
      </w:r>
    </w:p>
    <w:p>
      <w:pPr>
        <w:spacing w:after="0" w:line="184"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212529"/>
        </w:rPr>
        <w:t>We have never declared or paid, and do not anticipate declaring or paying, any cash dividends on any of our capital stock. We do not anticipate paying any dividends in the foreseeable future, and we currently intend to retain all available funds and any future earnings for use in the operation of our business and to finance the growth and development of our business. Future determinations as to the declaration and payment of dividends, if any, will be at the discretion of our board of directors and will depend on then-existing conditions, including our operating results, financial condition, contractual restrictions, capital requirements, business prospects and other factors our board of directors may deem relevant.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Use of Proceeds</w:t>
      </w:r>
    </w:p>
    <w:p>
      <w:pPr>
        <w:spacing w:after="0" w:line="184"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8"/>
          <w:szCs w:val="18"/>
          <w:color w:val="212529"/>
        </w:rPr>
        <w:t>For a discussion of the use of proceeds from the IPO, see the information in Part II, Item 2, “Use of Proceeds” in our Quarterly Report on Form 10-Q for the quarter ended June 30, 2025. There have been no material changes to the use of proceeds from the IPO disclosed in our Quarterly Report on Form 10-Q for the quarter ended June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Recent Sales of Unregistered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None.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Issuer Purchases of Equity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Stock Performance Graph</w:t>
      </w:r>
    </w:p>
    <w:p>
      <w:pPr>
        <w:spacing w:after="0" w:line="18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212529"/>
        </w:rPr>
        <w:t>The following graph illustrates a comparison of the total cumulative stockholder return on our common stock with the total return for (i) the Nasdaq Composite Index (U.S.) and (ii) the Nasdaq U.S. Benchmark Medical Equipment TR Index for the period from August 8, 2025 (the first day of trading of our common stock) through December 31, 2025. The graph assumes an investment of $100 in our common stock at market close on August 8, 2025 and the reinvestment of dividends, if any. The comparisons in the table are not intended to forecast or be indicative of possible future performance of our common stock.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of 1933, as amended, whether made before or after the date hereof and irrespective of any general incorporation language in any such filing.</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134620</wp:posOffset>
            </wp:positionV>
            <wp:extent cx="5946140" cy="2968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46140" cy="296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$100 investment in stock or index</w:t>
            </w:r>
          </w:p>
        </w:tc>
        <w:tc>
          <w:tcPr>
            <w:tcW w:w="14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Aug. 8, 2025</w:t>
            </w:r>
          </w:p>
        </w:tc>
        <w:tc>
          <w:tcPr>
            <w:tcW w:w="14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Aug. 31, 2025</w:t>
            </w:r>
          </w:p>
        </w:tc>
        <w:tc>
          <w:tcPr>
            <w:tcW w:w="16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16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Oct. 31, 2025</w:t>
            </w:r>
          </w:p>
        </w:tc>
        <w:tc>
          <w:tcPr>
            <w:tcW w:w="120" w:type="dxa"/>
            <w:vAlign w:val="bottom"/>
          </w:tcPr>
          <w:p>
            <w:pPr>
              <w:spacing w:after="0"/>
              <w:rPr>
                <w:sz w:val="13"/>
                <w:szCs w:val="13"/>
                <w:color w:val="auto"/>
              </w:rPr>
            </w:pPr>
          </w:p>
        </w:tc>
        <w:tc>
          <w:tcPr>
            <w:tcW w:w="10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Nov. 30, 2025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Dec. 31,</w:t>
            </w:r>
          </w:p>
        </w:tc>
        <w:tc>
          <w:tcPr>
            <w:tcW w:w="0" w:type="dxa"/>
            <w:vAlign w:val="bottom"/>
          </w:tcPr>
          <w:p>
            <w:pPr>
              <w:spacing w:after="0"/>
              <w:rPr>
                <w:sz w:val="1"/>
                <w:szCs w:val="1"/>
                <w:color w:val="auto"/>
              </w:rPr>
            </w:pPr>
          </w:p>
        </w:tc>
      </w:tr>
      <w:tr>
        <w:trPr>
          <w:trHeight w:val="93"/>
        </w:trPr>
        <w:tc>
          <w:tcPr>
            <w:tcW w:w="4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78"/>
        </w:trPr>
        <w:tc>
          <w:tcPr>
            <w:tcW w:w="394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Heartflow, Inc. (HTFL)</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14"/>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Nasdaq Composite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4"/>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Nasdaq US Benchmark Medical Equipment TR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and other financial information included elsewhere in this Annual Report. This discussion and analysis and other parts of this Annual Report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Annual Report.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 Our historical results are not necessarily indicative of the results that may be expected for any period in the future.</w:t>
      </w:r>
    </w:p>
    <w:p>
      <w:pPr>
        <w:spacing w:after="0" w:line="157"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i w:val="1"/>
          <w:iCs w:val="1"/>
          <w:color w:val="auto"/>
        </w:rPr>
        <w:t>This section of this Annual Report on Form 10-K generally discusses 2025 and 2024 items and year-to-year comparisons between 2025 and 2024. Discussions of 2023 items and year-to-year comparisons between 2024 and 2023 that are not included in this Form 10-K can be found in the section titled “Management’s Discussion and Analysis of Financial Condition and Results of Operations” for the year ended December 31, 2024 included in our registration statement on Form S-1 (File No. 333-288733), which became effective on August 7,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We provide software and artificial intelligence (“AI”) designed to deliver a more accurate and clinically effective non-invasive solution for diagnosing and managing coronary artery disease (“CAD”), a leading cause of death worldwide. As of December 31, 2025, our Heartflow Platform has been used to assess CAD in more than 600,000 patients, including 219,000 in 2025 alone. We believe that we are the most widely adopted AI-powered test for CAD. Our novel platform leverages AI and advanced computational fluid dynamics to create a personalized 3D model of a patient’s heart from a single coronary computed tomography angiography (“CCTA”), a specialized type of scan that provides detailed images of the heart’s arteries. Our Heartflow Platform delivers actionable insights on blood flow, stenosis, plaque volume and plaque composition thereby overcoming the limitations of traditional non-invasive imaging tests which rely on indirect measures of coronary disease and lead to higher false negative and false positive rates as demonstrated by our PRECISE trial. We believe the differentiated accuracy and clinical utility of our Heartflow Platform, along with its ability to enhance workflows, will continue to support our growth and advance the “CCTA + Heartflow” pathway as the definitive standard for the non-invasive diagnosis and management of CAD.</w:t>
      </w:r>
    </w:p>
    <w:p>
      <w:pPr>
        <w:spacing w:after="0" w:line="14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To date, we have developed three software products (with a fourth product expected to launch in the second quarter of 2026) under the Heartflow Platform that provide physicians with the critical insights needed to effectively diagnose and manage CAD:</w:t>
      </w:r>
    </w:p>
    <w:p>
      <w:pPr>
        <w:spacing w:after="0" w:line="136" w:lineRule="exact"/>
        <w:rPr>
          <w:sz w:val="20"/>
          <w:szCs w:val="20"/>
          <w:color w:val="auto"/>
        </w:rPr>
      </w:pPr>
    </w:p>
    <w:p>
      <w:pPr>
        <w:jc w:val="both"/>
        <w:ind w:left="320" w:right="400" w:hanging="313"/>
        <w:spacing w:after="0" w:line="234" w:lineRule="auto"/>
        <w:tabs>
          <w:tab w:leader="none" w:pos="3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Heartflow RoadMap Analysis offers a highly intuitive anatomic visualization of the coronary arteries, helping physicians quickly identify clinically relevant areas to focus their review. We provide Heartflow RoadMap Analysis to accounts as an integrated feature to enhance the efficiency of their CCTA program, and it is not a stand-alone product.</w:t>
      </w:r>
    </w:p>
    <w:p>
      <w:pPr>
        <w:spacing w:after="0" w:line="27" w:lineRule="exact"/>
        <w:rPr>
          <w:rFonts w:ascii="Arial" w:cs="Arial" w:eastAsia="Arial" w:hAnsi="Arial"/>
          <w:sz w:val="18"/>
          <w:szCs w:val="18"/>
          <w:color w:val="auto"/>
        </w:rPr>
      </w:pPr>
    </w:p>
    <w:p>
      <w:pPr>
        <w:jc w:val="both"/>
        <w:ind w:left="320" w:right="140" w:hanging="313"/>
        <w:spacing w:after="0" w:line="246" w:lineRule="auto"/>
        <w:tabs>
          <w:tab w:leader="none" w:pos="3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calculates blood flow and pinpoints clinically significant CAD, which is CAD with a fractional flow reserve (“FFR”) value of 0.80 or below, at every point in the major coronary arteries. FFR measures the severity of blood flow restriction in the coronary arteries on a scale of 1.0 (no restriction) to 0.0 (complete blockage) by assessing pressure differences across a stenosis during induced stress, guiding decisions on whether a patient requires invasive revascularization.</w:t>
      </w:r>
    </w:p>
    <w:p>
      <w:pPr>
        <w:spacing w:after="0" w:line="151" w:lineRule="exact"/>
        <w:rPr>
          <w:rFonts w:ascii="Arial" w:cs="Arial" w:eastAsia="Arial" w:hAnsi="Arial"/>
          <w:sz w:val="18"/>
          <w:szCs w:val="18"/>
          <w:color w:val="auto"/>
        </w:rPr>
      </w:pPr>
    </w:p>
    <w:p>
      <w:pPr>
        <w:ind w:left="320" w:hanging="313"/>
        <w:spacing w:after="0"/>
        <w:tabs>
          <w:tab w:leader="none" w:pos="3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Heartflow Plaque Analysis provides a comprehensive assessment of coronary plaque, enabling optimized medical treatment strategies.</w:t>
      </w:r>
    </w:p>
    <w:p>
      <w:pPr>
        <w:spacing w:after="0" w:line="179" w:lineRule="exact"/>
        <w:rPr>
          <w:rFonts w:ascii="Arial" w:cs="Arial" w:eastAsia="Arial" w:hAnsi="Arial"/>
          <w:sz w:val="18"/>
          <w:szCs w:val="18"/>
          <w:color w:val="auto"/>
        </w:rPr>
      </w:pPr>
    </w:p>
    <w:p>
      <w:pPr>
        <w:ind w:left="320" w:right="60" w:hanging="313"/>
        <w:spacing w:after="0" w:line="239" w:lineRule="auto"/>
        <w:tabs>
          <w:tab w:leader="none" w:pos="3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Heartflow PCI Navigator, which we expect to launch in the second quarter of 2026, will provide advanced visualization and clinical insights to optimize revascularization strategies, guide device selection, enhance procedural efficiency, and improve patient care. We plan to provide Heartflow PCI Navigator to accounts as an integrated feature to enhance procedural efficiency, not as a stand-alone product.</w:t>
      </w:r>
    </w:p>
    <w:p>
      <w:pPr>
        <w:spacing w:after="0" w:line="20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We anticipate launching Plaque Tracker, our fifth product, in 2027. Plaque Tracker will enable longitudinal plaque analysis of sequential CCTAs to measure the efficacy of medical therapy based on plaque regression.</w:t>
      </w:r>
    </w:p>
    <w:p>
      <w:pPr>
        <w:spacing w:after="0" w:line="217"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8"/>
          <w:szCs w:val="18"/>
          <w:color w:val="auto"/>
        </w:rPr>
        <w:t>The Heartflow Platform has an existing commercial presence and regulatory approval in the United States, United Kingdom, European Union, and Japan. Additionally, some or all of our platform have received medical device licensing or approvals in</w:t>
      </w: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Canada, Australia, Israel, Saudi Arabia and United Arab Emirates and Bahrain. We have developed a highly scalable, capital efficient commercial model that combines Territory Sales Managers (“TSMs”) who drive new account adoption with Territory Account Managers (“TAMs”) who focus on increasing utilization by educating referring physicians. Our commercial team does not cover cases or otherwise spend time in an operating room or lab setting, which enables them to focus solely on driving commercial adoption and educational activities. We also have small, direct commercial teams in our international markets. In the future, we may expand our international presence beyond these markets.</w:t>
      </w:r>
    </w:p>
    <w:p>
      <w:pPr>
        <w:spacing w:after="0" w:line="143"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Our technology is simple and intuitive and does not require the purchase of any capital equipment. Our onboarding process seamlessly integrates the Heartflow Platform into the customer’s daily workflow. These unique attributes of our business model afford our commercial organization a differentiated level of efficiency and scalability.</w:t>
      </w:r>
    </w:p>
    <w:p>
      <w:pPr>
        <w:spacing w:after="0" w:line="156" w:lineRule="exact"/>
        <w:rPr>
          <w:sz w:val="20"/>
          <w:szCs w:val="20"/>
          <w:color w:val="auto"/>
        </w:rPr>
      </w:pPr>
    </w:p>
    <w:p>
      <w:pPr>
        <w:ind w:right="100"/>
        <w:spacing w:after="0" w:line="207" w:lineRule="auto"/>
        <w:rPr>
          <w:sz w:val="20"/>
          <w:szCs w:val="20"/>
          <w:color w:val="auto"/>
        </w:rPr>
      </w:pPr>
      <w:r>
        <w:rPr>
          <w:rFonts w:ascii="Times New Roman" w:cs="Times New Roman" w:eastAsia="Times New Roman" w:hAnsi="Times New Roman"/>
          <w:sz w:val="17"/>
          <w:szCs w:val="17"/>
          <w:color w:val="auto"/>
        </w:rPr>
        <w:t>We have experienced considerable revenue growth since we began commercializing the Heartflow Platform in 2015, driven primarily by growth in our account base and increasing test volumes at accounts in our installed base. We recognized revenue of $176.0 million for the year ended December 31, 2025, compared to revenue of $125.8 million and $87.2 million for the year ended December 31, 2024 and 2023, respectively. Substantially all of our revenue is generated on a “pay-per-click” basis each time a physician chooses to review either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Heartflow Plaque Analysis, or both and we recognize usage-driven fee revenue upon delivery of the requested analysis to the physician.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has served as our commercial</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foundation, representing 98% of our total revenue as of December 31, 2025. In the second half of 2023, we initiated limited market education efforts for Heartflow Plaque Analysis, our second commercial product, and we expect to broaden our market education efforts as payor coverage for Heartflow Plaque Analysis increases. Heartflow Plaque Analysis is currently covered by certain government and third-party payors. Our Heartflow RoadMap Analysis is generally provided as a workflow efficiency tool to drive customer retention and loyalty and is not a stand-alone product.</w:t>
      </w:r>
    </w:p>
    <w:p>
      <w:pPr>
        <w:spacing w:after="0" w:line="155"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Prior to our IPO, we primarily funded our operations with proceeds from sales of shares of our redeemable convertible preferred stock, common stock and convertible promissory notes, borrowings under our term loans and revenue received from our customers. As of December 31, 2025, we had $280.2 million in cash and cash equivalents and investments. In January and March 2025, we issued $98.3 million in aggregate principal amount of the 2025 Convertible Notes to investors, including related parties, with original maturity dates of 48 months from the dates of issuance. The consideration for the issuance of the 2025 Convertible Notes was comprised of $74.0 million in cash, $1.3 million in aggregate principal amount of notes issued in lieu of cash compensation to certain employees, and the exchange of $23.0 million of outstanding indebtedness under the 2024 Credit Agreement (as defined below).</w:t>
      </w:r>
    </w:p>
    <w:p>
      <w:pPr>
        <w:spacing w:after="0" w:line="15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On August 11, 2025, we completed our IPO, in which we issued and sold 19,166,667 shares of our common stock, which includes an additional 2,500,000 shares of common stock purchased by the underwriters pursuant to their option to purchase additional shares, at a price to the public of $19.00 per share. The cash proceeds from our IPO were approximately $332.4 million, net of underwriting discounts and commissions and offering costs of $31.8 million. Additionally, upon the closing of our IPO, the aggregate outstanding principal balance of $98.3 million under the 2025 Convertible Notes automatically converted into 6,470,743 shares of our common stock at $15.20 per share, a 20% discount from our IPO price.</w:t>
      </w:r>
    </w:p>
    <w:p>
      <w:pPr>
        <w:spacing w:after="0" w:line="15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our inception, and we expect to continue to incur losses as we grow and transition to now operating as a public company. Our net loss for the years ended December 31, 2025, 2024, and 2023 was $116.8 million, $96.4 million, and $95.7 million,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Performance</w:t>
      </w:r>
    </w:p>
    <w:p>
      <w:pPr>
        <w:spacing w:after="0" w:line="184"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continue to impact our operating performance and results of operations for the foreseeable future. These factors include, among others:</w:t>
      </w:r>
    </w:p>
    <w:p>
      <w:pPr>
        <w:spacing w:after="0" w:line="122" w:lineRule="exact"/>
        <w:rPr>
          <w:sz w:val="20"/>
          <w:szCs w:val="20"/>
          <w:color w:val="auto"/>
        </w:rPr>
      </w:pPr>
    </w:p>
    <w:p>
      <w:pPr>
        <w:ind w:left="320" w:right="500" w:hanging="313"/>
        <w:spacing w:after="0" w:line="261" w:lineRule="auto"/>
        <w:tabs>
          <w:tab w:leader="none" w:pos="32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Rate of adoption of CCTA in the market and our ability to increase adoption of the CCTA + Heartflow pathway among both referring and reading physicians.</w:t>
      </w:r>
    </w:p>
    <w:p>
      <w:pPr>
        <w:spacing w:after="0" w:line="136" w:lineRule="exact"/>
        <w:rPr>
          <w:rFonts w:ascii="Arial" w:cs="Arial" w:eastAsia="Arial" w:hAnsi="Arial"/>
          <w:sz w:val="18"/>
          <w:szCs w:val="18"/>
          <w:color w:val="auto"/>
        </w:rPr>
      </w:pPr>
    </w:p>
    <w:p>
      <w:pPr>
        <w:ind w:left="320" w:hanging="313"/>
        <w:spacing w:after="0"/>
        <w:tabs>
          <w:tab w:leader="none" w:pos="32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Ability to successfully introduce our Heartflow Plaque Analysis and other new products and the rate at which they are adopted by physicians.</w:t>
      </w:r>
    </w:p>
    <w:p>
      <w:pPr>
        <w:spacing w:after="0" w:line="166" w:lineRule="exact"/>
        <w:rPr>
          <w:rFonts w:ascii="Arial" w:cs="Arial" w:eastAsia="Arial" w:hAnsi="Arial"/>
          <w:sz w:val="18"/>
          <w:szCs w:val="18"/>
          <w:color w:val="auto"/>
        </w:rPr>
      </w:pPr>
    </w:p>
    <w:p>
      <w:pPr>
        <w:ind w:left="320" w:right="260" w:hanging="313"/>
        <w:spacing w:after="0" w:line="261" w:lineRule="auto"/>
        <w:tabs>
          <w:tab w:leader="none" w:pos="32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Ability to automate an increasing number of the manual components of our production process and the rate at which we hire and train analysts to full productivity.</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320" w:hanging="313"/>
        <w:spacing w:after="0"/>
        <w:tabs>
          <w:tab w:leader="none" w:pos="3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Seasonality we experience throughout the year, including due to staff availability, vacations, weather and other macro economic events.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Publications of clinical results by us and third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Heartflow Revenue Cases</w:t>
      </w:r>
    </w:p>
    <w:p>
      <w:pPr>
        <w:spacing w:after="0" w:line="184"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We regularly review a number of operating and financial metrics to evaluate our business, measure our performance, identify trends affecting our business, formulate our business plan and make strategic decisions. Substantially all of our revenue is generated on a “pay-per-click” basis each time a physician chooses to review either our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Heartflow Plaque Analysis, or both and we recognize usage-driven fee revenue upon delivery of the</w:t>
      </w:r>
    </w:p>
    <w:p>
      <w:pPr>
        <w:spacing w:after="0" w:line="2" w:lineRule="exact"/>
        <w:rPr>
          <w:sz w:val="20"/>
          <w:szCs w:val="20"/>
          <w:color w:val="auto"/>
        </w:rPr>
      </w:pPr>
    </w:p>
    <w:p>
      <w:pPr>
        <w:ind w:right="360"/>
        <w:spacing w:after="0" w:line="198" w:lineRule="auto"/>
        <w:rPr>
          <w:sz w:val="20"/>
          <w:szCs w:val="20"/>
          <w:color w:val="auto"/>
        </w:rPr>
      </w:pPr>
      <w:r>
        <w:rPr>
          <w:rFonts w:ascii="Times New Roman" w:cs="Times New Roman" w:eastAsia="Times New Roman" w:hAnsi="Times New Roman"/>
          <w:sz w:val="17"/>
          <w:szCs w:val="17"/>
          <w:color w:val="auto"/>
        </w:rPr>
        <w:t>requested analysis to the physician. We define a “Heartflow revenue case” as each time an account orders and we deliver the requested analysis to the physician. For example, the ordering of both an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a Heartflow Plaque Analysis from a single CCTA counts as two revenue</w:t>
      </w:r>
    </w:p>
    <w:p>
      <w:pPr>
        <w:spacing w:after="0" w:line="1" w:lineRule="exact"/>
        <w:rPr>
          <w:sz w:val="20"/>
          <w:szCs w:val="20"/>
          <w:color w:val="auto"/>
        </w:rPr>
      </w:pPr>
    </w:p>
    <w:p>
      <w:pPr>
        <w:ind w:right="260"/>
        <w:spacing w:after="0" w:line="195" w:lineRule="auto"/>
        <w:rPr>
          <w:sz w:val="20"/>
          <w:szCs w:val="20"/>
          <w:color w:val="auto"/>
        </w:rPr>
      </w:pPr>
      <w:r>
        <w:rPr>
          <w:rFonts w:ascii="Times New Roman" w:cs="Times New Roman" w:eastAsia="Times New Roman" w:hAnsi="Times New Roman"/>
          <w:sz w:val="18"/>
          <w:szCs w:val="18"/>
          <w:color w:val="auto"/>
        </w:rPr>
        <w:t>cases. We define an “account” as any individual facility that orders a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Heartflow Plaque Analysis, or both. Accounts may have more than one reading physician or CT machine. The following table lists these revenue cases in each of the three month periods as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Q1 2023</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Q2 2023</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Q3 2023</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Q4 2023</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Q1 2024</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Q2 2024</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Q3 2024</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Q4 2024</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Q1 2025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Q2 2025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Q4 2025</w:t>
            </w:r>
          </w:p>
        </w:tc>
      </w:tr>
      <w:tr>
        <w:trPr>
          <w:trHeight w:val="140"/>
        </w:trPr>
        <w:tc>
          <w:tcPr>
            <w:tcW w:w="1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 cases</w:t>
            </w:r>
          </w:p>
        </w:tc>
        <w:tc>
          <w:tcPr>
            <w:tcW w:w="900" w:type="dxa"/>
            <w:vAlign w:val="bottom"/>
            <w:shd w:val="clear" w:color="auto" w:fill="CCEEFF"/>
          </w:tcPr>
          <w:p>
            <w:pPr>
              <w:jc w:val="right"/>
              <w:ind w:right="193"/>
              <w:spacing w:after="0" w:line="141" w:lineRule="exact"/>
              <w:rPr>
                <w:sz w:val="20"/>
                <w:szCs w:val="20"/>
                <w:color w:val="auto"/>
              </w:rPr>
            </w:pPr>
            <w:r>
              <w:rPr>
                <w:rFonts w:ascii="Times New Roman" w:cs="Times New Roman" w:eastAsia="Times New Roman" w:hAnsi="Times New Roman"/>
                <w:sz w:val="13"/>
                <w:szCs w:val="13"/>
                <w:color w:val="auto"/>
              </w:rPr>
              <w:t>19,537</w:t>
            </w:r>
          </w:p>
        </w:tc>
        <w:tc>
          <w:tcPr>
            <w:tcW w:w="860" w:type="dxa"/>
            <w:vAlign w:val="bottom"/>
            <w:shd w:val="clear" w:color="auto" w:fill="CCEEFF"/>
          </w:tcPr>
          <w:p>
            <w:pPr>
              <w:jc w:val="right"/>
              <w:ind w:right="173"/>
              <w:spacing w:after="0" w:line="141" w:lineRule="exact"/>
              <w:rPr>
                <w:sz w:val="20"/>
                <w:szCs w:val="20"/>
                <w:color w:val="auto"/>
              </w:rPr>
            </w:pPr>
            <w:r>
              <w:rPr>
                <w:rFonts w:ascii="Times New Roman" w:cs="Times New Roman" w:eastAsia="Times New Roman" w:hAnsi="Times New Roman"/>
                <w:sz w:val="13"/>
                <w:szCs w:val="13"/>
                <w:color w:val="auto"/>
              </w:rPr>
              <w:t>21,769</w:t>
            </w:r>
          </w:p>
        </w:tc>
        <w:tc>
          <w:tcPr>
            <w:tcW w:w="820" w:type="dxa"/>
            <w:vAlign w:val="bottom"/>
            <w:shd w:val="clear" w:color="auto" w:fill="CCEEFF"/>
          </w:tcPr>
          <w:p>
            <w:pPr>
              <w:jc w:val="right"/>
              <w:ind w:right="153"/>
              <w:spacing w:after="0" w:line="141" w:lineRule="exact"/>
              <w:rPr>
                <w:sz w:val="20"/>
                <w:szCs w:val="20"/>
                <w:color w:val="auto"/>
              </w:rPr>
            </w:pPr>
            <w:r>
              <w:rPr>
                <w:rFonts w:ascii="Times New Roman" w:cs="Times New Roman" w:eastAsia="Times New Roman" w:hAnsi="Times New Roman"/>
                <w:sz w:val="13"/>
                <w:szCs w:val="13"/>
                <w:color w:val="auto"/>
              </w:rPr>
              <w:t>23,195</w:t>
            </w:r>
          </w:p>
        </w:tc>
        <w:tc>
          <w:tcPr>
            <w:tcW w:w="820" w:type="dxa"/>
            <w:vAlign w:val="bottom"/>
            <w:shd w:val="clear" w:color="auto" w:fill="CCEEFF"/>
          </w:tcPr>
          <w:p>
            <w:pPr>
              <w:jc w:val="right"/>
              <w:ind w:right="153"/>
              <w:spacing w:after="0" w:line="141" w:lineRule="exact"/>
              <w:rPr>
                <w:sz w:val="20"/>
                <w:szCs w:val="20"/>
                <w:color w:val="auto"/>
              </w:rPr>
            </w:pPr>
            <w:r>
              <w:rPr>
                <w:rFonts w:ascii="Times New Roman" w:cs="Times New Roman" w:eastAsia="Times New Roman" w:hAnsi="Times New Roman"/>
                <w:sz w:val="13"/>
                <w:szCs w:val="13"/>
                <w:color w:val="auto"/>
              </w:rPr>
              <w:t>24,897</w:t>
            </w:r>
          </w:p>
        </w:tc>
        <w:tc>
          <w:tcPr>
            <w:tcW w:w="860" w:type="dxa"/>
            <w:vAlign w:val="bottom"/>
            <w:shd w:val="clear" w:color="auto" w:fill="CCEEFF"/>
          </w:tcPr>
          <w:p>
            <w:pPr>
              <w:jc w:val="right"/>
              <w:ind w:right="193"/>
              <w:spacing w:after="0" w:line="141" w:lineRule="exact"/>
              <w:rPr>
                <w:sz w:val="20"/>
                <w:szCs w:val="20"/>
                <w:color w:val="auto"/>
              </w:rPr>
            </w:pPr>
            <w:r>
              <w:rPr>
                <w:rFonts w:ascii="Times New Roman" w:cs="Times New Roman" w:eastAsia="Times New Roman" w:hAnsi="Times New Roman"/>
                <w:sz w:val="13"/>
                <w:szCs w:val="13"/>
                <w:color w:val="auto"/>
              </w:rPr>
              <w:t>28,803</w:t>
            </w:r>
          </w:p>
        </w:tc>
        <w:tc>
          <w:tcPr>
            <w:tcW w:w="860" w:type="dxa"/>
            <w:vAlign w:val="bottom"/>
            <w:shd w:val="clear" w:color="auto" w:fill="CCEEFF"/>
          </w:tcPr>
          <w:p>
            <w:pPr>
              <w:jc w:val="right"/>
              <w:ind w:right="173"/>
              <w:spacing w:after="0" w:line="141" w:lineRule="exact"/>
              <w:rPr>
                <w:sz w:val="20"/>
                <w:szCs w:val="20"/>
                <w:color w:val="auto"/>
              </w:rPr>
            </w:pPr>
            <w:r>
              <w:rPr>
                <w:rFonts w:ascii="Times New Roman" w:cs="Times New Roman" w:eastAsia="Times New Roman" w:hAnsi="Times New Roman"/>
                <w:sz w:val="13"/>
                <w:szCs w:val="13"/>
                <w:color w:val="auto"/>
              </w:rPr>
              <w:t>33,039</w:t>
            </w:r>
          </w:p>
        </w:tc>
        <w:tc>
          <w:tcPr>
            <w:tcW w:w="840" w:type="dxa"/>
            <w:vAlign w:val="bottom"/>
            <w:shd w:val="clear" w:color="auto" w:fill="CCEEFF"/>
          </w:tcPr>
          <w:p>
            <w:pPr>
              <w:jc w:val="right"/>
              <w:ind w:right="173"/>
              <w:spacing w:after="0" w:line="141" w:lineRule="exact"/>
              <w:rPr>
                <w:sz w:val="20"/>
                <w:szCs w:val="20"/>
                <w:color w:val="auto"/>
              </w:rPr>
            </w:pPr>
            <w:r>
              <w:rPr>
                <w:rFonts w:ascii="Times New Roman" w:cs="Times New Roman" w:eastAsia="Times New Roman" w:hAnsi="Times New Roman"/>
                <w:sz w:val="13"/>
                <w:szCs w:val="13"/>
                <w:color w:val="auto"/>
              </w:rPr>
              <w:t>34,970</w:t>
            </w:r>
          </w:p>
        </w:tc>
        <w:tc>
          <w:tcPr>
            <w:tcW w:w="840" w:type="dxa"/>
            <w:vAlign w:val="bottom"/>
            <w:shd w:val="clear" w:color="auto" w:fill="CCEEFF"/>
          </w:tcPr>
          <w:p>
            <w:pPr>
              <w:jc w:val="right"/>
              <w:ind w:right="173"/>
              <w:spacing w:after="0" w:line="141" w:lineRule="exact"/>
              <w:rPr>
                <w:sz w:val="20"/>
                <w:szCs w:val="20"/>
                <w:color w:val="auto"/>
              </w:rPr>
            </w:pPr>
            <w:r>
              <w:rPr>
                <w:rFonts w:ascii="Times New Roman" w:cs="Times New Roman" w:eastAsia="Times New Roman" w:hAnsi="Times New Roman"/>
                <w:sz w:val="13"/>
                <w:szCs w:val="13"/>
                <w:color w:val="auto"/>
              </w:rPr>
              <w:t>37,805</w:t>
            </w:r>
          </w:p>
        </w:tc>
        <w:tc>
          <w:tcPr>
            <w:tcW w:w="840" w:type="dxa"/>
            <w:vAlign w:val="bottom"/>
            <w:shd w:val="clear" w:color="auto" w:fill="CCEEFF"/>
          </w:tcPr>
          <w:p>
            <w:pPr>
              <w:jc w:val="right"/>
              <w:ind w:right="173"/>
              <w:spacing w:after="0" w:line="141" w:lineRule="exact"/>
              <w:rPr>
                <w:sz w:val="20"/>
                <w:szCs w:val="20"/>
                <w:color w:val="auto"/>
              </w:rPr>
            </w:pPr>
            <w:r>
              <w:rPr>
                <w:rFonts w:ascii="Times New Roman" w:cs="Times New Roman" w:eastAsia="Times New Roman" w:hAnsi="Times New Roman"/>
                <w:sz w:val="13"/>
                <w:szCs w:val="13"/>
                <w:color w:val="auto"/>
              </w:rPr>
              <w:t>40,336</w:t>
            </w:r>
          </w:p>
        </w:tc>
        <w:tc>
          <w:tcPr>
            <w:tcW w:w="840" w:type="dxa"/>
            <w:vAlign w:val="bottom"/>
            <w:shd w:val="clear" w:color="auto" w:fill="CCEEFF"/>
          </w:tcPr>
          <w:p>
            <w:pPr>
              <w:jc w:val="right"/>
              <w:ind w:right="173"/>
              <w:spacing w:after="0" w:line="141" w:lineRule="exact"/>
              <w:rPr>
                <w:sz w:val="20"/>
                <w:szCs w:val="20"/>
                <w:color w:val="auto"/>
              </w:rPr>
            </w:pPr>
            <w:r>
              <w:rPr>
                <w:rFonts w:ascii="Times New Roman" w:cs="Times New Roman" w:eastAsia="Times New Roman" w:hAnsi="Times New Roman"/>
                <w:sz w:val="13"/>
                <w:szCs w:val="13"/>
                <w:color w:val="auto"/>
              </w:rPr>
              <w:t>48,423</w:t>
            </w:r>
          </w:p>
        </w:tc>
        <w:tc>
          <w:tcPr>
            <w:tcW w:w="840" w:type="dxa"/>
            <w:vAlign w:val="bottom"/>
            <w:shd w:val="clear" w:color="auto" w:fill="CCEEFF"/>
          </w:tcPr>
          <w:p>
            <w:pPr>
              <w:jc w:val="right"/>
              <w:ind w:right="173"/>
              <w:spacing w:after="0" w:line="141" w:lineRule="exact"/>
              <w:rPr>
                <w:sz w:val="20"/>
                <w:szCs w:val="20"/>
                <w:color w:val="auto"/>
              </w:rPr>
            </w:pPr>
            <w:r>
              <w:rPr>
                <w:rFonts w:ascii="Times New Roman" w:cs="Times New Roman" w:eastAsia="Times New Roman" w:hAnsi="Times New Roman"/>
                <w:sz w:val="13"/>
                <w:szCs w:val="13"/>
                <w:color w:val="auto"/>
              </w:rPr>
              <w:t>51,805</w:t>
            </w:r>
          </w:p>
        </w:tc>
        <w:tc>
          <w:tcPr>
            <w:tcW w:w="780" w:type="dxa"/>
            <w:vAlign w:val="bottom"/>
            <w:shd w:val="clear" w:color="auto" w:fill="CCEEFF"/>
          </w:tcPr>
          <w:p>
            <w:pPr>
              <w:jc w:val="right"/>
              <w:ind w:right="133"/>
              <w:spacing w:after="0" w:line="141" w:lineRule="exact"/>
              <w:rPr>
                <w:sz w:val="20"/>
                <w:szCs w:val="20"/>
                <w:color w:val="auto"/>
              </w:rPr>
            </w:pPr>
            <w:r>
              <w:rPr>
                <w:rFonts w:ascii="Times New Roman" w:cs="Times New Roman" w:eastAsia="Times New Roman" w:hAnsi="Times New Roman"/>
                <w:sz w:val="13"/>
                <w:szCs w:val="13"/>
                <w:color w:val="auto"/>
              </w:rPr>
              <w:t>57,776</w:t>
            </w:r>
          </w:p>
        </w:tc>
      </w:tr>
    </w:tbl>
    <w:p>
      <w:pPr>
        <w:spacing w:after="0" w:line="142"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18"/>
          <w:szCs w:val="18"/>
          <w:color w:val="auto"/>
        </w:rPr>
        <w:t>The period-to-period change in Heartflow revenue cases is an indicator of our ability to drive adoption and generate sales revenue and is helpful in tracking the progress of our business. We believe that Heartflow revenue cases are representative of our current business; however, we anticipate this metric may be substituted for additional or different metrics as our business grows.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 comprises usage-driven fees from accounts who order either our Heartflow FFR</w:t>
      </w:r>
      <w:r>
        <w:rPr>
          <w:rFonts w:ascii="Times New Roman" w:cs="Times New Roman" w:eastAsia="Times New Roman" w:hAnsi="Times New Roman"/>
          <w:sz w:val="29"/>
          <w:szCs w:val="29"/>
          <w:color w:val="auto"/>
          <w:vertAlign w:val="subscript"/>
        </w:rPr>
        <w:t>CT</w:t>
      </w:r>
      <w:r>
        <w:rPr>
          <w:rFonts w:ascii="Times New Roman" w:cs="Times New Roman" w:eastAsia="Times New Roman" w:hAnsi="Times New Roman"/>
          <w:sz w:val="18"/>
          <w:szCs w:val="18"/>
          <w:color w:val="auto"/>
        </w:rPr>
        <w:t xml:space="preserve"> Analysis or our Heartflow Plaque</w:t>
      </w:r>
    </w:p>
    <w:p>
      <w:pPr>
        <w:spacing w:after="0" w:line="55"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7"/>
          <w:szCs w:val="17"/>
          <w:color w:val="auto"/>
        </w:rPr>
        <w:t>Analysis, or both. We recognize usage-driven fee revenue upon delivery of the requested analysis to the physician. Key factors that drive our revenue include revenue case growth from our installed base and the success of our sales force in expanding adoption of the Heartflow Platform to new accounts and expanding the utilization of our system by accounts in our installed base. We consider an account that has our Heartflow solution deployed with the ability to send us CCTA images for processing as being part of our installed base. New accounts generally take 12 months to reach steady state revenue case volumes. New accounts typically ramp to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utilization close to full patient applicability in the first year and remain at this level consistently. Our Heartflow</w:t>
      </w:r>
    </w:p>
    <w:p>
      <w:pPr>
        <w:spacing w:after="0" w:line="185" w:lineRule="auto"/>
        <w:rPr>
          <w:sz w:val="20"/>
          <w:szCs w:val="20"/>
          <w:color w:val="auto"/>
        </w:rPr>
      </w:pPr>
      <w:r>
        <w:rPr>
          <w:rFonts w:ascii="Times New Roman" w:cs="Times New Roman" w:eastAsia="Times New Roman" w:hAnsi="Times New Roman"/>
          <w:sz w:val="16"/>
          <w:szCs w:val="16"/>
          <w:color w:val="auto"/>
        </w:rPr>
        <w:t>FFR</w:t>
      </w:r>
      <w:r>
        <w:rPr>
          <w:rFonts w:ascii="Times New Roman" w:cs="Times New Roman" w:eastAsia="Times New Roman" w:hAnsi="Times New Roman"/>
          <w:sz w:val="26"/>
          <w:szCs w:val="26"/>
          <w:color w:val="auto"/>
          <w:vertAlign w:val="subscript"/>
        </w:rPr>
        <w:t>CT</w:t>
      </w:r>
      <w:r>
        <w:rPr>
          <w:rFonts w:ascii="Times New Roman" w:cs="Times New Roman" w:eastAsia="Times New Roman" w:hAnsi="Times New Roman"/>
          <w:sz w:val="16"/>
          <w:szCs w:val="16"/>
          <w:color w:val="auto"/>
        </w:rPr>
        <w:t xml:space="preserve"> Analysis is indicated for patients with stenosis levels between 40% and 90%, and we believe approximately 33% of patients have this level of</w:t>
      </w:r>
    </w:p>
    <w:p>
      <w:pPr>
        <w:ind w:right="200"/>
        <w:spacing w:after="0" w:line="231" w:lineRule="auto"/>
        <w:rPr>
          <w:sz w:val="20"/>
          <w:szCs w:val="20"/>
          <w:color w:val="auto"/>
        </w:rPr>
      </w:pPr>
      <w:r>
        <w:rPr>
          <w:rFonts w:ascii="Times New Roman" w:cs="Times New Roman" w:eastAsia="Times New Roman" w:hAnsi="Times New Roman"/>
          <w:sz w:val="18"/>
          <w:szCs w:val="18"/>
          <w:color w:val="auto"/>
        </w:rPr>
        <w:t>stenosis. Revenue cases generated from clinic or office-based accounts typically carry a lower pricing than hospital-based accounts. We expect the percentage of our revenue cases generated from clinic or office-based accounts to continue to increase over time. The percentage of our U.S. revenue cases attributable to clinic and office-based accounts was 32%, 28% and 22% for the years ended December 31, 2025, 2024 and 2023, respectively.</w:t>
      </w:r>
    </w:p>
    <w:p>
      <w:pPr>
        <w:spacing w:after="0" w:line="157"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While a single customer may include multiple accounts, no single customer accounted for 10% or more of our revenue during the years ended December 31, 2025, 2024 and 2023. However, the decision-making function for some of these accounts is concentrated in a relatively small number of customers, such that the loss of one customer could result in a disproportionate loss across our accounts. As we expand the adoption of the Heartflow Platform, we expect a majority of new accounts to come from new customers, decreasing our customer concentration risk.</w:t>
      </w:r>
    </w:p>
    <w:p>
      <w:pPr>
        <w:spacing w:after="0" w:line="15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Our revenue has fluctuated, and we expect it to continue to fluctuate from quarter-to-quarter due to a variety of factors including the number of accounts in our installed base, the volume of Heartflow Platform usage by accounts in our installed base, customer pricing contracts that include utilization and volume rebates, changes in the mix of customer accounts and seasonality. We may experience fluctuations in the volume of Heartflow Platform usage by our customers based on seasonal factors that impact the number of radiologists and support staff available to conduct CCTAs at customer accounts.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71"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8"/>
          <w:szCs w:val="18"/>
          <w:color w:val="auto"/>
        </w:rPr>
        <w:t>Cost of revenue consists of personnel and related expenses, including stock-based compensation costs, primarily related to our production team. Additional costs include third-party hosting fees, amortization of capitalized internal-use software, amortization of contract fulfillment costs as well as royalties associated with technology licenses used in connection with the delivery of our product and allocated overhead, which includes facilities expenses, equipment, depreciation and technology services. These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40"/>
        <w:spacing w:after="0" w:line="228" w:lineRule="auto"/>
        <w:rPr>
          <w:sz w:val="20"/>
          <w:szCs w:val="20"/>
          <w:color w:val="auto"/>
        </w:rPr>
      </w:pPr>
      <w:r>
        <w:rPr>
          <w:rFonts w:ascii="Times New Roman" w:cs="Times New Roman" w:eastAsia="Times New Roman" w:hAnsi="Times New Roman"/>
          <w:sz w:val="18"/>
          <w:szCs w:val="18"/>
          <w:color w:val="auto"/>
        </w:rPr>
        <w:t>are partially offset by capitalized contract fulfillment costs. The role of the production team is to support our patient case volume revenue by performing defined quality-related activities on CCTA scans submitted by our customers for analysis. The portion of these costs that supports patient case volume revenue is recorded as cost of revenue. The production team also supports activities in our clinical trials and research and development, which are allocated as research and development expense. We expect cost of revenue to increase as we hire additional personnel in our production team to support our increasing patient case volume.</w:t>
      </w:r>
    </w:p>
    <w:p>
      <w:pPr>
        <w:spacing w:after="0" w:line="159"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7"/>
          <w:szCs w:val="17"/>
          <w:color w:val="auto"/>
        </w:rPr>
        <w:t>We calculate gross margin as gross profit divided by revenue. Our gross margin has been and will continue to be affected by a variety of factors, primarily by our production team costs, the timing of hiring new production team members and training them to full productivity, the timing of our acquisition of new customers and the related capitalization of contract fulfillment costs, and the pricing and commercialization of Heartflow Plaque Analysis and other new products. Although we expect our gross margin to fluctuate from period to period, based upon the factors described above, we believe our gross margin will increase over the long term as we leverage the AI-based nature of our software platform to automate an increasing number of the manual components of our production team’s process, thereby lowering the cost of revenue per analysis. We also expect increased revenues from our Heartflow Plaque Analysis to positively impact our gross margin, as it runs on the same CCTA scan as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In the short term, we expect modulations in our gross</w:t>
      </w:r>
    </w:p>
    <w:p>
      <w:pPr>
        <w:spacing w:after="0" w:line="1" w:lineRule="exact"/>
        <w:rPr>
          <w:sz w:val="20"/>
          <w:szCs w:val="20"/>
          <w:color w:val="auto"/>
        </w:rPr>
      </w:pPr>
    </w:p>
    <w:p>
      <w:pPr>
        <w:ind w:right="460"/>
        <w:spacing w:after="0" w:line="231" w:lineRule="auto"/>
        <w:rPr>
          <w:sz w:val="20"/>
          <w:szCs w:val="20"/>
          <w:color w:val="auto"/>
        </w:rPr>
      </w:pPr>
      <w:r>
        <w:rPr>
          <w:rFonts w:ascii="Times New Roman" w:cs="Times New Roman" w:eastAsia="Times New Roman" w:hAnsi="Times New Roman"/>
          <w:sz w:val="18"/>
          <w:szCs w:val="18"/>
          <w:color w:val="auto"/>
        </w:rPr>
        <w:t>margin as we hire and train additional personnel in our production team to support our increasing patient case volume. These expenses are offset by the varying levels of support provided by the production team in our clinical trials and research and development, which are allocated as research and development expense, and the capitalization of contract fulfillment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2"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8"/>
          <w:szCs w:val="18"/>
          <w:color w:val="auto"/>
        </w:rPr>
        <w:t>Research and development expenses are incurred in connection with the advancement of the Heartflow Platform with the goal to introduce products, features and improvements aimed at increasing the value proposition for our customers by expanding its applicability to additional disease states and patient populations. Research and development expenses consist primarily of engineering, product development, consulting services, clinical studies to develop and support our products, regulatory activities, medical affairs, and other costs associated with products and technologies that are in development. Research and development expenses consist of personnel and related expenses, including stock-based compensation costs, clinical trials, third-party consulting costs, the portion of the costs incurred by our production team to support clinical trials and research and development efforts, and allocated overhead, including facilities expenses, equipment and depreciation. Our research and development team is comprised of PhD research scientists with expertise in AI-based algorithms and medical imaging, alongside software engineers skilled in cloud architecture, AI algorithms, machine and deep learning and 3D visualization, as well as product managers and designers who ensure optimal customer experience and design. We record research and development expenses in the periods in which they are incurred. We expect our research and development expenses to increase as we conduct clinical studies for expanded indications for use or to expand the addressable market populations for our products and to hire additional personnel to develop new product offerings and product enhancements. For example, in the second half of 2026, we expect to begin enrollment in three randomized clinical trials focused on high-risk asymptomatic sub populations to expand the addressable market for our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8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Selling, general and administrative expenses consist of personnel and related expenses, including stock-based compensation costs, related to selling and marketing, commercial operations, reimbursement, finance, legal, information technology and human resources functions. Other expenses include sales commission, marketing initiatives, professional service fees (including legal, audit, accounting and tax fees), market access work to secure reimbursement for our technologies, travel expenses, conferences and trade shows, and allocated overhead, which includes facilities expenses, software licenses, depreciation and other miscellaneous expenses.</w:t>
      </w:r>
    </w:p>
    <w:p>
      <w:pPr>
        <w:spacing w:after="0" w:line="15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increase in the future as a result of expanding our operations, including hiring personnel, to both drive and support anticipated growth as well as various incremental costs associated with operating as a public company. We expect that our costs will increase related to legal, audit, accounting fees, consulting fees, regulatory and tax-related services associated with maintaining compliance with exchange listing and SEC requirements, director and officer insurance costs, investor and public relations costs and other expenses that we did not incur as a private company. However, we expect selling, general and administrative expenses to decrease as a percentage of revenue primarily as, and to the extent, our revenue grows.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82"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18"/>
          <w:szCs w:val="18"/>
          <w:color w:val="auto"/>
        </w:rPr>
        <w:t>Interest expense, net consisted primarily of interest expense on our Term Loan and related amortization of debt discount and debt issuance costs. Interest income is primarily interest earned on our cash, cash equivalents and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2"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Other income (expense), net consists primarily of changes in fair value related to our common stock warrant and derivative liability, loss on extinguishment of debt, as well as foreign exchange transaction gains or losses from transactions and asset and liability balances denominated in currencies other than the U.S. dollar. We continued to record adjustments to the estimated fair value of the common stock warrant liability until the warrants were exercised, and we continued to record adjustments to the estimated fair value of the derivative liability until their conversion upon our IPO. All of our common stock warrants were net exercised in October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182" w:lineRule="exact"/>
        <w:rPr>
          <w:sz w:val="20"/>
          <w:szCs w:val="20"/>
          <w:color w:val="auto"/>
        </w:rPr>
      </w:pPr>
    </w:p>
    <w:p>
      <w:pPr>
        <w:ind w:right="360"/>
        <w:spacing w:after="0" w:line="233" w:lineRule="auto"/>
        <w:rPr>
          <w:sz w:val="20"/>
          <w:szCs w:val="20"/>
          <w:color w:val="auto"/>
        </w:rPr>
      </w:pPr>
      <w:r>
        <w:rPr>
          <w:rFonts w:ascii="Times New Roman" w:cs="Times New Roman" w:eastAsia="Times New Roman" w:hAnsi="Times New Roman"/>
          <w:sz w:val="18"/>
          <w:szCs w:val="18"/>
          <w:color w:val="auto"/>
        </w:rPr>
        <w:t>Provision for income taxes consists of income tax expense in foreign jurisdictions. To date, we have not recorded any U.S. federal or state income tax expense. In the United States, we have recorded deferred tax assets for which we provide a full valuation allowance. Due to our history of net operating losses since inception, we expect to maintain a full U.S. valuation allowance in the foreseeable future due to uncertainties regarding our ability to realize these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discussion related to the results of operations and changes in financial condition for the year ended December 31, 2024 compared to the year ended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refer to the section titled “Management’s Discussion and Analysis of Financial Condition and Results of Operations” for the year ended</w:t>
      </w:r>
    </w:p>
    <w:p>
      <w:pPr>
        <w:spacing w:after="0"/>
        <w:rPr>
          <w:sz w:val="20"/>
          <w:szCs w:val="20"/>
          <w:color w:val="auto"/>
        </w:rPr>
      </w:pPr>
      <w:r>
        <w:rPr>
          <w:rFonts w:ascii="Times New Roman" w:cs="Times New Roman" w:eastAsia="Times New Roman" w:hAnsi="Times New Roman"/>
          <w:sz w:val="18"/>
          <w:szCs w:val="18"/>
          <w:color w:val="auto"/>
        </w:rPr>
        <w:t>December 31, 2024 included in our registration statement on Form S-1 (File No. 333-288733), which became effective on August 7,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40" w:type="dxa"/>
            <w:vAlign w:val="bottom"/>
            <w:gridSpan w:val="6"/>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Pr>
          <w:p>
            <w:pPr>
              <w:spacing w:after="0"/>
              <w:rPr>
                <w:sz w:val="17"/>
                <w:szCs w:val="17"/>
                <w:color w:val="auto"/>
              </w:rPr>
            </w:pPr>
          </w:p>
        </w:tc>
        <w:tc>
          <w:tcPr>
            <w:tcW w:w="15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7"/>
                <w:szCs w:val="17"/>
                <w:color w:val="auto"/>
              </w:rPr>
            </w:pPr>
          </w:p>
        </w:tc>
      </w:tr>
      <w:tr>
        <w:trPr>
          <w:trHeight w:val="167"/>
        </w:trPr>
        <w:tc>
          <w:tcPr>
            <w:tcW w:w="47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2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640"/>
              <w:spacing w:after="0" w:line="167" w:lineRule="exact"/>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40"/>
              <w:spacing w:after="0" w:line="167"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67"/>
        </w:trPr>
        <w:tc>
          <w:tcPr>
            <w:tcW w:w="47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176,034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125,808</w:t>
            </w: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50,226</w:t>
            </w: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40%</w:t>
            </w:r>
          </w:p>
        </w:tc>
      </w:tr>
      <w:tr>
        <w:trPr>
          <w:trHeight w:val="174"/>
        </w:trPr>
        <w:tc>
          <w:tcPr>
            <w:tcW w:w="476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40,837</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31,359</w:t>
            </w:r>
          </w:p>
        </w:tc>
        <w:tc>
          <w:tcPr>
            <w:tcW w:w="4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9,478</w:t>
            </w:r>
          </w:p>
        </w:tc>
        <w:tc>
          <w:tcPr>
            <w:tcW w:w="4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30%</w:t>
            </w:r>
          </w:p>
        </w:tc>
      </w:tr>
      <w:tr>
        <w:trPr>
          <w:trHeight w:val="167"/>
        </w:trPr>
        <w:tc>
          <w:tcPr>
            <w:tcW w:w="47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135,197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94,449</w:t>
            </w: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40,748</w:t>
            </w: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43%</w:t>
            </w:r>
          </w:p>
        </w:tc>
      </w:tr>
      <w:tr>
        <w:trPr>
          <w:trHeight w:val="174"/>
        </w:trPr>
        <w:tc>
          <w:tcPr>
            <w:tcW w:w="47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4"/>
        </w:trPr>
        <w:tc>
          <w:tcPr>
            <w:tcW w:w="47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64,918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43,517</w:t>
            </w: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21,401</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49%</w:t>
            </w:r>
          </w:p>
        </w:tc>
      </w:tr>
      <w:tr>
        <w:trPr>
          <w:trHeight w:val="174"/>
        </w:trPr>
        <w:tc>
          <w:tcPr>
            <w:tcW w:w="4760" w:type="dxa"/>
            <w:vAlign w:val="bottom"/>
            <w:tcBorders>
              <w:bottom w:val="single" w:sz="8" w:color="CCEEFF"/>
            </w:tcBorders>
          </w:tcPr>
          <w:p>
            <w:pPr>
              <w:ind w:left="100"/>
              <w:spacing w:after="0" w:line="174"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134,345</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112,154</w:t>
            </w:r>
          </w:p>
        </w:tc>
        <w:tc>
          <w:tcPr>
            <w:tcW w:w="4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22,191</w:t>
            </w:r>
          </w:p>
        </w:tc>
        <w:tc>
          <w:tcPr>
            <w:tcW w:w="4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20%</w:t>
            </w:r>
          </w:p>
        </w:tc>
      </w:tr>
      <w:tr>
        <w:trPr>
          <w:trHeight w:val="167"/>
        </w:trPr>
        <w:tc>
          <w:tcPr>
            <w:tcW w:w="47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199,263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155,671</w:t>
            </w:r>
          </w:p>
        </w:tc>
        <w:tc>
          <w:tcPr>
            <w:tcW w:w="4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43,592</w:t>
            </w: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28%</w:t>
            </w:r>
          </w:p>
        </w:tc>
      </w:tr>
      <w:tr>
        <w:trPr>
          <w:trHeight w:val="167"/>
        </w:trPr>
        <w:tc>
          <w:tcPr>
            <w:tcW w:w="4760" w:type="dxa"/>
            <w:vAlign w:val="bottom"/>
          </w:tcPr>
          <w:p>
            <w:pPr>
              <w:ind w:left="320"/>
              <w:spacing w:after="0" w:line="167" w:lineRule="exact"/>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Pr>
          <w:p>
            <w:pPr>
              <w:spacing w:after="0"/>
              <w:rPr>
                <w:sz w:val="14"/>
                <w:szCs w:val="14"/>
                <w:color w:val="auto"/>
              </w:rPr>
            </w:pPr>
          </w:p>
        </w:tc>
        <w:tc>
          <w:tcPr>
            <w:tcW w:w="12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(64,066)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(61,222)</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(2,844)</w:t>
            </w:r>
          </w:p>
        </w:tc>
        <w:tc>
          <w:tcPr>
            <w:tcW w:w="400" w:type="dxa"/>
            <w:vAlign w:val="bottom"/>
          </w:tcPr>
          <w:p>
            <w:pPr>
              <w:spacing w:after="0"/>
              <w:rPr>
                <w:sz w:val="14"/>
                <w:szCs w:val="14"/>
                <w:color w:val="auto"/>
              </w:rPr>
            </w:pPr>
          </w:p>
        </w:tc>
        <w:tc>
          <w:tcPr>
            <w:tcW w:w="9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5%</w:t>
            </w:r>
          </w:p>
        </w:tc>
      </w:tr>
      <w:tr>
        <w:trPr>
          <w:trHeight w:val="174"/>
        </w:trPr>
        <w:tc>
          <w:tcPr>
            <w:tcW w:w="4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(9,635)</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420"/>
              <w:spacing w:after="0" w:line="174" w:lineRule="exact"/>
              <w:rPr>
                <w:sz w:val="20"/>
                <w:szCs w:val="20"/>
                <w:color w:val="auto"/>
              </w:rPr>
            </w:pPr>
            <w:r>
              <w:rPr>
                <w:rFonts w:ascii="Times New Roman" w:cs="Times New Roman" w:eastAsia="Times New Roman" w:hAnsi="Times New Roman"/>
                <w:sz w:val="16"/>
                <w:szCs w:val="16"/>
                <w:color w:val="auto"/>
              </w:rPr>
              <w:t>(18,702)</w:t>
            </w: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9,067</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(48)%</w:t>
            </w:r>
          </w:p>
        </w:tc>
      </w:tr>
      <w:tr>
        <w:trPr>
          <w:trHeight w:val="174"/>
        </w:trPr>
        <w:tc>
          <w:tcPr>
            <w:tcW w:w="47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Other expense, net</w:t>
            </w:r>
          </w:p>
        </w:tc>
        <w:tc>
          <w:tcPr>
            <w:tcW w:w="340" w:type="dxa"/>
            <w:vAlign w:val="bottom"/>
          </w:tcPr>
          <w:p>
            <w:pPr>
              <w:spacing w:after="0"/>
              <w:rPr>
                <w:sz w:val="15"/>
                <w:szCs w:val="15"/>
                <w:color w:val="auto"/>
              </w:rPr>
            </w:pPr>
          </w:p>
        </w:tc>
        <w:tc>
          <w:tcPr>
            <w:tcW w:w="1240" w:type="dxa"/>
            <w:vAlign w:val="bottom"/>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(43,166)</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2"/>
          </w:tcPr>
          <w:p>
            <w:pPr>
              <w:jc w:val="right"/>
              <w:ind w:right="420"/>
              <w:spacing w:after="0" w:line="174" w:lineRule="exact"/>
              <w:rPr>
                <w:sz w:val="20"/>
                <w:szCs w:val="20"/>
                <w:color w:val="auto"/>
              </w:rPr>
            </w:pPr>
            <w:r>
              <w:rPr>
                <w:rFonts w:ascii="Times New Roman" w:cs="Times New Roman" w:eastAsia="Times New Roman" w:hAnsi="Times New Roman"/>
                <w:sz w:val="16"/>
                <w:szCs w:val="16"/>
                <w:color w:val="auto"/>
              </w:rPr>
              <w:t>(16,449)</w:t>
            </w:r>
          </w:p>
        </w:tc>
        <w:tc>
          <w:tcPr>
            <w:tcW w:w="400" w:type="dxa"/>
            <w:vAlign w:val="bottom"/>
          </w:tcPr>
          <w:p>
            <w:pPr>
              <w:spacing w:after="0"/>
              <w:rPr>
                <w:sz w:val="15"/>
                <w:szCs w:val="15"/>
                <w:color w:val="auto"/>
              </w:rPr>
            </w:pPr>
          </w:p>
        </w:tc>
        <w:tc>
          <w:tcPr>
            <w:tcW w:w="1520" w:type="dxa"/>
            <w:vAlign w:val="bottom"/>
            <w:gridSpan w:val="2"/>
          </w:tcPr>
          <w:p>
            <w:pPr>
              <w:jc w:val="right"/>
              <w:ind w:right="400"/>
              <w:spacing w:after="0" w:line="174" w:lineRule="exact"/>
              <w:rPr>
                <w:sz w:val="20"/>
                <w:szCs w:val="20"/>
                <w:color w:val="auto"/>
              </w:rPr>
            </w:pPr>
            <w:r>
              <w:rPr>
                <w:rFonts w:ascii="Times New Roman" w:cs="Times New Roman" w:eastAsia="Times New Roman" w:hAnsi="Times New Roman"/>
                <w:sz w:val="16"/>
                <w:szCs w:val="16"/>
                <w:color w:val="auto"/>
              </w:rPr>
              <w:t>(26,717)</w:t>
            </w: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162%</w:t>
            </w:r>
          </w:p>
        </w:tc>
      </w:tr>
      <w:tr>
        <w:trPr>
          <w:trHeight w:val="167"/>
        </w:trPr>
        <w:tc>
          <w:tcPr>
            <w:tcW w:w="4760" w:type="dxa"/>
            <w:vAlign w:val="bottom"/>
            <w:tcBorders>
              <w:top w:val="single" w:sz="8" w:color="CCEEFF"/>
            </w:tcBorders>
            <w:shd w:val="clear" w:color="auto" w:fill="CCEEFF"/>
          </w:tcPr>
          <w:p>
            <w:pPr>
              <w:ind w:left="320"/>
              <w:spacing w:after="0" w:line="167" w:lineRule="exact"/>
              <w:rPr>
                <w:sz w:val="20"/>
                <w:szCs w:val="20"/>
                <w:color w:val="auto"/>
              </w:rPr>
            </w:pPr>
            <w:r>
              <w:rPr>
                <w:rFonts w:ascii="Times New Roman" w:cs="Times New Roman" w:eastAsia="Times New Roman" w:hAnsi="Times New Roman"/>
                <w:sz w:val="16"/>
                <w:szCs w:val="16"/>
                <w:color w:val="auto"/>
              </w:rPr>
              <w:t>Loss before provision for income taxes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(116,867)</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(96,373)</w:t>
            </w:r>
          </w:p>
        </w:tc>
        <w:tc>
          <w:tcPr>
            <w:tcW w:w="4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(20,494)</w:t>
            </w:r>
          </w:p>
        </w:tc>
        <w:tc>
          <w:tcPr>
            <w:tcW w:w="4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21%</w:t>
            </w:r>
          </w:p>
        </w:tc>
      </w:tr>
      <w:tr>
        <w:trPr>
          <w:trHeight w:val="167"/>
        </w:trPr>
        <w:tc>
          <w:tcPr>
            <w:tcW w:w="476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6"/>
                <w:szCs w:val="16"/>
                <w:color w:val="auto"/>
              </w:rPr>
              <w:t>(Provision for) benefit from income taxes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76</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(53)</w:t>
            </w:r>
          </w:p>
        </w:tc>
        <w:tc>
          <w:tcPr>
            <w:tcW w:w="4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129</w:t>
            </w:r>
          </w:p>
        </w:tc>
        <w:tc>
          <w:tcPr>
            <w:tcW w:w="4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(243)%</w:t>
            </w:r>
          </w:p>
        </w:tc>
      </w:tr>
      <w:tr>
        <w:trPr>
          <w:trHeight w:val="167"/>
        </w:trPr>
        <w:tc>
          <w:tcPr>
            <w:tcW w:w="4760" w:type="dxa"/>
            <w:vAlign w:val="bottom"/>
            <w:tcBorders>
              <w:bottom w:val="single" w:sz="8" w:color="CCEEFF"/>
            </w:tcBorders>
            <w:shd w:val="clear" w:color="auto" w:fill="CCEEFF"/>
          </w:tcPr>
          <w:p>
            <w:pPr>
              <w:ind w:left="320"/>
              <w:spacing w:after="0" w:line="167" w:lineRule="exact"/>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(116,791)</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(96,426)</w:t>
            </w:r>
          </w:p>
        </w:tc>
        <w:tc>
          <w:tcPr>
            <w:tcW w:w="4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(20,365)</w:t>
            </w:r>
          </w:p>
        </w:tc>
        <w:tc>
          <w:tcPr>
            <w:tcW w:w="4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21%</w:t>
            </w:r>
          </w:p>
        </w:tc>
      </w:tr>
      <w:tr>
        <w:trPr>
          <w:trHeight w:val="20"/>
        </w:trPr>
        <w:tc>
          <w:tcPr>
            <w:tcW w:w="4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Revenue increased $50.2 million, or 40%, to $176.0 million during the year ended December 31, 2025, compared to $125.8 million during the year ended December 31, 2024. The increase in revenue was primarily attributable to a 47% increase in revenue case volume, partially offset by a reduction in average sales price due to a higher percentage of revenue cases generated from clinic and office-based accounts and an increase in utilization and volume rebates.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revenue increased $9.4 million, or 30%, to $40.8 million during the year ended December 31, 2025, compared to $31.4 million during the year ended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This increase was attributable to $6.5 million in personnel and related expenses, $1.0 million in third-party hosting fees, $0.9 million in</w:t>
      </w:r>
    </w:p>
    <w:p>
      <w:pPr>
        <w:spacing w:after="0" w:line="232" w:lineRule="auto"/>
        <w:rPr>
          <w:sz w:val="20"/>
          <w:szCs w:val="20"/>
          <w:color w:val="auto"/>
        </w:rPr>
      </w:pPr>
      <w:r>
        <w:rPr>
          <w:rFonts w:ascii="Times New Roman" w:cs="Times New Roman" w:eastAsia="Times New Roman" w:hAnsi="Times New Roman"/>
          <w:sz w:val="18"/>
          <w:szCs w:val="18"/>
          <w:color w:val="auto"/>
        </w:rPr>
        <w:t>allocated overhead, $0.6 million in computer hardware-related costs, $0.5 million in royalties, and $0.3 million in amortization of capitalized internal-use</w:t>
      </w:r>
    </w:p>
    <w:p>
      <w:pPr>
        <w:spacing w:after="0" w:line="217" w:lineRule="auto"/>
        <w:rPr>
          <w:sz w:val="20"/>
          <w:szCs w:val="20"/>
          <w:color w:val="auto"/>
        </w:rPr>
      </w:pPr>
      <w:r>
        <w:rPr>
          <w:rFonts w:ascii="Times New Roman" w:cs="Times New Roman" w:eastAsia="Times New Roman" w:hAnsi="Times New Roman"/>
          <w:sz w:val="18"/>
          <w:szCs w:val="18"/>
          <w:color w:val="auto"/>
        </w:rPr>
        <w:t>software, partially offset by a net decrease of $0.6 million in capitalized and amortized contract fulfillment costs. Personnel and related expenses included</w:t>
      </w:r>
    </w:p>
    <w:p>
      <w:pPr>
        <w:spacing w:after="0"/>
        <w:rPr>
          <w:sz w:val="20"/>
          <w:szCs w:val="20"/>
          <w:color w:val="auto"/>
        </w:rPr>
      </w:pPr>
      <w:r>
        <w:rPr>
          <w:rFonts w:ascii="Times New Roman" w:cs="Times New Roman" w:eastAsia="Times New Roman" w:hAnsi="Times New Roman"/>
          <w:sz w:val="17"/>
          <w:szCs w:val="17"/>
          <w:color w:val="auto"/>
        </w:rPr>
        <w:t>$0.4 million and $0.3 million of stock-based compensation costs during the year ended December 31, 2025 and 2024, respectively. Gross margin for the year</w:t>
      </w:r>
    </w:p>
    <w:p>
      <w:pPr>
        <w:spacing w:after="0" w:line="222" w:lineRule="auto"/>
        <w:rPr>
          <w:sz w:val="20"/>
          <w:szCs w:val="20"/>
          <w:color w:val="auto"/>
        </w:rPr>
      </w:pPr>
      <w:r>
        <w:rPr>
          <w:rFonts w:ascii="Times New Roman" w:cs="Times New Roman" w:eastAsia="Times New Roman" w:hAnsi="Times New Roman"/>
          <w:sz w:val="18"/>
          <w:szCs w:val="18"/>
          <w:color w:val="auto"/>
        </w:rPr>
        <w:t>ended December 31, 2025 increased to 77% as compared to 75% for the year ended December 31, 2024. The gross margin increase during the year ended</w:t>
      </w:r>
    </w:p>
    <w:p>
      <w:pPr>
        <w:spacing w:after="0" w:line="217" w:lineRule="auto"/>
        <w:rPr>
          <w:sz w:val="20"/>
          <w:szCs w:val="20"/>
          <w:color w:val="auto"/>
        </w:rPr>
      </w:pPr>
      <w:r>
        <w:rPr>
          <w:rFonts w:ascii="Times New Roman" w:cs="Times New Roman" w:eastAsia="Times New Roman" w:hAnsi="Times New Roman"/>
          <w:sz w:val="18"/>
          <w:szCs w:val="18"/>
          <w:color w:val="auto"/>
        </w:rPr>
        <w:t>December 31, 2025 was primarily attributable to our increase in revenue case volume and improved production team productivity driven by AI efficiency</w:t>
      </w:r>
    </w:p>
    <w:p>
      <w:pPr>
        <w:spacing w:after="0" w:line="232" w:lineRule="auto"/>
        <w:rPr>
          <w:sz w:val="20"/>
          <w:szCs w:val="20"/>
          <w:color w:val="auto"/>
        </w:rPr>
      </w:pPr>
      <w:r>
        <w:rPr>
          <w:rFonts w:ascii="Times New Roman" w:cs="Times New Roman" w:eastAsia="Times New Roman" w:hAnsi="Times New Roman"/>
          <w:sz w:val="18"/>
          <w:szCs w:val="18"/>
          <w:color w:val="auto"/>
        </w:rPr>
        <w:t>initiatives, partially offset by our continued investment in the hiring and training of additional personnel in our production team to support our increasing</w:t>
      </w:r>
    </w:p>
    <w:p>
      <w:pPr>
        <w:spacing w:after="0" w:line="230" w:lineRule="auto"/>
        <w:rPr>
          <w:sz w:val="20"/>
          <w:szCs w:val="20"/>
          <w:color w:val="auto"/>
        </w:rPr>
      </w:pPr>
      <w:r>
        <w:rPr>
          <w:rFonts w:ascii="Times New Roman" w:cs="Times New Roman" w:eastAsia="Times New Roman" w:hAnsi="Times New Roman"/>
          <w:sz w:val="17"/>
          <w:szCs w:val="17"/>
          <w:color w:val="auto"/>
        </w:rPr>
        <w:t>revenue case volume. Although we expect to continue to invest in the hiring and training of additional personnel in our production team, we expect our gross</w:t>
      </w:r>
    </w:p>
    <w:p>
      <w:pPr>
        <w:spacing w:after="0"/>
        <w:rPr>
          <w:sz w:val="20"/>
          <w:szCs w:val="20"/>
          <w:color w:val="auto"/>
        </w:rPr>
      </w:pPr>
      <w:r>
        <w:rPr>
          <w:rFonts w:ascii="Times New Roman" w:cs="Times New Roman" w:eastAsia="Times New Roman" w:hAnsi="Times New Roman"/>
          <w:sz w:val="18"/>
          <w:szCs w:val="18"/>
          <w:color w:val="auto"/>
        </w:rPr>
        <w:t>margin will continue to increase over the long term.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4"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Research and development expenses increased $21.4 million, or 49%, to $64.9 million during the year ended December 31, 2025, compared to $43.5 million during the year ended December 31, 2024. The increase in research and development expenses was primarily attributable to an increase of $13.9 million in personnel and related expenses directly associated with an increase in headcount, $2.6 million in consulting and professional fees, $1.4 million in clinical trial expenses, $1.0 million in software-related costs, $0.9 million in third-party hosting fees, $0.6 million in allocated production team costs to support clinical trials and research and development efforts, $0.3 million in allocated overhead, and $0.2 million of capitalized internal-use software costs. Personnel and related expenses included $3.4 million and $2.2 million of stock-based compensation costs during the year ended December 31, 2025 and 2024,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increased $22.2 million, or 20%, to $134.3 million during the year ended December 31, 2025, compared to</w:t>
      </w:r>
    </w:p>
    <w:p>
      <w:pPr>
        <w:spacing w:after="0" w:line="232" w:lineRule="auto"/>
        <w:rPr>
          <w:sz w:val="20"/>
          <w:szCs w:val="20"/>
          <w:color w:val="auto"/>
        </w:rPr>
      </w:pPr>
      <w:r>
        <w:rPr>
          <w:rFonts w:ascii="Times New Roman" w:cs="Times New Roman" w:eastAsia="Times New Roman" w:hAnsi="Times New Roman"/>
          <w:sz w:val="18"/>
          <w:szCs w:val="18"/>
          <w:color w:val="auto"/>
        </w:rPr>
        <w:t>$112.1 million during the year ended December 31, 2024. The increase in selling, general and administrative expenses was primarily attributable to an</w:t>
      </w:r>
    </w:p>
    <w:p>
      <w:pPr>
        <w:spacing w:after="0" w:line="217" w:lineRule="auto"/>
        <w:rPr>
          <w:sz w:val="20"/>
          <w:szCs w:val="20"/>
          <w:color w:val="auto"/>
        </w:rPr>
      </w:pPr>
      <w:r>
        <w:rPr>
          <w:rFonts w:ascii="Times New Roman" w:cs="Times New Roman" w:eastAsia="Times New Roman" w:hAnsi="Times New Roman"/>
          <w:sz w:val="18"/>
          <w:szCs w:val="18"/>
          <w:color w:val="auto"/>
        </w:rPr>
        <w:t>increase of $16.3 million in personnel and related expenses directly associated with an increase in headcount, $3.8 million in professional fees, including</w:t>
      </w:r>
    </w:p>
    <w:p>
      <w:pPr>
        <w:spacing w:after="0" w:line="217" w:lineRule="auto"/>
        <w:rPr>
          <w:sz w:val="20"/>
          <w:szCs w:val="20"/>
          <w:color w:val="auto"/>
        </w:rPr>
      </w:pPr>
      <w:r>
        <w:rPr>
          <w:rFonts w:ascii="Times New Roman" w:cs="Times New Roman" w:eastAsia="Times New Roman" w:hAnsi="Times New Roman"/>
          <w:sz w:val="18"/>
          <w:szCs w:val="18"/>
          <w:color w:val="auto"/>
        </w:rPr>
        <w:t>legal, audit and consulting fees, $1.6 million in advertising and other promotional expenses, $1.5 million in computer hardware and software-related costs,</w:t>
      </w:r>
    </w:p>
    <w:p>
      <w:pPr>
        <w:spacing w:after="0" w:line="232" w:lineRule="auto"/>
        <w:rPr>
          <w:sz w:val="20"/>
          <w:szCs w:val="20"/>
          <w:color w:val="auto"/>
        </w:rPr>
      </w:pPr>
      <w:r>
        <w:rPr>
          <w:rFonts w:ascii="Times New Roman" w:cs="Times New Roman" w:eastAsia="Times New Roman" w:hAnsi="Times New Roman"/>
          <w:sz w:val="18"/>
          <w:szCs w:val="18"/>
          <w:color w:val="auto"/>
        </w:rPr>
        <w:t>$0.7 million in travel costs, and $0.4 million in insurance expense, partially offset by a decrease of $1.8 million in facilities and allocated overhead and</w:t>
      </w:r>
    </w:p>
    <w:p>
      <w:pPr>
        <w:spacing w:after="0" w:line="230" w:lineRule="auto"/>
        <w:rPr>
          <w:sz w:val="20"/>
          <w:szCs w:val="20"/>
          <w:color w:val="auto"/>
        </w:rPr>
      </w:pPr>
      <w:r>
        <w:rPr>
          <w:rFonts w:ascii="Times New Roman" w:cs="Times New Roman" w:eastAsia="Times New Roman" w:hAnsi="Times New Roman"/>
          <w:sz w:val="17"/>
          <w:szCs w:val="17"/>
          <w:color w:val="auto"/>
        </w:rPr>
        <w:t>$0.9 million of capitalized commission costs. Personnel and related expenses included $10.1 million and $7.8 million of stock-based compensation costs for</w:t>
      </w:r>
    </w:p>
    <w:p>
      <w:pPr>
        <w:spacing w:after="0"/>
        <w:rPr>
          <w:sz w:val="20"/>
          <w:szCs w:val="20"/>
          <w:color w:val="auto"/>
        </w:rPr>
      </w:pPr>
      <w:r>
        <w:rPr>
          <w:rFonts w:ascii="Times New Roman" w:cs="Times New Roman" w:eastAsia="Times New Roman" w:hAnsi="Times New Roman"/>
          <w:sz w:val="18"/>
          <w:szCs w:val="18"/>
          <w:color w:val="auto"/>
        </w:rPr>
        <w:t>the year ended December 31, 2025 and 2024,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84"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Interest expense, net decreased $9.1 million, or 48%, to an expense of $9.6 million during the year ended December 31, 2025, compared to an expense of $18.7 million during the year ended December 31, 2024. This decreased expense was primarily attributable to a lower aggregate outstanding principal balance under our 2024 Term Loan related to the conversion of $23.0 million in principal to convertible notes in January 2025 and the full repayment of our 2024 Term Loan in August 2025, partially offset by amortization of debt issuance costs and debt discount related to our 2024 Term Loan and 2025 Convertible Notes through their conversion to common stock upon our IPO in August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84"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Other expense, net increased to an expense of $43.2 million during the year ended December 31, 2025, compared to an expense of $16.4 million during the year ended December 31, 2024. The increase was primarily attributable to the remeasurement and recognition of the change in fair value related to our common stock warrant liability charge of $43.9 million and a loss on extinguishment of debt of $6.4 million related to the full repayment of our 2024 Term Loan in August 2025, partially offset by a benefit on the remeasurement and recognition of the change in fair value related to our derivative liability of $7.3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8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(Provision for) benefit from income taxes was $76,000 and $(53,000) for the years ended December 31, 2025 and 2024, respectively, related to our foreign taxes.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$280.2 million in cash and cash equivalents and investments and an accumulated deficit of $1.1 billion, compared to</w:t>
      </w:r>
    </w:p>
    <w:p>
      <w:pPr>
        <w:spacing w:after="0" w:line="13"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$51.4 million in cash and cash equivalents and an accumulated deficit of $971.0 million as of December 31, 2024. Prior to our IPO, we primarily funded our operations with proceeds from sales of shares of our redeemable convertible preferred stock, common stock and convertible promissory notes, borrowings under our term loans and revenue received from our customers, which we expect to be our primary source of future liquidity.</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expect to continue to incur losses and to expend significant amounts of cash in the foreseeable future as we continue to scale our business, invest in research and development activities, increase sales and marketing efforts to support commercial expansion, and increase general and administrative expenses to support being a publicly-traded company.</w:t>
      </w:r>
    </w:p>
    <w:p>
      <w:pPr>
        <w:spacing w:after="0" w:line="15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and investments, together with the expected cash generated from revenue transactions with customers, will be sufficient to meet our capital requirements and fund our operations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Hayfin Credit Agreement</w:t>
      </w:r>
    </w:p>
    <w:p>
      <w:pPr>
        <w:spacing w:after="0" w:line="17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On June 14, 2024, we entered into a Credit Agreement and Guaranty for a $138.1 million term loan to refinance the outstanding obligations under the initial credit agreement we entered into with Hayfin on January 19, 2021 and the additional term loans entered into with Hayfin on March 17, 2022 in exchange for the payment of exit fees and early prepayment fees in the aggregate amount of $8.3 million payable in sixteen equal quarterly installments, or immediately upon the occurrence of our IPO. On January 24, 2025, in connection with the issuance of the 2025 Convertible Notes as further described below, we entered into Amendment No. 1 to the Credit Agreement and Guaranty (as amended, the “2024 Credit Agreement”) to amend the terms and conditions governing the term loan outstanding thereunder (as amended, the “2024 Term Loan”). Under this amendment, Hayfin also converted $23.0 million of principal under the 2024 Term Loan to 2025 Convertible Notes under the same terms as the other purchasers of the 2025 Convertible Notes.</w:t>
      </w:r>
    </w:p>
    <w:p>
      <w:pPr>
        <w:spacing w:after="0" w:line="155"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7"/>
          <w:szCs w:val="17"/>
          <w:color w:val="auto"/>
        </w:rPr>
        <w:t>The 2024 Term Loan was scheduled to mature on June 14, 2028 and bore interest equal to the sum of (i) 7.0% (or 6.0% if the alternative base rate (“ABR”) was in effect) plus (ii) the greater of (x) the forward-looking term rate based on the Secured Overnight Financing Rate (“SOFR”) for a respective tenor in effect on such day (or the alternative base rate, if applicable), and (y) 2.0%. The ABR equaled the sum of (i) 6.0% plus (ii) the greater of (1) the Wall Street Journal Prime Rate, plus 0.5%, (2) the Federal Reserve Bank of New York rate plus 0.5% or (3) the CBA Term SOFR for one month tenor plus 1.0%. We had an option to pay interest in-kind at the rate equal to the cash interest rate plus 1.0% through the last interest period ending before the 18th month anniversary of the 2024 Credit Agreement. We had an option to prepay the 2024 Term Loan subject to a prepayment fee of 1.5% for prepayments after the second anniversary but on or prior to the third anniversary of the 2024 Term Loan and a prepayment fee of 3% for prepayments thereafter.</w:t>
      </w:r>
    </w:p>
    <w:p>
      <w:pPr>
        <w:spacing w:after="0" w:line="156"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On August 18, 2025, we repaid $55.0 million of indebtedness outstanding under the 2024 Credit Agreement for which we were obligated to pay in connection with the completion of our IPO and approximately $5.8 million in fees consisting of a 3.0% exit fee and a 3.0% early prepayment fee due under the 2021 Credit Agreement, as amended.</w:t>
      </w:r>
    </w:p>
    <w:p>
      <w:pPr>
        <w:spacing w:after="0" w:line="156"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8"/>
          <w:szCs w:val="18"/>
          <w:color w:val="auto"/>
        </w:rPr>
        <w:t>On August 22, 2025, we prepaid in full all outstanding amounts under, and terminated, the 2024 Credit Agreement, in the aggregate principal amount of $60.1 million plus accrued interest of $1.0 million. We did not incur exit or prepayment fees in connection with the termination of the 2024 Credit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4"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In January and March 2025, we issued convertible promissory notes to various investors and certain employees in the aggregate amount of $98.3 million, which was comprised of $74.0 million in aggregate principal amount of notes issued for cash consideration, $1.3 million in aggregate principal amount of notes issued in lieu of cash compensation to certain employees and $23.0 million in aggregate principal amount of notes issued from the conversion of principal under the 2024 Term Loan</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100"/>
        <w:spacing w:after="0" w:line="231" w:lineRule="auto"/>
        <w:rPr>
          <w:sz w:val="20"/>
          <w:szCs w:val="20"/>
          <w:color w:val="auto"/>
        </w:rPr>
      </w:pPr>
      <w:r>
        <w:rPr>
          <w:rFonts w:ascii="Times New Roman" w:cs="Times New Roman" w:eastAsia="Times New Roman" w:hAnsi="Times New Roman"/>
          <w:sz w:val="18"/>
          <w:szCs w:val="18"/>
          <w:color w:val="auto"/>
        </w:rPr>
        <w:t>Conversion (collectively, the “2025 Convertible Notes”). The 2025 Convertible Notes did not accrue interest for one year following the date of issuance and were due and payable in full 48 months from the issue date. Upon the completion of our IPO, the aggregate outstanding principal balance under the 2025 Convertible Notes automatically converted into shares of our common stock at a 20% discount to the IPO price.</w:t>
      </w:r>
    </w:p>
    <w:p>
      <w:pPr>
        <w:spacing w:after="0" w:line="15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The 2025 Convertible Notes contained embedded derivative features, including conversion upon a change in control and automatic conversion upon completion of a qualified IPO, that were required to be bifurcated and accounted for separately as a single derivative instrument. The issuance date estimated fair values of the derivative liability was $11.1 million and $20.8 million in January and March 2025, respectively, which were recorded as debt discounts. The derivative liability was remeasured to an aggregate fair value of $24.6 million immediately before the conversion of the 2025 Convertible Notes to common stock upon the IPO, resulting in a gain of $7.3 million recorded within the consolidated statements of operations and comprehensive loss for the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3"/>
        </w:trPr>
        <w:tc>
          <w:tcPr>
            <w:tcW w:w="3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6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67"/>
        </w:trPr>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ind w:right="70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39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13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0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(54,023)</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10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(69,001)</w:t>
            </w:r>
          </w:p>
        </w:tc>
        <w:tc>
          <w:tcPr>
            <w:tcW w:w="2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(76,434)</w:t>
            </w:r>
          </w:p>
        </w:tc>
      </w:tr>
      <w:tr>
        <w:trPr>
          <w:trHeight w:val="174"/>
        </w:trPr>
        <w:tc>
          <w:tcPr>
            <w:tcW w:w="39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(238,568)</w:t>
            </w: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gridSpan w:val="2"/>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(4,357)</w:t>
            </w:r>
          </w:p>
        </w:tc>
        <w:tc>
          <w:tcPr>
            <w:tcW w:w="420" w:type="dxa"/>
            <w:vAlign w:val="bottom"/>
          </w:tcPr>
          <w:p>
            <w:pPr>
              <w:spacing w:after="0"/>
              <w:rPr>
                <w:sz w:val="15"/>
                <w:szCs w:val="15"/>
                <w:color w:val="auto"/>
              </w:rPr>
            </w:pPr>
          </w:p>
        </w:tc>
        <w:tc>
          <w:tcPr>
            <w:tcW w:w="14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(6,105)</w:t>
            </w:r>
          </w:p>
        </w:tc>
      </w:tr>
      <w:tr>
        <w:trPr>
          <w:trHeight w:val="174"/>
        </w:trPr>
        <w:tc>
          <w:tcPr>
            <w:tcW w:w="39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1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286,043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2,237</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169,318</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7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Net cash used in operating activities was $54.0 million for the year ended December 31, 2025, attributable to a net loss of $116.8 million and a net change in operating assets and liabilities of $7.7 million, partially offset by non-cash charges of $70.5 million. The non-cash charges primarily consisted of $14.0 million in stock-based compensation expense, $7.3 million of change in fair value of derivative liability, $43.9 million of change in fair value of common stock warrant liability, $6.4 million of loss on extinguishment of debt, $5.4 million of depreciation and amortization, $5.4 million of amortization of debt discount and debt issuance costs, $3.1 million of amortization of right-of-use asset, $1.7 million accretion of discounts on investments, $1.1 million of non-cash interest charges, and $0.2 million change in allowance for credit losses. The increase in net operating assets was primarily due to an increase of $4.9 million in accounts receivable, a $7.9 million increase in prepaid expenses and other current assets, a $0.7 million increase in other non-current assets, a $9.3 million increase in accrued expenses and other current liabilities and a $3.7 million decrease in operating lease liabilities.</w:t>
      </w:r>
    </w:p>
    <w:p>
      <w:pPr>
        <w:spacing w:after="0" w:line="10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$69.0 million, attributable to a net loss of $96.4 million and a net change in operating assets and liabilities of $10.9 million, partially offset by non-cash charges of $38.3 million. The non-cash charges primarily consisted of</w:t>
      </w:r>
    </w:p>
    <w:p>
      <w:pPr>
        <w:ind w:right="20"/>
        <w:spacing w:after="0" w:line="242" w:lineRule="auto"/>
        <w:rPr>
          <w:sz w:val="20"/>
          <w:szCs w:val="20"/>
          <w:color w:val="auto"/>
        </w:rPr>
      </w:pPr>
      <w:r>
        <w:rPr>
          <w:rFonts w:ascii="Times New Roman" w:cs="Times New Roman" w:eastAsia="Times New Roman" w:hAnsi="Times New Roman"/>
          <w:sz w:val="17"/>
          <w:szCs w:val="17"/>
          <w:color w:val="auto"/>
        </w:rPr>
        <w:t>$10.2 million in stock-based compensation expense, $16.4 million of change in fair value of common stock warrant liability, $5.4 million of depreciation and amortization, $2.7 million of amortization of right-of-use asset, $2.0 million of non-cash interest charges and $1.6 million of amortization of debt discount and debt issuance costs. The increase in net operating assets was primarily due to an increase of $3.8 million in accounts receivable, a $1.0 million increase in prepaid expenses and other current assets, a $2.7 million increase in other non-current assets and a $3.2 million decrease in operating lease liabilities.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4" w:lineRule="exact"/>
        <w:rPr>
          <w:sz w:val="20"/>
          <w:szCs w:val="20"/>
          <w:color w:val="auto"/>
        </w:rPr>
      </w:pPr>
    </w:p>
    <w:p>
      <w:pPr>
        <w:ind w:right="500"/>
        <w:spacing w:after="0" w:line="24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$238.6 million, which consisted of purchases of investments of $233.6 million and purchases of property and equipment of $5.0 million.</w:t>
      </w:r>
    </w:p>
    <w:p>
      <w:pPr>
        <w:spacing w:after="0" w:line="150" w:lineRule="exact"/>
        <w:rPr>
          <w:sz w:val="20"/>
          <w:szCs w:val="20"/>
          <w:color w:val="auto"/>
        </w:rPr>
      </w:pPr>
    </w:p>
    <w:p>
      <w:pPr>
        <w:ind w:right="980"/>
        <w:spacing w:after="0" w:line="441" w:lineRule="auto"/>
        <w:rPr>
          <w:sz w:val="20"/>
          <w:szCs w:val="20"/>
          <w:color w:val="auto"/>
        </w:rPr>
      </w:pPr>
      <w:r>
        <w:rPr>
          <w:rFonts w:ascii="Times New Roman" w:cs="Times New Roman" w:eastAsia="Times New Roman" w:hAnsi="Times New Roman"/>
          <w:sz w:val="18"/>
          <w:szCs w:val="18"/>
          <w:color w:val="auto"/>
        </w:rPr>
        <w:t xml:space="preserve">Net cash used in investing activities for the year ended December 31, 2024 was $4.4 million consisting of purchases of property and equipment. </w:t>
      </w:r>
      <w:r>
        <w:rPr>
          <w:rFonts w:ascii="Times New Roman" w:cs="Times New Roman" w:eastAsia="Times New Roman" w:hAnsi="Times New Roman"/>
          <w:sz w:val="18"/>
          <w:szCs w:val="18"/>
          <w:b w:val="1"/>
          <w:bCs w:val="1"/>
          <w:i w:val="1"/>
          <w:iCs w:val="1"/>
          <w:color w:val="auto"/>
        </w:rPr>
        <w:t>Net cash provided by financing activities</w:t>
      </w:r>
    </w:p>
    <w:p>
      <w:pPr>
        <w:spacing w:after="0" w:line="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$286.0 million, consisting primarily of $332.4 million in net proceeds from our IPO, $72.8 million in net proceeds from the issuance of our 2025 Convertible Notes and</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80"/>
        <w:spacing w:after="0" w:line="239" w:lineRule="auto"/>
        <w:rPr>
          <w:sz w:val="20"/>
          <w:szCs w:val="20"/>
          <w:color w:val="auto"/>
        </w:rPr>
      </w:pPr>
      <w:r>
        <w:rPr>
          <w:rFonts w:ascii="Times New Roman" w:cs="Times New Roman" w:eastAsia="Times New Roman" w:hAnsi="Times New Roman"/>
          <w:sz w:val="18"/>
          <w:szCs w:val="18"/>
          <w:color w:val="auto"/>
        </w:rPr>
        <w:t>$3.3 million in proceeds from the exercise of stock options, offset by $115.1 million principal repayment under our 2024 Term Loan and $6.8 million in exit and prepayment penalty fees related to our 2024 Term Loan.</w:t>
      </w:r>
    </w:p>
    <w:p>
      <w:pPr>
        <w:spacing w:after="0" w:line="10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$2.2 million primarily attributable to $4.6 million in proceeds from the exercise of stock options offset by payments of $2.3 million in exit, prepayment penalty and lender fees related to our 2024 Term Loan Refinancing.</w:t>
      </w:r>
    </w:p>
    <w:p>
      <w:pPr>
        <w:spacing w:after="0" w:line="150"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8"/>
          <w:szCs w:val="18"/>
          <w:color w:val="auto"/>
        </w:rPr>
        <w:t>For discussion related to our cash flows for the year ended December 31, 2024 compared to the year ended December 31, 2023, refer to the section titled “Management’s Discussion and Analysis of Financial Condition and Results of Operations” for the year ended December 31, 2024 included in our registration statement on Form S-1 (File No. 333-288733), which became effective on August 7,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1"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Our material commitments include future payments on non-cancellable facility leases, the sublease of our Mountain View, California facility lease and royalty obligations for exclusive technology licensing agreements.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7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We have operating lease arrangements for office space in Mountain View, Santa Rosa, San Francisco, and Rohnert Park, California, Austin, Texas, and Tokyo, Japan. As of December 31, 2025 we had total lease payment obligations under non-cancelable leases of $26.5 million, including $6.2 million payable through December 31, 2026. See Note 6 to our consolidated financial statements included elsewhere in this Annual Report on Form 10-K.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Agreement</w:t>
      </w:r>
    </w:p>
    <w:p>
      <w:pPr>
        <w:spacing w:after="0" w:line="184"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In March 2026, we entered into a sublease agreement to sublease our office space in Mountain View, California to a third-party subtenant. The initial term of the sublease will commence in April 2026 and continues until August 2030, consistent with the remaining term of our Master Lease, with 52% occupancy of the facility beginning April 2026 and full occupancy by March 2027. The sublease provides for an initial annual base rent of approximately $1.2 million, which increases annually up to a maximum annual base rent of approximately $2.4 million. See Note 18 to our consolidated financial statements included elsewhere in this Annual Report on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Payments</w:t>
      </w:r>
    </w:p>
    <w:p>
      <w:pPr>
        <w:spacing w:after="0" w:line="184"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18"/>
          <w:szCs w:val="18"/>
          <w:color w:val="auto"/>
        </w:rPr>
        <w:t>We entered into various exclusive technology licensing agreements that require us to make annual royalty payments in fixed amounts as well as certain milestone and revenue-based payments. As of December 31, 2025, the remaining aggregate royalty obligations under these agreements is $0.3 million, of which minimum royalty obligations of $50,000 is payable in 2026. See Note 7 to our consolidated financial statements included elsewhere in this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4" w:lineRule="exact"/>
        <w:rPr>
          <w:sz w:val="20"/>
          <w:szCs w:val="20"/>
          <w:color w:val="auto"/>
        </w:rPr>
      </w:pPr>
    </w:p>
    <w:p>
      <w:pPr>
        <w:ind w:right="640"/>
        <w:spacing w:after="0" w:line="24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consolidated financial statements included elsewhere in this Annual Report on Form 10-K.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liabilities, revenue, expenses and related disclosures. Our estimates are based on our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59"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included elsewhere in this Annual Report on Form 10-K, we believe that the following discussion addresses our most critical accounting</w:t>
      </w: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800"/>
        <w:spacing w:after="0" w:line="239" w:lineRule="auto"/>
        <w:rPr>
          <w:sz w:val="20"/>
          <w:szCs w:val="20"/>
          <w:color w:val="auto"/>
        </w:rPr>
      </w:pPr>
      <w:r>
        <w:rPr>
          <w:rFonts w:ascii="Times New Roman" w:cs="Times New Roman" w:eastAsia="Times New Roman" w:hAnsi="Times New Roman"/>
          <w:sz w:val="18"/>
          <w:szCs w:val="18"/>
          <w:color w:val="auto"/>
        </w:rPr>
        <w:t>policies, which are those most important to our financial condition and results of operations and require our most difficult, subjective and complex judgments.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We had issued freestanding warrants to purchase shares of common stock in connection with our 2024 Term Loan. Prior to their net exercise in October 2025, we classified these warrants as a liability because they did not meet the equity indexation criteria. We recorded the fair value of the warrant on the consolidated balance sheet upon issuance and was subject to remeasurement at each balance sheet date. The changes in the fair value of the warrants were recorded in the consolidated statements of operations and comprehensive loss until the warrants were exercised. We utilized the Black-Scholes option-pricing model, which incorporates assumptions and estimates, to value the common stock warrant liability. Significant estimates and assumptions impacting fair value include the stock price prior to our IPO, contractual term, expected volatility and weighted average risk-free interest rate.</w:t>
      </w:r>
    </w:p>
    <w:p>
      <w:pPr>
        <w:spacing w:after="0" w:line="16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estimated aggregate fair value of the warrants issued in connection with the 2024 Term Loan in January 2021 and March 2022 was $4.3 million and $3.5 million, respectively. We recognized a $43.9 million and $16.4 million loss from the change in fair value in the consolidated statements of operations and comprehensive loss during the years ended December 31, 2025 and 2024, respectively.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7"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Prior to the 2024 Term Loan Refinancing in June 2024, we determined that our 2024 Term Loan contained certain prepayment features, default put option and default interest adjustment features that were determined to be embedded derivatives requiring bifurcation and separate accounting as a single compound derivative. The impact of bifurcation of the embedded derivative on the date of issuance was reflected as a debt discount. The instrument was classified as a liability on the consolidated balance sheet and subject to remeasurement at each balance sheet date. Any change in fair value of the derivative liability was recognized in the consolidated statements of operations and comprehensive loss.</w:t>
      </w:r>
    </w:p>
    <w:p>
      <w:pPr>
        <w:spacing w:after="0" w:line="159"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We utilized both the Black-Scholes-Merton and option-pricing method, which incorporates certain assumptions and estimates, to value the derivative liability. These include the estimated time and probability of a business combination or IPO, default, change of control and incurrence of new debt, weighted common stock value, debt yield, expected volatility and risk-free interest rate.</w:t>
      </w:r>
    </w:p>
    <w:p>
      <w:pPr>
        <w:spacing w:after="0" w:line="156"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The estimated fair value of the derivative liability was $2.1 million at the issuance date in January 2021. We recognized a $0.2 million loss from the change in fair value in the consolidated statements of operations and comprehensive loss during the year ended December 31, 2024. In connection with the 2024 Term Loan Refinancing on June 14, 2024, the associated current fair value of the derivative liability of $1.1 million, as remeasured at the date of 2024 Term Loan Refinancing, was derecognized and recorded as a debt discount to the 2024 Term Loan.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Convertible Notes</w:t>
      </w:r>
    </w:p>
    <w:p>
      <w:pPr>
        <w:spacing w:after="0" w:line="16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Prior to its conversion upon our IPO, the 2025 Convertible Notes were determined to contain certain settlement features and conversion put options which required bifurcation and separate accounting as a single compound embedded derivative. The fair value of the derivative liability was recorded at the issuance dates as debt discounts and reductions to the carrying value of the 2025 Convertible Notes on the consolidated balance sheet. The derivative liability was remeasured to fair value at each reporting period and the related changes in fair value are recorded on the consolidated statements of operations and comprehensive loss. The fair value of the derivative liability was estimated using a scenario-based analysis comparing the probability-weighted present value of the 2025 Convertible Notes with and without the bifurcated features. We utilized both the Monte Carlo Simulation and option-pricing method, which incorporated certain assumptions and estimates, to value the derivative liability. These included the estimated time and probability of an IPO and change of control, with resulting cash flows discounted using appropriate discount rates.</w:t>
      </w:r>
    </w:p>
    <w:p>
      <w:pPr>
        <w:spacing w:after="0" w:line="157"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The issuance date estimated fair values of the derivative liability was $11.1 million and $20.8 million in January and March 2025, respectively, which were recorded as debt discounts. The derivative liability was remeasured to fair value at the end of each reporting period and through the date of its conversion to common stock upon the Company’s IPO, resulting in a recognized gain of $7.3 million in the consolidated statements of operations and comprehensive loss during the year ended December 31, 2025. The aggregate estimated fair value of the derivative liability at the time of conversion was $24.6 million, based on the 20% discount from the IPO price, which was reclassified to additional paid-in capital.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8"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Stock-based compensation related to share-based awards granted to employees, consultants and to members of our board of directors is measured at fair value. Compensation expense for those awards is recognized on a straight-line basis over the requisite service period, which is generally the vesting period. For performance-based stock options, we assess the probability of performance conditions being achieved in each reporting period. The amount of stock-based compensation expense recognized in any one period related to performance-based stock options can vary based on the achievement or anticipated achievement of the performance conditions. We account for forfeitures of stock-based awards as they occur.</w:t>
      </w:r>
    </w:p>
    <w:p>
      <w:pPr>
        <w:spacing w:after="0" w:line="157"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8"/>
          <w:szCs w:val="18"/>
          <w:color w:val="auto"/>
        </w:rPr>
        <w:t>We estimate the fair value of each option award on the date of grant using the Black-Scholes option-pricing model. This model requires the use of highly subject assumptions to determine the fair value, including:</w:t>
      </w:r>
    </w:p>
    <w:p>
      <w:pPr>
        <w:spacing w:after="0" w:line="148" w:lineRule="exact"/>
        <w:rPr>
          <w:sz w:val="20"/>
          <w:szCs w:val="20"/>
          <w:color w:val="auto"/>
        </w:rPr>
      </w:pPr>
    </w:p>
    <w:p>
      <w:pPr>
        <w:ind w:left="320" w:hanging="313"/>
        <w:spacing w:after="0"/>
        <w:tabs>
          <w:tab w:leader="none" w:pos="3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See the subsection titled “—Determination of fair value of common stock” below.</w:t>
      </w:r>
    </w:p>
    <w:p>
      <w:pPr>
        <w:spacing w:after="0" w:line="27" w:lineRule="exact"/>
        <w:rPr>
          <w:rFonts w:ascii="Arial" w:cs="Arial" w:eastAsia="Arial" w:hAnsi="Arial"/>
          <w:sz w:val="18"/>
          <w:szCs w:val="18"/>
          <w:color w:val="auto"/>
        </w:rPr>
      </w:pPr>
    </w:p>
    <w:p>
      <w:pPr>
        <w:ind w:left="320" w:right="280" w:hanging="313"/>
        <w:spacing w:after="0" w:line="231" w:lineRule="auto"/>
        <w:tabs>
          <w:tab w:leader="none" w:pos="3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stock-based awards are expected to be outstanding. The expected term for our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was calculated based on the weighted-average vesting term of the awards and the contract period, or simplified method.</w:t>
      </w:r>
    </w:p>
    <w:p>
      <w:pPr>
        <w:ind w:left="320" w:right="160" w:hanging="313"/>
        <w:spacing w:after="0" w:line="232" w:lineRule="auto"/>
        <w:tabs>
          <w:tab w:leader="none" w:pos="3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As we were not publicly traded prior to the IPO and do not have sufficient trading history after the IPO, the expected volatility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stock options is determined by using an average of historical volatilities of selected industry peers deemed to be comparable to our business corresponding to the expected term of the awards. The comparable companies were chosen based on their size, stage of their life cycle or area of specialty.</w:t>
      </w:r>
    </w:p>
    <w:p>
      <w:pPr>
        <w:ind w:left="320" w:right="200" w:hanging="313"/>
        <w:spacing w:after="0" w:line="232" w:lineRule="auto"/>
        <w:tabs>
          <w:tab w:leader="none" w:pos="3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in effect at the time of grant for zero-coupon U.S. Treasury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maturities approximately equal to the expected term of the awards.</w:t>
      </w:r>
    </w:p>
    <w:p>
      <w:pPr>
        <w:ind w:left="320" w:right="80" w:hanging="313"/>
        <w:spacing w:after="0" w:line="238" w:lineRule="auto"/>
        <w:tabs>
          <w:tab w:leader="none" w:pos="3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expected dividend yield is zero as we have not paid dividends nor do we anticipate paying any dividends on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expect to continue to grant equity-based awards in the future, and to the extent that we do, our stock-based compensation expense recognized in future periods will likely increase. See Note 14 to our consolidated financial statements included elsewhere in this Annual Report on Form 10-K for further details.</w:t>
      </w: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 of Common Stock</w:t>
      </w:r>
    </w:p>
    <w:p>
      <w:pPr>
        <w:spacing w:after="0" w:line="16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Because there had been no public market for our common stock prior to the IPO, the estimated fair value of our common stock underlying our share-based awards was estimated on each grant date by our management and approved by our board of directors. Our board of directors exercised reasonable judgment and considered a number of objective and subjective factors, as well as valuations prepared by independent third-party valuation firms. The methodologies used to estimate the enterprise value are performed using methodologies, approaches and assumptions consistent with the American Institute of Certified Public Accountants Accounting and Valuation Guide, Valuation of Privately-Held-Company Equity Securities Issued as Compensation (the Practice Aid). In addition to considering the results of independent third-party valuations, our board of directors considered various objective and subjective factors to determine the fair value of common stock as of each grant date, including:</w:t>
      </w:r>
    </w:p>
    <w:p>
      <w:pPr>
        <w:spacing w:after="0" w:line="160" w:lineRule="exact"/>
        <w:rPr>
          <w:sz w:val="20"/>
          <w:szCs w:val="20"/>
          <w:color w:val="auto"/>
        </w:rPr>
      </w:pPr>
    </w:p>
    <w:p>
      <w:pPr>
        <w:ind w:left="320" w:hanging="313"/>
        <w:spacing w:after="0"/>
        <w:tabs>
          <w:tab w:leader="none" w:pos="32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79" w:lineRule="exact"/>
        <w:rPr>
          <w:rFonts w:ascii="Arial" w:cs="Arial" w:eastAsia="Arial" w:hAnsi="Arial"/>
          <w:sz w:val="18"/>
          <w:szCs w:val="18"/>
          <w:color w:val="auto"/>
        </w:rPr>
      </w:pPr>
    </w:p>
    <w:p>
      <w:pPr>
        <w:ind w:left="320" w:right="780" w:hanging="313"/>
        <w:spacing w:after="0" w:line="245" w:lineRule="auto"/>
        <w:tabs>
          <w:tab w:leader="none" w:pos="32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151" w:lineRule="exact"/>
        <w:rPr>
          <w:rFonts w:ascii="Arial" w:cs="Arial" w:eastAsia="Arial" w:hAnsi="Arial"/>
          <w:sz w:val="18"/>
          <w:szCs w:val="18"/>
          <w:color w:val="auto"/>
        </w:rPr>
      </w:pPr>
    </w:p>
    <w:p>
      <w:pPr>
        <w:ind w:left="320" w:hanging="313"/>
        <w:spacing w:after="0"/>
        <w:tabs>
          <w:tab w:leader="none" w:pos="32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66" w:lineRule="exact"/>
        <w:rPr>
          <w:rFonts w:ascii="Arial" w:cs="Arial" w:eastAsia="Arial" w:hAnsi="Arial"/>
          <w:sz w:val="18"/>
          <w:szCs w:val="18"/>
          <w:color w:val="auto"/>
        </w:rPr>
      </w:pPr>
    </w:p>
    <w:p>
      <w:pPr>
        <w:ind w:left="320" w:hanging="313"/>
        <w:spacing w:after="0"/>
        <w:tabs>
          <w:tab w:leader="none" w:pos="32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our stage of development;</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0" w:lineRule="exact"/>
        <w:rPr>
          <w:sz w:val="20"/>
          <w:szCs w:val="20"/>
          <w:color w:val="auto"/>
        </w:rPr>
      </w:pPr>
    </w:p>
    <w:p>
      <w:pPr>
        <w:ind w:left="320" w:hanging="313"/>
        <w:spacing w:after="0"/>
        <w:tabs>
          <w:tab w:leader="none" w:pos="320" w:val="left"/>
        </w:tabs>
        <w:numPr>
          <w:ilvl w:val="0"/>
          <w:numId w:val="40"/>
        </w:numPr>
        <w:rPr>
          <w:rFonts w:ascii="Arial" w:cs="Arial" w:eastAsia="Arial" w:hAnsi="Arial"/>
          <w:sz w:val="17"/>
          <w:szCs w:val="17"/>
          <w:color w:val="auto"/>
        </w:rPr>
      </w:pPr>
      <w:r>
        <w:rPr>
          <w:rFonts w:ascii="Times New Roman" w:cs="Times New Roman" w:eastAsia="Times New Roman" w:hAnsi="Times New Roman"/>
          <w:sz w:val="17"/>
          <w:szCs w:val="17"/>
          <w:color w:val="auto"/>
        </w:rPr>
        <w:t>likelihood of achieving a liquidity event, such as an initial public offering or a merger or acquisition of our company given prevailing market conditions;</w:t>
      </w:r>
    </w:p>
    <w:p>
      <w:pPr>
        <w:spacing w:after="0" w:line="191" w:lineRule="exact"/>
        <w:rPr>
          <w:rFonts w:ascii="Arial" w:cs="Arial" w:eastAsia="Arial" w:hAnsi="Arial"/>
          <w:sz w:val="17"/>
          <w:szCs w:val="17"/>
          <w:color w:val="auto"/>
        </w:rPr>
      </w:pPr>
    </w:p>
    <w:p>
      <w:pPr>
        <w:ind w:left="320" w:hanging="313"/>
        <w:spacing w:after="0"/>
        <w:tabs>
          <w:tab w:leader="none" w:pos="32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66" w:lineRule="exact"/>
        <w:rPr>
          <w:rFonts w:ascii="Arial" w:cs="Arial" w:eastAsia="Arial" w:hAnsi="Arial"/>
          <w:sz w:val="18"/>
          <w:szCs w:val="18"/>
          <w:color w:val="auto"/>
        </w:rPr>
      </w:pPr>
    </w:p>
    <w:p>
      <w:pPr>
        <w:ind w:left="320" w:hanging="313"/>
        <w:spacing w:after="0"/>
        <w:tabs>
          <w:tab w:leader="none" w:pos="32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our valuations performed, the allocation of these enterprise values to each of our share classes utilized the hybrid method. The hybrid method considered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stay private scenario and IPO exit scenario. In the stay private scenario, three market methodologies were employed including (i) a market indexing</w:t>
      </w:r>
    </w:p>
    <w:p>
      <w:pPr>
        <w:spacing w:after="0" w:line="216" w:lineRule="auto"/>
        <w:rPr>
          <w:sz w:val="20"/>
          <w:szCs w:val="20"/>
          <w:color w:val="auto"/>
        </w:rPr>
      </w:pPr>
      <w:r>
        <w:rPr>
          <w:rFonts w:ascii="Times New Roman" w:cs="Times New Roman" w:eastAsia="Times New Roman" w:hAnsi="Times New Roman"/>
          <w:sz w:val="18"/>
          <w:szCs w:val="18"/>
          <w:color w:val="auto"/>
        </w:rPr>
        <w:t>valuation analysis based on the Series F Preferred financing round, (ii) a guideline public company analysis based on historical and forecast operating</w:t>
      </w:r>
    </w:p>
    <w:p>
      <w:pPr>
        <w:spacing w:after="0" w:line="233" w:lineRule="auto"/>
        <w:rPr>
          <w:sz w:val="20"/>
          <w:szCs w:val="20"/>
          <w:color w:val="auto"/>
        </w:rPr>
      </w:pPr>
      <w:r>
        <w:rPr>
          <w:rFonts w:ascii="Times New Roman" w:cs="Times New Roman" w:eastAsia="Times New Roman" w:hAnsi="Times New Roman"/>
          <w:sz w:val="18"/>
          <w:szCs w:val="18"/>
          <w:color w:val="auto"/>
        </w:rPr>
        <w:t>metrics for us, and (iii) a guideline transaction analysis based on historical and forecast operating metrics for us. In the IPO exit scenario, the total equity</w:t>
      </w:r>
    </w:p>
    <w:p>
      <w:pPr>
        <w:spacing w:after="0" w:line="217" w:lineRule="auto"/>
        <w:rPr>
          <w:sz w:val="20"/>
          <w:szCs w:val="20"/>
          <w:color w:val="auto"/>
        </w:rPr>
      </w:pPr>
      <w:r>
        <w:rPr>
          <w:rFonts w:ascii="Times New Roman" w:cs="Times New Roman" w:eastAsia="Times New Roman" w:hAnsi="Times New Roman"/>
          <w:sz w:val="18"/>
          <w:szCs w:val="18"/>
          <w:color w:val="auto"/>
        </w:rPr>
        <w:t>value was estimated based on the expected timing, offering size and pre-money valuation. The assumptions underlying these valuations represented</w:t>
      </w:r>
    </w:p>
    <w:p>
      <w:pPr>
        <w:spacing w:after="0" w:line="216" w:lineRule="auto"/>
        <w:rPr>
          <w:sz w:val="20"/>
          <w:szCs w:val="20"/>
          <w:color w:val="auto"/>
        </w:rPr>
      </w:pPr>
      <w:r>
        <w:rPr>
          <w:rFonts w:ascii="Times New Roman" w:cs="Times New Roman" w:eastAsia="Times New Roman" w:hAnsi="Times New Roman"/>
          <w:sz w:val="18"/>
          <w:szCs w:val="18"/>
          <w:color w:val="auto"/>
        </w:rPr>
        <w:t>management’s best estimate, which involved inherent uncertainties and the application of management’s judgment. As a result, if we had used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significantly different assumptions or estimates, the fair value of our common stock and our stock-based compensation expense could be materially different.</w:t>
      </w:r>
    </w:p>
    <w:p>
      <w:pPr>
        <w:spacing w:after="0" w:line="172" w:lineRule="exact"/>
        <w:rPr>
          <w:sz w:val="20"/>
          <w:szCs w:val="20"/>
          <w:color w:val="auto"/>
        </w:rPr>
      </w:pPr>
    </w:p>
    <w:p>
      <w:pPr>
        <w:ind w:right="400"/>
        <w:spacing w:after="0" w:line="449" w:lineRule="auto"/>
        <w:rPr>
          <w:sz w:val="20"/>
          <w:szCs w:val="20"/>
          <w:color w:val="auto"/>
        </w:rPr>
      </w:pPr>
      <w:r>
        <w:rPr>
          <w:rFonts w:ascii="Times New Roman" w:cs="Times New Roman" w:eastAsia="Times New Roman" w:hAnsi="Times New Roman"/>
          <w:sz w:val="18"/>
          <w:szCs w:val="18"/>
          <w:color w:val="auto"/>
        </w:rPr>
        <w:t xml:space="preserve">After our IPO, the fair value of our common stock is determined based on the quoted market price of our common stock on the Nasdaq stock exchange. </w:t>
      </w:r>
      <w:r>
        <w:rPr>
          <w:rFonts w:ascii="Times New Roman" w:cs="Times New Roman" w:eastAsia="Times New Roman" w:hAnsi="Times New Roman"/>
          <w:sz w:val="18"/>
          <w:szCs w:val="18"/>
          <w:b w:val="1"/>
          <w:bCs w:val="1"/>
          <w:color w:val="auto"/>
        </w:rPr>
        <w:t>Off-balance Sheet Arrangements</w:t>
      </w:r>
    </w:p>
    <w:p>
      <w:pPr>
        <w:ind w:right="280"/>
        <w:spacing w:after="0" w:line="246"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in the rules and regulations of the SEC.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84"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We are an “emerging growth company” under the JOBS Act, which permits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consolidated financial statements may not be comparable to companies that comply with new or revised accounting pronouncements applicable to public companies. The JOBS Act also exempts us from having to provide an attestation and report from our independent registered public accounting firm on the assessment of our internal control over financial reporting pursuant to the Sarbanes-Oxley Act of 2002.</w:t>
      </w:r>
    </w:p>
    <w:p>
      <w:pPr>
        <w:spacing w:after="0" w:line="159"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2030;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we had cash and cash equivalents and investments of $280.2 million, which consisted of bank deposits, money market funds,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U.S. treasury bills, commercial paper, corporate bonds/notes, asset-backed securities and agency bonds/notes.</w:t>
      </w:r>
    </w:p>
    <w:p>
      <w:pPr>
        <w:spacing w:after="0" w:line="16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primary objectives of our investment activities are the preservation of capital and support of our liquidity requirements. We place our cash, cash equivalents, and investments with high-quality financial institutions and have established investment guidelines relative to diversification and maturities designed to maintain safety and liquidity. Our investments are exposed to market risk due to fluctuations in interest rates, which may affect our income and the fair market value of our investments. If interest rates rise, the market value of our investments may decline, which could result in a realized loss if we sell an investment before its scheduled maturity.</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 A hypothetical 10% change in interest rates would not have a material impact on the value of our cash and cash equivalents or our investments as of December 31, 2025. While we believe our cash, cash equivalents, and investments do not contain excessive risk, we cannot provide absolute assurance that, in the future, our investments will not be subject to adverse changes in market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4"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8"/>
          <w:szCs w:val="18"/>
          <w:color w:val="auto"/>
        </w:rPr>
        <w:t>Our cash and cash equivalents, which at times may exceed federally insured limits, is maintained with large financial institutions. As of the issuance date of the consolidated financial statements included in this report, we have not experienced any losses on our deposits and all of our cash deposits have been accessible to us. As of December 31, 2025, our cash equivalents and investments are invested in highly rated money market funds, U.S. treasury bills, U.S. government securities, commercial paper, corporate bonds/notes, asset-backed securities and agency bonds/notes. Uncertain financial markets, or a U.S. sovereign default or threat thereof, could result in a tightening in the credit markets, a reduced level of liquidity in many financial markets, and extreme volatility in fixed income and credit markets. The credit ratings of securities in our investments could deteriorate and may have an adverse impact on the carrying value of these investments.</w:t>
      </w:r>
    </w:p>
    <w:p>
      <w:pPr>
        <w:spacing w:after="0" w:line="160" w:lineRule="exact"/>
        <w:rPr>
          <w:sz w:val="20"/>
          <w:szCs w:val="20"/>
          <w:color w:val="auto"/>
        </w:rPr>
      </w:pPr>
    </w:p>
    <w:p>
      <w:pPr>
        <w:ind w:right="620"/>
        <w:spacing w:after="0" w:line="246" w:lineRule="auto"/>
        <w:rPr>
          <w:sz w:val="20"/>
          <w:szCs w:val="20"/>
          <w:color w:val="auto"/>
        </w:rPr>
      </w:pPr>
      <w:r>
        <w:rPr>
          <w:rFonts w:ascii="Times New Roman" w:cs="Times New Roman" w:eastAsia="Times New Roman" w:hAnsi="Times New Roman"/>
          <w:sz w:val="18"/>
          <w:szCs w:val="18"/>
          <w:color w:val="auto"/>
        </w:rPr>
        <w:t>Our accounts receivable primarily relate to revenue from the sale of our products to medical providers. No customer represented 10% or more of our accounts receivable as of December 31, 2025 and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8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The vast majority of our cash generated from revenue is denominated in U.S. dollars, with a small amount denominated in other foreign currencies. Our expenses are generally denominated in the currencies of the jurisdictions in which we conduct our operations, which are primarily in the United States, United Kingdom and Japan. Our results of operations and cash flows are, therefore, subject to fluctuations due to changes in foreign currency exchange rates. The effect of a hypothetical 10% change in foreign currency exchange rates applicable to our business would not have had a material impact on our consolidated financial statements during any of the periods presented.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84"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overhead costs. We do not believe that inflation has had a material impact on our business, results of operations, or financial condition, or on our consolidated financial statements included elsewhere in this Annual Report.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Heartflow, Inc.</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9520" w:type="dxa"/>
            <w:vAlign w:val="bottom"/>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740" w:type="dxa"/>
            <w:vAlign w:val="bottom"/>
            <w:gridSpan w:val="3"/>
          </w:tcPr>
          <w:p>
            <w:pPr>
              <w:jc w:val="right"/>
              <w:ind w:right="20"/>
              <w:spacing w:after="0" w:line="160" w:lineRule="exact"/>
              <w:rPr>
                <w:sz w:val="20"/>
                <w:szCs w:val="20"/>
                <w:color w:val="auto"/>
              </w:rPr>
            </w:pPr>
            <w:r>
              <w:rPr>
                <w:rFonts w:ascii="Times New Roman" w:cs="Times New Roman" w:eastAsia="Times New Roman" w:hAnsi="Times New Roman"/>
                <w:sz w:val="18"/>
                <w:szCs w:val="18"/>
                <w:color w:val="0000FF"/>
              </w:rPr>
              <w:t>92</w:t>
            </w:r>
          </w:p>
        </w:tc>
        <w:tc>
          <w:tcPr>
            <w:tcW w:w="0" w:type="dxa"/>
            <w:vAlign w:val="bottom"/>
          </w:tcPr>
          <w:p>
            <w:pPr>
              <w:spacing w:after="0"/>
              <w:rPr>
                <w:sz w:val="1"/>
                <w:szCs w:val="1"/>
                <w:color w:val="auto"/>
              </w:rPr>
            </w:pPr>
          </w:p>
        </w:tc>
      </w:tr>
      <w:tr>
        <w:trPr>
          <w:trHeight w:val="162"/>
        </w:trPr>
        <w:tc>
          <w:tcPr>
            <w:tcW w:w="4180" w:type="dxa"/>
            <w:vAlign w:val="bottom"/>
            <w:tcBorders>
              <w:top w:val="single" w:sz="8" w:color="0000FF"/>
            </w:tcBorders>
            <w:gridSpan w:val="5"/>
          </w:tcPr>
          <w:p>
            <w:pPr>
              <w:spacing w:after="0" w:line="162" w:lineRule="exact"/>
              <w:rPr>
                <w:sz w:val="20"/>
                <w:szCs w:val="20"/>
                <w:color w:val="auto"/>
              </w:rPr>
            </w:pPr>
            <w:r>
              <w:rPr>
                <w:rFonts w:ascii="Times New Roman" w:cs="Times New Roman" w:eastAsia="Times New Roman" w:hAnsi="Times New Roman"/>
                <w:sz w:val="18"/>
                <w:szCs w:val="18"/>
                <w:color w:val="auto"/>
              </w:rPr>
              <w:t>Financial Statements</w:t>
            </w:r>
          </w:p>
        </w:tc>
        <w:tc>
          <w:tcPr>
            <w:tcW w:w="1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0" w:type="dxa"/>
            <w:vAlign w:val="bottom"/>
          </w:tcPr>
          <w:p>
            <w:pPr>
              <w:spacing w:after="0"/>
              <w:rPr>
                <w:sz w:val="16"/>
                <w:szCs w:val="16"/>
                <w:color w:val="auto"/>
              </w:rPr>
            </w:pPr>
          </w:p>
        </w:tc>
        <w:tc>
          <w:tcPr>
            <w:tcW w:w="8880" w:type="dxa"/>
            <w:vAlign w:val="bottom"/>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740" w:type="dxa"/>
            <w:vAlign w:val="bottom"/>
            <w:gridSpan w:val="3"/>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FF"/>
              </w:rPr>
              <w:t>93</w:t>
            </w: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2080" w:type="dxa"/>
            <w:vAlign w:val="bottom"/>
            <w:tcBorders>
              <w:top w:val="single" w:sz="8" w:color="0000FF"/>
              <w:bottom w:val="single" w:sz="8" w:color="0000FF"/>
            </w:tcBorders>
          </w:tcPr>
          <w:p>
            <w:pPr>
              <w:spacing w:after="0" w:line="167" w:lineRule="exact"/>
              <w:rPr>
                <w:sz w:val="20"/>
                <w:szCs w:val="20"/>
                <w:color w:val="auto"/>
              </w:rPr>
            </w:pPr>
            <w:r>
              <w:rPr>
                <w:rFonts w:ascii="Times New Roman" w:cs="Times New Roman" w:eastAsia="Times New Roman" w:hAnsi="Times New Roman"/>
                <w:sz w:val="18"/>
                <w:szCs w:val="18"/>
                <w:color w:val="0000FF"/>
              </w:rPr>
              <w:t>Consolidated Statements of</w:t>
            </w:r>
          </w:p>
        </w:tc>
        <w:tc>
          <w:tcPr>
            <w:tcW w:w="2560" w:type="dxa"/>
            <w:vAlign w:val="bottom"/>
            <w:tcBorders>
              <w:bottom w:val="single" w:sz="8" w:color="0000FF"/>
            </w:tcBorders>
            <w:gridSpan w:val="4"/>
          </w:tcPr>
          <w:p>
            <w:pPr>
              <w:spacing w:after="0" w:line="167" w:lineRule="exact"/>
              <w:rPr>
                <w:sz w:val="20"/>
                <w:szCs w:val="20"/>
                <w:color w:val="auto"/>
              </w:rPr>
            </w:pPr>
            <w:r>
              <w:rPr>
                <w:rFonts w:ascii="Times New Roman" w:cs="Times New Roman" w:eastAsia="Times New Roman" w:hAnsi="Times New Roman"/>
                <w:sz w:val="18"/>
                <w:szCs w:val="18"/>
                <w:color w:val="0000FF"/>
                <w:w w:val="95"/>
              </w:rPr>
              <w:t>Operations and Comprehensive Loss</w:t>
            </w:r>
          </w:p>
        </w:tc>
        <w:tc>
          <w:tcPr>
            <w:tcW w:w="42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top w:val="single" w:sz="8" w:color="0000FF"/>
              <w:bottom w:val="single" w:sz="8" w:color="0000FF"/>
            </w:tcBorders>
          </w:tcPr>
          <w:p>
            <w:pPr>
              <w:jc w:val="right"/>
              <w:spacing w:after="0" w:line="167" w:lineRule="exact"/>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8880" w:type="dxa"/>
            <w:vAlign w:val="bottom"/>
            <w:gridSpan w:val="7"/>
          </w:tcPr>
          <w:p>
            <w:pPr>
              <w:spacing w:after="0" w:line="167" w:lineRule="exact"/>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 (Deficit</w:t>
            </w:r>
            <w:r>
              <w:rPr>
                <w:rFonts w:ascii="Times New Roman" w:cs="Times New Roman" w:eastAsia="Times New Roman" w:hAnsi="Times New Roman"/>
                <w:sz w:val="18"/>
                <w:szCs w:val="18"/>
                <w:color w:val="000000"/>
              </w:rPr>
              <w:t>)</w:t>
            </w:r>
          </w:p>
        </w:tc>
        <w:tc>
          <w:tcPr>
            <w:tcW w:w="1540" w:type="dxa"/>
            <w:vAlign w:val="bottom"/>
          </w:tcPr>
          <w:p>
            <w:pPr>
              <w:spacing w:after="0"/>
              <w:rPr>
                <w:sz w:val="14"/>
                <w:szCs w:val="14"/>
                <w:color w:val="auto"/>
              </w:rPr>
            </w:pPr>
          </w:p>
        </w:tc>
        <w:tc>
          <w:tcPr>
            <w:tcW w:w="180" w:type="dxa"/>
            <w:vAlign w:val="bottom"/>
          </w:tcPr>
          <w:p>
            <w:pPr>
              <w:jc w:val="right"/>
              <w:spacing w:after="0" w:line="167" w:lineRule="exact"/>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7380" w:type="dxa"/>
            <w:vAlign w:val="bottom"/>
            <w:tcBorders>
              <w:top w:val="single" w:sz="8" w:color="0000FF"/>
            </w:tcBorders>
            <w:gridSpan w:val="6"/>
          </w:tcPr>
          <w:p>
            <w:pPr>
              <w:spacing w:after="0" w:line="167"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top w:val="single" w:sz="8" w:color="0000FF"/>
            </w:tcBorders>
          </w:tcPr>
          <w:p>
            <w:pPr>
              <w:jc w:val="right"/>
              <w:spacing w:after="0" w:line="167" w:lineRule="exact"/>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1540" w:type="dxa"/>
            <w:vAlign w:val="bottom"/>
            <w:vMerge w:val="restart"/>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40" w:type="dxa"/>
            <w:vAlign w:val="bottom"/>
          </w:tcPr>
          <w:p>
            <w:pPr>
              <w:spacing w:after="0"/>
              <w:rPr>
                <w:sz w:val="14"/>
                <w:szCs w:val="14"/>
                <w:color w:val="auto"/>
              </w:rPr>
            </w:pPr>
          </w:p>
        </w:tc>
        <w:tc>
          <w:tcPr>
            <w:tcW w:w="8880" w:type="dxa"/>
            <w:vAlign w:val="bottom"/>
            <w:gridSpan w:val="7"/>
          </w:tcPr>
          <w:p>
            <w:pPr>
              <w:spacing w:after="0" w:line="167"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540" w:type="dxa"/>
            <w:vAlign w:val="bottom"/>
            <w:vMerge w:val="continue"/>
          </w:tcPr>
          <w:p>
            <w:pPr>
              <w:spacing w:after="0"/>
              <w:rPr>
                <w:sz w:val="14"/>
                <w:szCs w:val="14"/>
                <w:color w:val="auto"/>
              </w:rPr>
            </w:pPr>
          </w:p>
        </w:tc>
        <w:tc>
          <w:tcPr>
            <w:tcW w:w="180" w:type="dxa"/>
            <w:vAlign w:val="bottom"/>
          </w:tcPr>
          <w:p>
            <w:pPr>
              <w:jc w:val="right"/>
              <w:spacing w:after="0" w:line="167" w:lineRule="exact"/>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Heartflow,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7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Heartflow, Inc. and its subsidiaries (the "Company") as of December 31, 2025 and 2024, and the related consolidated statements of operations and comprehensive loss, of redeemable convertible preferred stock and stockholders' equity (deficit)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43"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Heartflow, Inc.</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Current assets</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gridSpan w:val="2"/>
            <w:shd w:val="clear" w:color="auto" w:fill="CCEEFF"/>
          </w:tcPr>
          <w:p>
            <w:pPr>
              <w:jc w:val="right"/>
              <w:ind w:right="1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44,776</w:t>
            </w:r>
          </w:p>
        </w:tc>
        <w:tc>
          <w:tcPr>
            <w:tcW w:w="4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325"/>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51,367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ind w:left="200"/>
              <w:spacing w:after="0" w:line="174" w:lineRule="exact"/>
              <w:rPr>
                <w:sz w:val="20"/>
                <w:szCs w:val="20"/>
                <w:color w:val="auto"/>
              </w:rPr>
            </w:pPr>
            <w:r>
              <w:rPr>
                <w:rFonts w:ascii="Times New Roman" w:cs="Times New Roman" w:eastAsia="Times New Roman" w:hAnsi="Times New Roman"/>
                <w:sz w:val="16"/>
                <w:szCs w:val="16"/>
                <w:color w:val="auto"/>
              </w:rPr>
              <w:t>Short-term investments</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132,010</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6" w:lineRule="exact"/>
              <w:rPr>
                <w:sz w:val="20"/>
                <w:szCs w:val="20"/>
                <w:color w:val="auto"/>
              </w:rPr>
            </w:pPr>
            <w:r>
              <w:rPr>
                <w:rFonts w:ascii="Times New Roman" w:cs="Times New Roman" w:eastAsia="Times New Roman" w:hAnsi="Times New Roman"/>
                <w:sz w:val="16"/>
                <w:szCs w:val="16"/>
                <w:color w:val="auto"/>
              </w:rPr>
              <w:t>Accounts receivable, net of allowance for credit losses of $626 and $814 at December 31, 2025 and 2024,</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29,343</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ind w:left="200"/>
              <w:spacing w:after="0" w:line="174" w:lineRule="exact"/>
              <w:rPr>
                <w:sz w:val="20"/>
                <w:szCs w:val="20"/>
                <w:color w:val="auto"/>
              </w:rPr>
            </w:pPr>
            <w:r>
              <w:rPr>
                <w:rFonts w:ascii="Times New Roman" w:cs="Times New Roman" w:eastAsia="Times New Roman" w:hAnsi="Times New Roman"/>
                <w:sz w:val="16"/>
                <w:szCs w:val="16"/>
                <w:color w:val="auto"/>
              </w:rPr>
              <w:t>Restricted cash, current</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2"/>
          </w:tcPr>
          <w:p>
            <w:pPr>
              <w:jc w:val="right"/>
              <w:ind w:right="400"/>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14,075</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6,132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Pr>
          <w:p>
            <w:pPr>
              <w:ind w:left="300"/>
              <w:spacing w:after="0" w:line="167" w:lineRule="exact"/>
              <w:rPr>
                <w:sz w:val="20"/>
                <w:szCs w:val="20"/>
                <w:color w:val="auto"/>
              </w:rPr>
            </w:pPr>
            <w:r>
              <w:rPr>
                <w:rFonts w:ascii="Times New Roman" w:cs="Times New Roman" w:eastAsia="Times New Roman" w:hAnsi="Times New Roman"/>
                <w:sz w:val="16"/>
                <w:szCs w:val="16"/>
                <w:color w:val="auto"/>
              </w:rPr>
              <w:t>Total current assets</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220,204</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82,288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Long-term investments</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103,365</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Property and equipment, net</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8,587</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8,920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17,488</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18,805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Restricted cash, non-current</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4,709</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4,325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Other non-current assets</w:t>
            </w:r>
          </w:p>
        </w:tc>
        <w:tc>
          <w:tcPr>
            <w:tcW w:w="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5,099</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4,366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420"/>
              <w:spacing w:after="0" w:line="167" w:lineRule="exact"/>
              <w:rPr>
                <w:sz w:val="20"/>
                <w:szCs w:val="20"/>
                <w:color w:val="auto"/>
              </w:rPr>
            </w:pPr>
            <w:r>
              <w:rPr>
                <w:rFonts w:ascii="Times New Roman" w:cs="Times New Roman" w:eastAsia="Times New Roman" w:hAnsi="Times New Roman"/>
                <w:sz w:val="16"/>
                <w:szCs w:val="16"/>
                <w:color w:val="auto"/>
              </w:rPr>
              <w:t>Total assets</w:t>
            </w: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359,452</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118,704</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640" w:type="dxa"/>
            <w:vAlign w:val="bottom"/>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Liabilities, Redeemable Convertible Preferred Stock and Stockholders’ Equity (Deficit)</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Current liabilities</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ind w:left="200"/>
              <w:spacing w:after="0" w:line="174" w:lineRule="exact"/>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gridSpan w:val="2"/>
          </w:tcPr>
          <w:p>
            <w:pPr>
              <w:jc w:val="right"/>
              <w:ind w:right="1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3,169</w:t>
            </w:r>
          </w:p>
        </w:tc>
        <w:tc>
          <w:tcPr>
            <w:tcW w:w="400" w:type="dxa"/>
            <w:vAlign w:val="bottom"/>
          </w:tcPr>
          <w:p>
            <w:pPr>
              <w:spacing w:after="0"/>
              <w:rPr>
                <w:sz w:val="15"/>
                <w:szCs w:val="15"/>
                <w:color w:val="auto"/>
              </w:rPr>
            </w:pPr>
          </w:p>
        </w:tc>
        <w:tc>
          <w:tcPr>
            <w:tcW w:w="460" w:type="dxa"/>
            <w:vAlign w:val="bottom"/>
            <w:gridSpan w:val="2"/>
          </w:tcPr>
          <w:p>
            <w:pPr>
              <w:jc w:val="right"/>
              <w:ind w:right="325"/>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2,870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33,279</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25,319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Borders>
              <w:bottom w:val="single" w:sz="8" w:color="CCEEFF"/>
            </w:tcBorders>
          </w:tcPr>
          <w:p>
            <w:pPr>
              <w:ind w:left="200"/>
              <w:spacing w:after="0" w:line="174" w:lineRule="exact"/>
              <w:rPr>
                <w:sz w:val="20"/>
                <w:szCs w:val="20"/>
                <w:color w:val="auto"/>
              </w:rPr>
            </w:pPr>
            <w:r>
              <w:rPr>
                <w:rFonts w:ascii="Times New Roman" w:cs="Times New Roman" w:eastAsia="Times New Roman" w:hAnsi="Times New Roman"/>
                <w:sz w:val="16"/>
                <w:szCs w:val="16"/>
                <w:color w:val="auto"/>
              </w:rPr>
              <w:t>Operating lease liabilities, current</w:t>
            </w: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5,922</w:t>
            </w:r>
          </w:p>
        </w:tc>
        <w:tc>
          <w:tcPr>
            <w:tcW w:w="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5,416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shd w:val="clear" w:color="auto" w:fill="CCEEFF"/>
          </w:tcPr>
          <w:p>
            <w:pPr>
              <w:ind w:left="300"/>
              <w:spacing w:after="0" w:line="167" w:lineRule="exact"/>
              <w:rPr>
                <w:sz w:val="20"/>
                <w:szCs w:val="20"/>
                <w:color w:val="auto"/>
              </w:rPr>
            </w:pPr>
            <w:r>
              <w:rPr>
                <w:rFonts w:ascii="Times New Roman" w:cs="Times New Roman" w:eastAsia="Times New Roman" w:hAnsi="Times New Roman"/>
                <w:sz w:val="16"/>
                <w:szCs w:val="16"/>
                <w:color w:val="auto"/>
              </w:rPr>
              <w:t>Total current liabilities</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42,370</w:t>
            </w: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33,605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Term loan</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2"/>
          </w:tcPr>
          <w:p>
            <w:pPr>
              <w:jc w:val="right"/>
              <w:ind w:right="400"/>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136,431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Common stock warrant liability</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400"/>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20,835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Operating lease liabilities, non-current</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16,132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18,537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Other non-current liabilities</w:t>
            </w:r>
          </w:p>
        </w:tc>
        <w:tc>
          <w:tcPr>
            <w:tcW w:w="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303</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Borders>
              <w:bottom w:val="single" w:sz="8" w:color="CCEEFF"/>
            </w:tcBorders>
          </w:tcPr>
          <w:p>
            <w:pPr>
              <w:ind w:left="520"/>
              <w:spacing w:after="0" w:line="167" w:lineRule="exact"/>
              <w:rPr>
                <w:sz w:val="20"/>
                <w:szCs w:val="20"/>
                <w:color w:val="auto"/>
              </w:rPr>
            </w:pPr>
            <w:r>
              <w:rPr>
                <w:rFonts w:ascii="Times New Roman" w:cs="Times New Roman" w:eastAsia="Times New Roman" w:hAnsi="Times New Roman"/>
                <w:sz w:val="16"/>
                <w:szCs w:val="16"/>
                <w:color w:val="auto"/>
              </w:rPr>
              <w:t>Total liabilities</w:t>
            </w: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58,805</w:t>
            </w:r>
          </w:p>
        </w:tc>
        <w:tc>
          <w:tcPr>
            <w:tcW w:w="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209,622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Commitments and contingencies (Note 7)</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40" w:type="dxa"/>
            <w:vAlign w:val="bottom"/>
          </w:tcPr>
          <w:p>
            <w:pPr>
              <w:spacing w:after="0" w:line="146" w:lineRule="exact"/>
              <w:rPr>
                <w:sz w:val="20"/>
                <w:szCs w:val="20"/>
                <w:color w:val="auto"/>
              </w:rPr>
            </w:pPr>
            <w:r>
              <w:rPr>
                <w:rFonts w:ascii="Times New Roman" w:cs="Times New Roman" w:eastAsia="Times New Roman" w:hAnsi="Times New Roman"/>
                <w:sz w:val="16"/>
                <w:szCs w:val="16"/>
                <w:color w:val="auto"/>
              </w:rPr>
              <w:t>Redeemable convertible preferred stock issuable in series, $0.001 par value; none and 122,231,454 shares authorized,</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6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issued and outstanding as of December 31, 2025 and 2024, respectively; aggregate liquidation value of none and</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$951,917 as of December 31, 2025 and 2024, respectively</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Stockholders’ equity (deficit)</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40" w:type="dxa"/>
            <w:vAlign w:val="bottom"/>
          </w:tcPr>
          <w:p>
            <w:pPr>
              <w:spacing w:after="0" w:line="146" w:lineRule="exact"/>
              <w:rPr>
                <w:sz w:val="20"/>
                <w:szCs w:val="20"/>
                <w:color w:val="auto"/>
              </w:rPr>
            </w:pPr>
            <w:r>
              <w:rPr>
                <w:rFonts w:ascii="Times New Roman" w:cs="Times New Roman" w:eastAsia="Times New Roman" w:hAnsi="Times New Roman"/>
                <w:sz w:val="16"/>
                <w:szCs w:val="16"/>
                <w:color w:val="auto"/>
              </w:rPr>
              <w:t>Preferred stock, $0.001 par value; 50,000,000 and no shares authorized as of December 31, 2025 and 2024,</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respectively; no shares issued and outstanding as of December 31, 2025 and 2024</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auto"/>
              </w:rPr>
              <w:t>Common stock, $0.001 par value; 250,000,000 and 210,300,000 shares authorized as of December 31, 2025 and 2024,</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respectively; 85,280,597 and 6,122,048 shares issued and outstanding as of December 31, 2025 and 2024, respectively</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Additional paid-in capital</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1,388,737</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112,241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Accumulated other comprehensive loss</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400"/>
              <w:spacing w:after="0" w:line="174" w:lineRule="exact"/>
              <w:rPr>
                <w:sz w:val="20"/>
                <w:szCs w:val="20"/>
                <w:color w:val="auto"/>
              </w:rPr>
            </w:pPr>
            <w:r>
              <w:rPr>
                <w:rFonts w:ascii="Times New Roman" w:cs="Times New Roman" w:eastAsia="Times New Roman" w:hAnsi="Times New Roman"/>
                <w:sz w:val="16"/>
                <w:szCs w:val="16"/>
                <w:color w:val="auto"/>
              </w:rPr>
              <w:t>(425)</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(772)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Accumulated deficit</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2"/>
          </w:tcPr>
          <w:p>
            <w:pPr>
              <w:jc w:val="right"/>
              <w:ind w:right="400"/>
              <w:spacing w:after="0" w:line="174" w:lineRule="exact"/>
              <w:rPr>
                <w:sz w:val="20"/>
                <w:szCs w:val="20"/>
                <w:color w:val="auto"/>
              </w:rPr>
            </w:pPr>
            <w:r>
              <w:rPr>
                <w:rFonts w:ascii="Times New Roman" w:cs="Times New Roman" w:eastAsia="Times New Roman" w:hAnsi="Times New Roman"/>
                <w:sz w:val="16"/>
                <w:szCs w:val="16"/>
                <w:color w:val="auto"/>
              </w:rPr>
              <w:t>(1,087,750)</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(970,959)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Borders>
              <w:top w:val="single" w:sz="8" w:color="CCEEFF"/>
            </w:tcBorders>
            <w:shd w:val="clear" w:color="auto" w:fill="CCEEFF"/>
          </w:tcPr>
          <w:p>
            <w:pPr>
              <w:ind w:left="300"/>
              <w:spacing w:after="0" w:line="167" w:lineRule="exact"/>
              <w:rPr>
                <w:sz w:val="20"/>
                <w:szCs w:val="20"/>
                <w:color w:val="auto"/>
              </w:rPr>
            </w:pPr>
            <w:r>
              <w:rPr>
                <w:rFonts w:ascii="Times New Roman" w:cs="Times New Roman" w:eastAsia="Times New Roman" w:hAnsi="Times New Roman"/>
                <w:sz w:val="16"/>
                <w:szCs w:val="16"/>
                <w:color w:val="auto"/>
              </w:rPr>
              <w:t>Total stockholders’ equity (deficit)</w:t>
            </w: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300,647</w:t>
            </w:r>
          </w:p>
        </w:tc>
        <w:tc>
          <w:tcPr>
            <w:tcW w:w="4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(859,484)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Pr>
          <w:p>
            <w:pPr>
              <w:ind w:left="520"/>
              <w:spacing w:after="0" w:line="167" w:lineRule="exact"/>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equity (deficit)</w:t>
            </w:r>
          </w:p>
        </w:tc>
        <w:tc>
          <w:tcPr>
            <w:tcW w:w="40" w:type="dxa"/>
            <w:vAlign w:val="bottom"/>
          </w:tcPr>
          <w:p>
            <w:pPr>
              <w:spacing w:after="0"/>
              <w:rPr>
                <w:sz w:val="14"/>
                <w:szCs w:val="14"/>
                <w:color w:val="auto"/>
              </w:rPr>
            </w:pPr>
          </w:p>
        </w:tc>
        <w:tc>
          <w:tcPr>
            <w:tcW w:w="340" w:type="dxa"/>
            <w:vAlign w:val="bottom"/>
            <w:tcBorders>
              <w:bottom w:val="single" w:sz="8" w:color="auto"/>
            </w:tcBorders>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359,452</w:t>
            </w:r>
          </w:p>
        </w:tc>
        <w:tc>
          <w:tcPr>
            <w:tcW w:w="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118,704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Heartflow, Inc.</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Consolidated Statements of Operations and Comprehensive Loss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0"/>
              <w:spacing w:after="0" w:line="167"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176,034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125,808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87,174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40,837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31,359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29,123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135,197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94,449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58,051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64,918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43,517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35,854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Borders>
              <w:bottom w:val="single" w:sz="8" w:color="CCEEFF"/>
            </w:tcBorders>
          </w:tcPr>
          <w:p>
            <w:pPr>
              <w:ind w:left="80"/>
              <w:spacing w:after="0" w:line="174"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134,345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112,154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95,111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199,263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155,671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130,965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tcPr>
          <w:p>
            <w:pPr>
              <w:ind w:left="300"/>
              <w:spacing w:after="0" w:line="167" w:lineRule="exact"/>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tcPr>
          <w:p>
            <w:pPr>
              <w:spacing w:after="0"/>
              <w:rPr>
                <w:sz w:val="14"/>
                <w:szCs w:val="14"/>
                <w:color w:val="auto"/>
              </w:rPr>
            </w:pPr>
          </w:p>
        </w:tc>
        <w:tc>
          <w:tcPr>
            <w:tcW w:w="10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(64,066)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(61,222)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(72,914)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5,538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4,066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5,457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5"/>
                <w:szCs w:val="15"/>
                <w:color w:val="auto"/>
              </w:rPr>
            </w:pPr>
          </w:p>
        </w:tc>
        <w:tc>
          <w:tcPr>
            <w:tcW w:w="118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(15,173)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(22,768)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(24,694)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Change in fair value of common stock warrant liability</w:t>
            </w: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(43,894)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(16,395)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(2,320)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30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7,311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4,158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Change in fair value of convertible note</w:t>
            </w: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tcPr>
          <w:p>
            <w:pPr>
              <w:spacing w:after="0"/>
              <w:rPr>
                <w:sz w:val="15"/>
                <w:szCs w:val="15"/>
                <w:color w:val="auto"/>
              </w:rPr>
            </w:pPr>
          </w:p>
        </w:tc>
        <w:tc>
          <w:tcPr>
            <w:tcW w:w="118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(6,360)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tcPr>
          <w:p>
            <w:pPr>
              <w:ind w:left="300"/>
              <w:spacing w:after="0" w:line="167" w:lineRule="exact"/>
              <w:rPr>
                <w:sz w:val="20"/>
                <w:szCs w:val="20"/>
                <w:color w:val="auto"/>
              </w:rPr>
            </w:pPr>
            <w:r>
              <w:rPr>
                <w:rFonts w:ascii="Times New Roman" w:cs="Times New Roman" w:eastAsia="Times New Roman" w:hAnsi="Times New Roman"/>
                <w:sz w:val="16"/>
                <w:szCs w:val="16"/>
                <w:color w:val="auto"/>
              </w:rPr>
              <w:t>Loss before provision for income taxes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(116,867)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(96,373)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(95,108)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(Provision for) benefit from income taxes</w:t>
            </w: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line="174" w:lineRule="exact"/>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300"/>
              <w:spacing w:after="0" w:line="167" w:lineRule="exact"/>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top w:val="single" w:sz="8" w:color="auto"/>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(116,791)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(96,426)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(95,655)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Cumulative dividends on Series C redeemable convertible preferred stock</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ind w:left="900"/>
              <w:spacing w:after="0" w:line="154"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(1,239)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Deemed dividend upon down round of redeemable convertible preferred stock</w:t>
            </w:r>
          </w:p>
        </w:tc>
        <w:tc>
          <w:tcPr>
            <w:tcW w:w="300" w:type="dxa"/>
            <w:vAlign w:val="bottom"/>
          </w:tcPr>
          <w:p>
            <w:pPr>
              <w:spacing w:after="0"/>
              <w:rPr>
                <w:sz w:val="15"/>
                <w:szCs w:val="15"/>
                <w:color w:val="auto"/>
              </w:rPr>
            </w:pPr>
          </w:p>
        </w:tc>
        <w:tc>
          <w:tcPr>
            <w:tcW w:w="1180" w:type="dxa"/>
            <w:vAlign w:val="bottom"/>
            <w:gridSpan w:val="2"/>
          </w:tcPr>
          <w:p>
            <w:pPr>
              <w:ind w:left="90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(26,794)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tcBorders>
              <w:top w:val="single" w:sz="8" w:color="CCEEFF"/>
              <w:bottom w:val="single" w:sz="8" w:color="CCEEFF"/>
            </w:tcBorders>
            <w:shd w:val="clear" w:color="auto" w:fill="CCEEFF"/>
          </w:tcPr>
          <w:p>
            <w:pPr>
              <w:ind w:left="300"/>
              <w:spacing w:after="0" w:line="167" w:lineRule="exact"/>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00" w:type="dxa"/>
            <w:vAlign w:val="bottom"/>
            <w:tcBorders>
              <w:top w:val="single" w:sz="8" w:color="auto"/>
              <w:bottom w:val="single" w:sz="8" w:color="auto"/>
            </w:tcBorders>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(116,791)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(96,426)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(123,688)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66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Net loss</w:t>
            </w:r>
          </w:p>
        </w:tc>
        <w:tc>
          <w:tcPr>
            <w:tcW w:w="300" w:type="dxa"/>
            <w:vAlign w:val="bottom"/>
            <w:shd w:val="clear" w:color="auto" w:fill="CCEEFF"/>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(116,791)</w:t>
            </w:r>
          </w:p>
        </w:tc>
        <w:tc>
          <w:tcPr>
            <w:tcW w:w="26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(96,426)</w:t>
            </w:r>
          </w:p>
        </w:tc>
        <w:tc>
          <w:tcPr>
            <w:tcW w:w="400" w:type="dxa"/>
            <w:vAlign w:val="bottom"/>
            <w:gridSpan w:val="2"/>
            <w:shd w:val="clear" w:color="auto" w:fill="CCEEFF"/>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(95,655)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6"/>
                <w:szCs w:val="16"/>
                <w:color w:val="auto"/>
              </w:rPr>
              <w:t>Foreign currency translation gain (loss)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ind w:left="80"/>
              <w:spacing w:after="0" w:line="174" w:lineRule="exact"/>
              <w:rPr>
                <w:sz w:val="20"/>
                <w:szCs w:val="20"/>
                <w:color w:val="auto"/>
              </w:rPr>
            </w:pPr>
            <w:r>
              <w:rPr>
                <w:rFonts w:ascii="Times New Roman" w:cs="Times New Roman" w:eastAsia="Times New Roman" w:hAnsi="Times New Roman"/>
                <w:sz w:val="16"/>
                <w:szCs w:val="16"/>
                <w:color w:val="auto"/>
              </w:rPr>
              <w:t>Unrealized gain on investments, net</w:t>
            </w:r>
          </w:p>
        </w:tc>
        <w:tc>
          <w:tcPr>
            <w:tcW w:w="30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tcBorders>
              <w:top w:val="single" w:sz="8" w:color="CCEEFF"/>
            </w:tcBorders>
            <w:shd w:val="clear" w:color="auto" w:fill="CCEEFF"/>
          </w:tcPr>
          <w:p>
            <w:pPr>
              <w:ind w:left="300"/>
              <w:spacing w:after="0" w:line="167" w:lineRule="exact"/>
              <w:rPr>
                <w:sz w:val="20"/>
                <w:szCs w:val="20"/>
                <w:color w:val="auto"/>
              </w:rPr>
            </w:pPr>
            <w:r>
              <w:rPr>
                <w:rFonts w:ascii="Times New Roman" w:cs="Times New Roman" w:eastAsia="Times New Roman" w:hAnsi="Times New Roman"/>
                <w:sz w:val="16"/>
                <w:szCs w:val="16"/>
                <w:color w:val="auto"/>
              </w:rPr>
              <w:t>Total other comprehensive income (loss)</w:t>
            </w: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347</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300"/>
              <w:spacing w:after="0" w:line="167" w:lineRule="exact"/>
              <w:rPr>
                <w:sz w:val="20"/>
                <w:szCs w:val="20"/>
                <w:color w:val="auto"/>
              </w:rPr>
            </w:pPr>
            <w:r>
              <w:rPr>
                <w:rFonts w:ascii="Times New Roman" w:cs="Times New Roman" w:eastAsia="Times New Roman" w:hAnsi="Times New Roman"/>
                <w:sz w:val="16"/>
                <w:szCs w:val="16"/>
                <w:color w:val="auto"/>
              </w:rPr>
              <w:t>Total comprehensive loss</w:t>
            </w:r>
          </w:p>
        </w:tc>
        <w:tc>
          <w:tcPr>
            <w:tcW w:w="300" w:type="dxa"/>
            <w:vAlign w:val="bottom"/>
            <w:tcBorders>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(116,444)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(96,697)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(96,159)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6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6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300" w:type="dxa"/>
            <w:vAlign w:val="bottom"/>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(3.17)</w:t>
            </w:r>
          </w:p>
        </w:tc>
        <w:tc>
          <w:tcPr>
            <w:tcW w:w="26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(17.98)</w:t>
            </w:r>
          </w:p>
        </w:tc>
        <w:tc>
          <w:tcPr>
            <w:tcW w:w="40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(25.32)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6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Weighted-average shares used to compute net loss per share attributable to common stockholders, basic</w:t>
            </w:r>
          </w:p>
        </w:tc>
        <w:tc>
          <w:tcPr>
            <w:tcW w:w="30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36,853,867</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5,363,435</w:t>
            </w: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4,885,231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diluted</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Heartflow, Inc.</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Consolidated Statements of Redeemable Convertible Preferred Stock and Stockholders’ Equity (Deficit)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680" w:type="dxa"/>
            <w:vAlign w:val="bottom"/>
          </w:tcPr>
          <w:p>
            <w:pPr>
              <w:spacing w:after="0"/>
              <w:rPr>
                <w:sz w:val="12"/>
                <w:szCs w:val="12"/>
                <w:color w:val="auto"/>
              </w:rPr>
            </w:pPr>
          </w:p>
        </w:tc>
        <w:tc>
          <w:tcPr>
            <w:tcW w:w="2140" w:type="dxa"/>
            <w:vAlign w:val="bottom"/>
            <w:tcBorders>
              <w:right w:val="single" w:sz="8" w:color="auto"/>
            </w:tcBorders>
            <w:gridSpan w:val="5"/>
          </w:tcPr>
          <w:p>
            <w:pPr>
              <w:ind w:left="240"/>
              <w:spacing w:after="0" w:line="147"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69"/>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820" w:type="dxa"/>
            <w:vAlign w:val="bottom"/>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5"/>
              </w:rPr>
              <w:t>Paid‎</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4"/>
        </w:trPr>
        <w:tc>
          <w:tcPr>
            <w:tcW w:w="2680" w:type="dxa"/>
            <w:vAlign w:val="bottom"/>
          </w:tcPr>
          <w:p>
            <w:pPr>
              <w:spacing w:after="0"/>
              <w:rPr>
                <w:sz w:val="13"/>
                <w:szCs w:val="13"/>
                <w:color w:val="auto"/>
              </w:rPr>
            </w:pPr>
          </w:p>
        </w:tc>
        <w:tc>
          <w:tcPr>
            <w:tcW w:w="1040" w:type="dxa"/>
            <w:vAlign w:val="bottom"/>
            <w:tcBorders>
              <w:top w:val="single" w:sz="8" w:color="auto"/>
            </w:tcBorders>
            <w:gridSpan w:val="2"/>
          </w:tcPr>
          <w:p>
            <w:pPr>
              <w:ind w:left="280"/>
              <w:spacing w:after="0" w:line="154"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69"/>
              <w:spacing w:after="0" w:line="154"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gridSpan w:val="2"/>
          </w:tcPr>
          <w:p>
            <w:pPr>
              <w:ind w:left="300"/>
              <w:spacing w:after="0" w:line="154" w:lineRule="exact"/>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ind w:right="320"/>
              <w:spacing w:after="0" w:line="154"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108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3"/>
                <w:szCs w:val="13"/>
                <w:color w:val="auto"/>
              </w:rPr>
            </w:pPr>
          </w:p>
        </w:tc>
        <w:tc>
          <w:tcPr>
            <w:tcW w:w="94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54"/>
        </w:trPr>
        <w:tc>
          <w:tcPr>
            <w:tcW w:w="268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Balances as of January 1, 2023</w:t>
            </w:r>
          </w:p>
        </w:tc>
        <w:tc>
          <w:tcPr>
            <w:tcW w:w="9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39,422,361</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538,423</w:t>
            </w:r>
          </w:p>
        </w:tc>
        <w:tc>
          <w:tcPr>
            <w:tcW w:w="120" w:type="dxa"/>
            <w:vAlign w:val="bottom"/>
            <w:tcBorders>
              <w:top w:val="single" w:sz="8" w:color="auto"/>
              <w:right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4,943,764</w:t>
            </w:r>
          </w:p>
        </w:tc>
        <w:tc>
          <w:tcPr>
            <w:tcW w:w="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62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jc w:val="center"/>
              <w:spacing w:after="0" w:line="154" w:lineRule="exact"/>
              <w:rPr>
                <w:sz w:val="20"/>
                <w:szCs w:val="20"/>
                <w:color w:val="auto"/>
              </w:rPr>
            </w:pPr>
            <w:r>
              <w:rPr>
                <w:rFonts w:ascii="Times New Roman" w:cs="Times New Roman" w:eastAsia="Times New Roman" w:hAnsi="Times New Roman"/>
                <w:sz w:val="14"/>
                <w:szCs w:val="14"/>
                <w:color w:val="auto"/>
                <w:w w:val="85"/>
              </w:rPr>
              <w:t>5</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98"/>
              </w:rPr>
              <w:t>58,436</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(752,084)</w:t>
            </w: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(693,640)</w:t>
            </w:r>
          </w:p>
        </w:tc>
        <w:tc>
          <w:tcPr>
            <w:tcW w:w="0" w:type="dxa"/>
            <w:vAlign w:val="bottom"/>
          </w:tcPr>
          <w:p>
            <w:pPr>
              <w:spacing w:after="0"/>
              <w:rPr>
                <w:sz w:val="1"/>
                <w:szCs w:val="1"/>
                <w:color w:val="auto"/>
              </w:rPr>
            </w:pPr>
          </w:p>
        </w:tc>
      </w:tr>
      <w:tr>
        <w:trPr>
          <w:trHeight w:val="138"/>
        </w:trPr>
        <w:tc>
          <w:tcPr>
            <w:tcW w:w="26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0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99,900</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6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Issuance of Series F redeemable convertible</w:t>
            </w: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6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preferred stock at $2.8505 per share, net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61,344,029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168,957</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costs of $5,904</w:t>
            </w:r>
          </w:p>
        </w:tc>
        <w:tc>
          <w:tcPr>
            <w:tcW w:w="9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6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Issuance of Series F-1 redeemable convertible</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6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preferred stock at $1.9098 per share upon</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convertible notes and accrued</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21,465,064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61,186</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3"/>
                <w:szCs w:val="13"/>
                <w:color w:val="auto"/>
              </w:rPr>
            </w:pPr>
          </w:p>
        </w:tc>
        <w:tc>
          <w:tcPr>
            <w:tcW w:w="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interest</w:t>
            </w: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6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Deemed dividend upon down round of</w:t>
            </w:r>
          </w:p>
        </w:tc>
        <w:tc>
          <w:tcPr>
            <w:tcW w:w="10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26,794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(26,794)</w:t>
            </w: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(102,739)</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11,874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11,874</w:t>
            </w:r>
          </w:p>
        </w:tc>
        <w:tc>
          <w:tcPr>
            <w:tcW w:w="0" w:type="dxa"/>
            <w:vAlign w:val="bottom"/>
          </w:tcPr>
          <w:p>
            <w:pPr>
              <w:spacing w:after="0"/>
              <w:rPr>
                <w:sz w:val="1"/>
                <w:szCs w:val="1"/>
                <w:color w:val="auto"/>
              </w:rPr>
            </w:pPr>
          </w:p>
        </w:tc>
      </w:tr>
      <w:tr>
        <w:trPr>
          <w:trHeight w:val="16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10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3"/>
                <w:szCs w:val="13"/>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(95,655)</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(95,655)</w:t>
            </w:r>
          </w:p>
        </w:tc>
        <w:tc>
          <w:tcPr>
            <w:tcW w:w="0" w:type="dxa"/>
            <w:vAlign w:val="bottom"/>
          </w:tcPr>
          <w:p>
            <w:pPr>
              <w:spacing w:after="0"/>
              <w:rPr>
                <w:sz w:val="1"/>
                <w:szCs w:val="1"/>
                <w:color w:val="auto"/>
              </w:rPr>
            </w:pPr>
          </w:p>
        </w:tc>
      </w:tr>
      <w:tr>
        <w:trPr>
          <w:trHeight w:val="154"/>
        </w:trPr>
        <w:tc>
          <w:tcPr>
            <w:tcW w:w="2680" w:type="dxa"/>
            <w:vAlign w:val="bottom"/>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Balances as of December 31, 2023</w:t>
            </w:r>
          </w:p>
        </w:tc>
        <w:tc>
          <w:tcPr>
            <w:tcW w:w="9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122,231,454</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768,566</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4,940,925</w:t>
            </w:r>
          </w:p>
        </w:tc>
        <w:tc>
          <w:tcPr>
            <w:tcW w:w="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4"/>
                <w:szCs w:val="14"/>
                <w:color w:val="auto"/>
                <w:w w:val="85"/>
              </w:rPr>
              <w:t>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98"/>
              </w:rPr>
              <w:t>97,465</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(501)</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(874,533)</w:t>
            </w: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(777,564)</w:t>
            </w:r>
          </w:p>
        </w:tc>
        <w:tc>
          <w:tcPr>
            <w:tcW w:w="0" w:type="dxa"/>
            <w:vAlign w:val="bottom"/>
          </w:tcPr>
          <w:p>
            <w:pPr>
              <w:spacing w:after="0"/>
              <w:rPr>
                <w:sz w:val="1"/>
                <w:szCs w:val="1"/>
                <w:color w:val="auto"/>
              </w:rPr>
            </w:pPr>
          </w:p>
        </w:tc>
      </w:tr>
      <w:tr>
        <w:trPr>
          <w:trHeight w:val="138"/>
        </w:trPr>
        <w:tc>
          <w:tcPr>
            <w:tcW w:w="26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0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1,181,123</w:t>
            </w: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0" w:type="dxa"/>
            <w:vAlign w:val="bottom"/>
          </w:tcPr>
          <w:p>
            <w:pPr>
              <w:spacing w:after="0"/>
              <w:rPr>
                <w:sz w:val="1"/>
                <w:szCs w:val="1"/>
                <w:color w:val="auto"/>
              </w:rPr>
            </w:pPr>
          </w:p>
        </w:tc>
      </w:tr>
      <w:tr>
        <w:trPr>
          <w:trHeight w:val="17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3"/>
                <w:szCs w:val="13"/>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10,213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10,213</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10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6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3"/>
                <w:szCs w:val="13"/>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(96,426)</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(96,426)</w:t>
            </w:r>
          </w:p>
        </w:tc>
        <w:tc>
          <w:tcPr>
            <w:tcW w:w="0" w:type="dxa"/>
            <w:vAlign w:val="bottom"/>
          </w:tcPr>
          <w:p>
            <w:pPr>
              <w:spacing w:after="0"/>
              <w:rPr>
                <w:sz w:val="1"/>
                <w:szCs w:val="1"/>
                <w:color w:val="auto"/>
              </w:rPr>
            </w:pPr>
          </w:p>
        </w:tc>
      </w:tr>
      <w:tr>
        <w:trPr>
          <w:trHeight w:val="154"/>
        </w:trPr>
        <w:tc>
          <w:tcPr>
            <w:tcW w:w="26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Balances as of December 31, 2024</w:t>
            </w:r>
          </w:p>
        </w:tc>
        <w:tc>
          <w:tcPr>
            <w:tcW w:w="9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122,231,454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768,566</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6,122,048</w:t>
            </w:r>
          </w:p>
        </w:tc>
        <w:tc>
          <w:tcPr>
            <w:tcW w:w="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center"/>
              <w:spacing w:after="0" w:line="154" w:lineRule="exact"/>
              <w:rPr>
                <w:sz w:val="20"/>
                <w:szCs w:val="20"/>
                <w:color w:val="auto"/>
              </w:rPr>
            </w:pPr>
            <w:r>
              <w:rPr>
                <w:rFonts w:ascii="Times New Roman" w:cs="Times New Roman" w:eastAsia="Times New Roman" w:hAnsi="Times New Roman"/>
                <w:sz w:val="14"/>
                <w:szCs w:val="14"/>
                <w:color w:val="auto"/>
                <w:w w:val="85"/>
              </w:rPr>
              <w:t>6</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112,241</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(772)</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(970,959)</w:t>
            </w: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(859,484)</w:t>
            </w:r>
          </w:p>
        </w:tc>
        <w:tc>
          <w:tcPr>
            <w:tcW w:w="0" w:type="dxa"/>
            <w:vAlign w:val="bottom"/>
          </w:tcPr>
          <w:p>
            <w:pPr>
              <w:spacing w:after="0"/>
              <w:rPr>
                <w:sz w:val="1"/>
                <w:szCs w:val="1"/>
                <w:color w:val="auto"/>
              </w:rPr>
            </w:pPr>
          </w:p>
        </w:tc>
      </w:tr>
      <w:tr>
        <w:trPr>
          <w:trHeight w:val="138"/>
        </w:trPr>
        <w:tc>
          <w:tcPr>
            <w:tcW w:w="26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Conversion of redeemable convertible</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8"/>
              </w:rPr>
              <w:t>(122,231,454)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(768,566)</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51,226,348</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51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768,515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768,566</w:t>
            </w: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to common stock upon IPO</w:t>
            </w: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6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Issuance of common stock upon IPO, net of</w:t>
            </w: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6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underwriting discounts, commissions and</w:t>
            </w:r>
          </w:p>
        </w:tc>
        <w:tc>
          <w:tcPr>
            <w:tcW w:w="10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19,166,667</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332,368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332,387</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costs</w:t>
            </w: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Borders>
              <w:right w:val="single" w:sz="8" w:color="auto"/>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6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Conversion of convertible notes to common</w:t>
            </w:r>
          </w:p>
        </w:tc>
        <w:tc>
          <w:tcPr>
            <w:tcW w:w="10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6,470,743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94,133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94,139</w:t>
            </w: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stock upon IPO, net</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exercise of common stock warrants</w:t>
            </w:r>
          </w:p>
        </w:tc>
        <w:tc>
          <w:tcPr>
            <w:tcW w:w="10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1,646,317</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64,728</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64,730</w:t>
            </w:r>
          </w:p>
        </w:tc>
        <w:tc>
          <w:tcPr>
            <w:tcW w:w="0" w:type="dxa"/>
            <w:vAlign w:val="bottom"/>
          </w:tcPr>
          <w:p>
            <w:pPr>
              <w:spacing w:after="0"/>
              <w:rPr>
                <w:sz w:val="1"/>
                <w:szCs w:val="1"/>
                <w:color w:val="auto"/>
              </w:rPr>
            </w:pPr>
          </w:p>
        </w:tc>
      </w:tr>
      <w:tr>
        <w:trPr>
          <w:trHeight w:val="138"/>
        </w:trPr>
        <w:tc>
          <w:tcPr>
            <w:tcW w:w="26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0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617,134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6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Issuance of common stock upon vesting of</w:t>
            </w: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6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restricted stock units, net of shares withheld</w:t>
            </w:r>
          </w:p>
        </w:tc>
        <w:tc>
          <w:tcPr>
            <w:tcW w:w="10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31,340</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(510)</w:t>
            </w: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taxes</w:t>
            </w: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Borders>
              <w:right w:val="single" w:sz="8" w:color="auto"/>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3"/>
                <w:szCs w:val="13"/>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13,965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13,965</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investments, net</w:t>
            </w:r>
          </w:p>
        </w:tc>
        <w:tc>
          <w:tcPr>
            <w:tcW w:w="10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6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gain</w:t>
            </w:r>
          </w:p>
        </w:tc>
        <w:tc>
          <w:tcPr>
            <w:tcW w:w="10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3"/>
                <w:szCs w:val="13"/>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(116,791)</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(116,791)</w:t>
            </w:r>
          </w:p>
        </w:tc>
        <w:tc>
          <w:tcPr>
            <w:tcW w:w="0" w:type="dxa"/>
            <w:vAlign w:val="bottom"/>
          </w:tcPr>
          <w:p>
            <w:pPr>
              <w:spacing w:after="0"/>
              <w:rPr>
                <w:sz w:val="1"/>
                <w:szCs w:val="1"/>
                <w:color w:val="auto"/>
              </w:rPr>
            </w:pPr>
          </w:p>
        </w:tc>
      </w:tr>
      <w:tr>
        <w:trPr>
          <w:trHeight w:val="154"/>
        </w:trPr>
        <w:tc>
          <w:tcPr>
            <w:tcW w:w="2680" w:type="dxa"/>
            <w:vAlign w:val="bottom"/>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Balances as of December 31, 2025</w:t>
            </w:r>
          </w:p>
        </w:tc>
        <w:tc>
          <w:tcPr>
            <w:tcW w:w="980" w:type="dxa"/>
            <w:vAlign w:val="bottom"/>
            <w:tcBorders>
              <w:top w:val="single" w:sz="8" w:color="auto"/>
              <w:bottom w:val="single" w:sz="8" w:color="auto"/>
            </w:tcBorders>
          </w:tcPr>
          <w:p>
            <w:pPr>
              <w:ind w:left="840"/>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85,280,597</w:t>
            </w:r>
          </w:p>
        </w:tc>
        <w:tc>
          <w:tcPr>
            <w:tcW w:w="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62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99"/>
              </w:rPr>
              <w:t>85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1,388,737</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(425)</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(1,087,750)</w:t>
            </w:r>
          </w:p>
        </w:tc>
        <w:tc>
          <w:tcPr>
            <w:tcW w:w="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300,647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Heartflow, Inc.</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Consolidated Statements of Cash Flows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2"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5"/>
          <w:szCs w:val="15"/>
          <w:b w:val="1"/>
          <w:bCs w:val="1"/>
          <w:color w:val="auto"/>
        </w:rPr>
        <w:t>Year Ended</w:t>
      </w:r>
    </w:p>
    <w:p>
      <w:pPr>
        <w:jc w:val="center"/>
        <w:ind w:left="7100"/>
        <w:spacing w:after="0" w:line="235" w:lineRule="auto"/>
        <w:rPr>
          <w:sz w:val="20"/>
          <w:szCs w:val="20"/>
          <w:color w:val="auto"/>
        </w:rPr>
      </w:pPr>
      <w:r>
        <w:rPr>
          <w:rFonts w:ascii="Times New Roman" w:cs="Times New Roman" w:eastAsia="Times New Roman" w:hAnsi="Times New Roman"/>
          <w:sz w:val="15"/>
          <w:szCs w:val="15"/>
          <w:b w:val="1"/>
          <w:bCs w:val="1"/>
          <w:color w:val="auto"/>
        </w:rPr>
        <w:t>December 31,</w:t>
      </w: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9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4"/>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24"/>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24"/>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Net loss</w:t>
            </w:r>
          </w:p>
        </w:tc>
        <w:tc>
          <w:tcPr>
            <w:tcW w:w="340" w:type="dxa"/>
            <w:vAlign w:val="bottom"/>
            <w:gridSpan w:val="2"/>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(116,791)</w:t>
            </w:r>
          </w:p>
        </w:tc>
        <w:tc>
          <w:tcPr>
            <w:tcW w:w="440" w:type="dxa"/>
            <w:vAlign w:val="bottom"/>
            <w:gridSpan w:val="2"/>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(96,426)</w:t>
            </w:r>
          </w:p>
        </w:tc>
        <w:tc>
          <w:tcPr>
            <w:tcW w:w="240" w:type="dxa"/>
            <w:vAlign w:val="bottom"/>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(95,655)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5,440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5,358</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4,744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13,965</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10,213</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11,874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Amortization of debt discount and debt issuance costs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5,367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1,609</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2,777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Amortization of right-of-use asset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3,133</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2,735</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2,889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Accretion of discounts on investments, net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(1,676)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Change in fair value of common stock warrant liability</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43,894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16,395</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2,320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Change in fair value of derivative liability</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(7,311)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222</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(4,158)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Change in fair value of convertible note</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5,120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Loss on extinguishment of debt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6,360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Paid-in-kind interest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144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Non-cash interest charges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1,071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2,016</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865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Change in allowance for credit losses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188</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(244)</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1,190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Changes in assets and liabilities: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300"/>
              <w:spacing w:after="0" w:line="161" w:lineRule="exact"/>
              <w:rPr>
                <w:sz w:val="20"/>
                <w:szCs w:val="20"/>
                <w:color w:val="auto"/>
              </w:rPr>
            </w:pPr>
            <w:r>
              <w:rPr>
                <w:rFonts w:ascii="Times New Roman" w:cs="Times New Roman" w:eastAsia="Times New Roman" w:hAnsi="Times New Roman"/>
                <w:sz w:val="15"/>
                <w:szCs w:val="15"/>
                <w:color w:val="auto"/>
              </w:rPr>
              <w:t>Accounts receivable, net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(4,892)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(3,849)</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(9,350)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300"/>
              <w:spacing w:after="0" w:line="161"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(7,943)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(998)</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(357)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300"/>
              <w:spacing w:after="0" w:line="161" w:lineRule="exact"/>
              <w:rPr>
                <w:sz w:val="20"/>
                <w:szCs w:val="20"/>
                <w:color w:val="auto"/>
              </w:rPr>
            </w:pPr>
            <w:r>
              <w:rPr>
                <w:rFonts w:ascii="Times New Roman" w:cs="Times New Roman" w:eastAsia="Times New Roman" w:hAnsi="Times New Roman"/>
                <w:sz w:val="15"/>
                <w:szCs w:val="15"/>
                <w:color w:val="auto"/>
              </w:rPr>
              <w:t>Other non-current assets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(733)</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(2,698)</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(402)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300"/>
              <w:spacing w:after="0" w:line="161" w:lineRule="exact"/>
              <w:rPr>
                <w:sz w:val="20"/>
                <w:szCs w:val="20"/>
                <w:color w:val="auto"/>
              </w:rPr>
            </w:pPr>
            <w:r>
              <w:rPr>
                <w:rFonts w:ascii="Times New Roman" w:cs="Times New Roman" w:eastAsia="Times New Roman" w:hAnsi="Times New Roman"/>
                <w:sz w:val="15"/>
                <w:szCs w:val="15"/>
                <w:color w:val="auto"/>
              </w:rPr>
              <w:t>Accounts payable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(327)</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(623)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300"/>
              <w:spacing w:after="0" w:line="161" w:lineRule="exact"/>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9,313</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426</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3,759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300"/>
              <w:spacing w:after="0" w:line="161"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(3,715)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(3,218)</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(1,761)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300"/>
              <w:spacing w:after="0" w:line="161" w:lineRule="exact"/>
              <w:rPr>
                <w:sz w:val="20"/>
                <w:szCs w:val="20"/>
                <w:color w:val="auto"/>
              </w:rPr>
            </w:pPr>
            <w:r>
              <w:rPr>
                <w:rFonts w:ascii="Times New Roman" w:cs="Times New Roman" w:eastAsia="Times New Roman" w:hAnsi="Times New Roman"/>
                <w:sz w:val="15"/>
                <w:szCs w:val="15"/>
                <w:color w:val="auto"/>
              </w:rPr>
              <w:t>Other non-current liabilities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89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(215)</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190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Borders>
              <w:bottom w:val="single" w:sz="8" w:color="CCEEFF"/>
            </w:tcBorders>
          </w:tcPr>
          <w:p>
            <w:pPr>
              <w:ind w:left="520"/>
              <w:spacing w:after="0" w:line="154"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(54,023)</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(69,001)</w:t>
            </w:r>
          </w:p>
        </w:tc>
        <w:tc>
          <w:tcPr>
            <w:tcW w:w="4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(76,434)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Purchase of property and equipment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(5,025)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(4,357)</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(6,105)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Purchases of investments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(233,543)</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Borders>
              <w:bottom w:val="single" w:sz="8" w:color="CCEEFF"/>
            </w:tcBorders>
          </w:tcPr>
          <w:p>
            <w:pPr>
              <w:ind w:left="520"/>
              <w:spacing w:after="0" w:line="154"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(238,568)</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(4,357)</w:t>
            </w:r>
          </w:p>
        </w:tc>
        <w:tc>
          <w:tcPr>
            <w:tcW w:w="4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(6,105)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Proceeds from issuance of Series F redeemable convertible preferred shares, net of issuance costs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168,957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Proceeds from initial public offering, net of issuance costs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332,387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Proceeds from convertible notes offering, net of issuance costs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72,769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3,298</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4,564</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589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Repayment of term loan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(115,137)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Payments of exit, prepayment penalty and lender fees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(6,764)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(2,327)</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Payment of taxes related to vested restricted stock units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(510)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Repurchase of common stock</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(228)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Borders>
              <w:bottom w:val="single" w:sz="8" w:color="CCEEFF"/>
            </w:tcBorders>
          </w:tcPr>
          <w:p>
            <w:pPr>
              <w:ind w:left="520"/>
              <w:spacing w:after="0" w:line="154"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286,043</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2,237</w:t>
            </w:r>
          </w:p>
        </w:tc>
        <w:tc>
          <w:tcPr>
            <w:tcW w:w="4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169,318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Effect of foreign exchange rates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191</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(271)</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(504)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(6,357)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(71,392)</w:t>
            </w:r>
          </w:p>
        </w:tc>
        <w:tc>
          <w:tcPr>
            <w:tcW w:w="24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86,275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Balance, beginning of period</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55,842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127,234</w:t>
            </w:r>
          </w:p>
        </w:tc>
        <w:tc>
          <w:tcPr>
            <w:tcW w:w="4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40,959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80" w:type="dxa"/>
            <w:vAlign w:val="bottom"/>
            <w:tcBorders>
              <w:bottom w:val="single" w:sz="8" w:color="CCEEFF"/>
            </w:tcBorders>
          </w:tcPr>
          <w:p>
            <w:pPr>
              <w:ind w:left="200"/>
              <w:spacing w:after="0" w:line="154" w:lineRule="exact"/>
              <w:rPr>
                <w:sz w:val="20"/>
                <w:szCs w:val="20"/>
                <w:color w:val="auto"/>
              </w:rPr>
            </w:pPr>
            <w:r>
              <w:rPr>
                <w:rFonts w:ascii="Times New Roman" w:cs="Times New Roman" w:eastAsia="Times New Roman" w:hAnsi="Times New Roman"/>
                <w:sz w:val="15"/>
                <w:szCs w:val="15"/>
                <w:color w:val="auto"/>
              </w:rPr>
              <w:t>Balance, end of period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49,485</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4"/>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55,842</w:t>
            </w:r>
          </w:p>
        </w:tc>
        <w:tc>
          <w:tcPr>
            <w:tcW w:w="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4"/>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127,234</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6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98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Cash paid for interest</w:t>
            </w:r>
          </w:p>
        </w:tc>
        <w:tc>
          <w:tcPr>
            <w:tcW w:w="340" w:type="dxa"/>
            <w:vAlign w:val="bottom"/>
            <w:gridSpan w:val="2"/>
            <w:shd w:val="clear" w:color="auto" w:fill="CCEEFF"/>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8,573</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19,163</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20,800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Purchases of property and equipment included in accounts payable</w:t>
            </w:r>
          </w:p>
        </w:tc>
        <w:tc>
          <w:tcPr>
            <w:tcW w:w="340" w:type="dxa"/>
            <w:vAlign w:val="bottom"/>
            <w:gridSpan w:val="2"/>
            <w:shd w:val="clear" w:color="auto" w:fill="CCEEFF"/>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81</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808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Right-of-use asset obtained in exchange for lease obligation</w:t>
            </w:r>
          </w:p>
        </w:tc>
        <w:tc>
          <w:tcPr>
            <w:tcW w:w="340" w:type="dxa"/>
            <w:vAlign w:val="bottom"/>
            <w:gridSpan w:val="2"/>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1,816</w:t>
            </w:r>
          </w:p>
        </w:tc>
        <w:tc>
          <w:tcPr>
            <w:tcW w:w="220" w:type="dxa"/>
            <w:vAlign w:val="bottom"/>
          </w:tcPr>
          <w:p>
            <w:pPr>
              <w:spacing w:after="0"/>
              <w:rPr>
                <w:sz w:val="13"/>
                <w:szCs w:val="13"/>
                <w:color w:val="auto"/>
              </w:rPr>
            </w:pPr>
          </w:p>
        </w:tc>
        <w:tc>
          <w:tcPr>
            <w:tcW w:w="440" w:type="dxa"/>
            <w:vAlign w:val="bottom"/>
            <w:gridSpan w:val="2"/>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579</w:t>
            </w:r>
          </w:p>
        </w:tc>
        <w:tc>
          <w:tcPr>
            <w:tcW w:w="420" w:type="dxa"/>
            <w:vAlign w:val="bottom"/>
          </w:tcPr>
          <w:p>
            <w:pPr>
              <w:spacing w:after="0"/>
              <w:rPr>
                <w:sz w:val="13"/>
                <w:szCs w:val="13"/>
                <w:color w:val="auto"/>
              </w:rPr>
            </w:pPr>
          </w:p>
        </w:tc>
        <w:tc>
          <w:tcPr>
            <w:tcW w:w="240" w:type="dxa"/>
            <w:vAlign w:val="bottom"/>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Conversion of redeemable convertible preferred stock to common stock upon IPO</w:t>
            </w:r>
          </w:p>
        </w:tc>
        <w:tc>
          <w:tcPr>
            <w:tcW w:w="340" w:type="dxa"/>
            <w:vAlign w:val="bottom"/>
            <w:gridSpan w:val="2"/>
            <w:shd w:val="clear" w:color="auto" w:fill="CCEEFF"/>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768,566</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Conversion of convertible notes to common stock upon IPO</w:t>
            </w:r>
          </w:p>
        </w:tc>
        <w:tc>
          <w:tcPr>
            <w:tcW w:w="340" w:type="dxa"/>
            <w:vAlign w:val="bottom"/>
            <w:gridSpan w:val="2"/>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94,139</w:t>
            </w:r>
          </w:p>
        </w:tc>
        <w:tc>
          <w:tcPr>
            <w:tcW w:w="220" w:type="dxa"/>
            <w:vAlign w:val="bottom"/>
          </w:tcPr>
          <w:p>
            <w:pPr>
              <w:spacing w:after="0"/>
              <w:rPr>
                <w:sz w:val="13"/>
                <w:szCs w:val="13"/>
                <w:color w:val="auto"/>
              </w:rPr>
            </w:pPr>
          </w:p>
        </w:tc>
        <w:tc>
          <w:tcPr>
            <w:tcW w:w="440" w:type="dxa"/>
            <w:vAlign w:val="bottom"/>
            <w:gridSpan w:val="2"/>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Conversion of term loan principal to convertible notes</w:t>
            </w:r>
          </w:p>
        </w:tc>
        <w:tc>
          <w:tcPr>
            <w:tcW w:w="340" w:type="dxa"/>
            <w:vAlign w:val="bottom"/>
            <w:gridSpan w:val="2"/>
            <w:shd w:val="clear" w:color="auto" w:fill="CCEEFF"/>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23,000</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Reclassification of warrant liability to common stock upon net exercise</w:t>
            </w:r>
          </w:p>
        </w:tc>
        <w:tc>
          <w:tcPr>
            <w:tcW w:w="340" w:type="dxa"/>
            <w:vAlign w:val="bottom"/>
            <w:gridSpan w:val="2"/>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64,729</w:t>
            </w:r>
          </w:p>
        </w:tc>
        <w:tc>
          <w:tcPr>
            <w:tcW w:w="220" w:type="dxa"/>
            <w:vAlign w:val="bottom"/>
          </w:tcPr>
          <w:p>
            <w:pPr>
              <w:spacing w:after="0"/>
              <w:rPr>
                <w:sz w:val="13"/>
                <w:szCs w:val="13"/>
                <w:color w:val="auto"/>
              </w:rPr>
            </w:pPr>
          </w:p>
        </w:tc>
        <w:tc>
          <w:tcPr>
            <w:tcW w:w="440" w:type="dxa"/>
            <w:vAlign w:val="bottom"/>
            <w:gridSpan w:val="2"/>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Issuance of convertible notes to certain employees in lieu of cash compensation</w:t>
            </w:r>
          </w:p>
        </w:tc>
        <w:tc>
          <w:tcPr>
            <w:tcW w:w="340" w:type="dxa"/>
            <w:vAlign w:val="bottom"/>
            <w:gridSpan w:val="2"/>
            <w:shd w:val="clear" w:color="auto" w:fill="CCEEFF"/>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1,353</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Reclassification of term loan debt discount to convertible notes debt discount</w:t>
            </w:r>
          </w:p>
        </w:tc>
        <w:tc>
          <w:tcPr>
            <w:tcW w:w="340" w:type="dxa"/>
            <w:vAlign w:val="bottom"/>
            <w:gridSpan w:val="2"/>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239</w:t>
            </w:r>
          </w:p>
        </w:tc>
        <w:tc>
          <w:tcPr>
            <w:tcW w:w="220" w:type="dxa"/>
            <w:vAlign w:val="bottom"/>
          </w:tcPr>
          <w:p>
            <w:pPr>
              <w:spacing w:after="0"/>
              <w:rPr>
                <w:sz w:val="13"/>
                <w:szCs w:val="13"/>
                <w:color w:val="auto"/>
              </w:rPr>
            </w:pPr>
          </w:p>
        </w:tc>
        <w:tc>
          <w:tcPr>
            <w:tcW w:w="440" w:type="dxa"/>
            <w:vAlign w:val="bottom"/>
            <w:gridSpan w:val="2"/>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Derecognition of derivative liability in connection with debt refinancing</w:t>
            </w:r>
          </w:p>
        </w:tc>
        <w:tc>
          <w:tcPr>
            <w:tcW w:w="340" w:type="dxa"/>
            <w:vAlign w:val="bottom"/>
            <w:gridSpan w:val="2"/>
            <w:shd w:val="clear" w:color="auto" w:fill="CCEEFF"/>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1,125</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Unpaid deferred offering costs included in accounts payable and accrued expenses and other current liabilities</w:t>
            </w:r>
          </w:p>
        </w:tc>
        <w:tc>
          <w:tcPr>
            <w:tcW w:w="340" w:type="dxa"/>
            <w:vAlign w:val="bottom"/>
            <w:gridSpan w:val="2"/>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413</w:t>
            </w:r>
          </w:p>
        </w:tc>
        <w:tc>
          <w:tcPr>
            <w:tcW w:w="420" w:type="dxa"/>
            <w:vAlign w:val="bottom"/>
          </w:tcPr>
          <w:p>
            <w:pPr>
              <w:spacing w:after="0"/>
              <w:rPr>
                <w:sz w:val="13"/>
                <w:szCs w:val="13"/>
                <w:color w:val="auto"/>
              </w:rPr>
            </w:pPr>
          </w:p>
        </w:tc>
        <w:tc>
          <w:tcPr>
            <w:tcW w:w="240" w:type="dxa"/>
            <w:vAlign w:val="bottom"/>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Reduction in right-of-use asset and lease obligation due to amendment in lease terms</w:t>
            </w:r>
          </w:p>
        </w:tc>
        <w:tc>
          <w:tcPr>
            <w:tcW w:w="340" w:type="dxa"/>
            <w:vAlign w:val="bottom"/>
            <w:gridSpan w:val="2"/>
            <w:shd w:val="clear" w:color="auto" w:fill="CCEEFF"/>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1,776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Deemed dividend upon down round of redeemable convertible preferred stock</w:t>
            </w:r>
          </w:p>
        </w:tc>
        <w:tc>
          <w:tcPr>
            <w:tcW w:w="340" w:type="dxa"/>
            <w:vAlign w:val="bottom"/>
            <w:gridSpan w:val="2"/>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26,794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5"/>
                <w:szCs w:val="15"/>
                <w:color w:val="auto"/>
              </w:rPr>
              <w:t>Conversion of convertible note into Series F-1 redeemable convertible preferred stock</w:t>
            </w:r>
          </w:p>
        </w:tc>
        <w:tc>
          <w:tcPr>
            <w:tcW w:w="340" w:type="dxa"/>
            <w:vAlign w:val="bottom"/>
            <w:gridSpan w:val="2"/>
            <w:shd w:val="clear" w:color="auto" w:fill="CCEEFF"/>
          </w:tcPr>
          <w:p>
            <w:pPr>
              <w:jc w:val="right"/>
              <w:ind w:right="106"/>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4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61,186</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Business Overview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8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HeartFlow Holding, Inc. was incorporated in the state of Delaware in July 2007 as Cardiovascular Simulation, Inc. and changed its name to HeartFlow, Inc. in May 2009. On March 1, 2021, HeartFlow, Inc. completed an internal reorganization in which a newly formed parent holding company, HeartFlow Holding, Inc., was established.</w:t>
      </w:r>
    </w:p>
    <w:p>
      <w:pPr>
        <w:spacing w:after="0" w:line="143"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On July 17, 2025, HeartFlow Holding, Inc.’s stockholders and Board of Directors approved the consolidation of HeartFlow Holding, Inc. with and into HeartFlow, Inc., with HeartFlow, Inc. continuing as the surviving company. The previous holders of HeartFlow Holding, Inc.’s common stock and preferred securities became holders of HeartFlow, Inc.’s common stock and preferred securities based on a 1-to-1 conversion ratio, and the equity incentive plan, outstanding equity awards, outstanding warrants and certain other equity-related agreements of HeartFlow Holding, Inc. were assumed by HeartFlow, Inc. In connection with this consolidation, HeartFlow, Inc. changed its name to Heartflow, Inc. (the “Company”).</w:t>
      </w:r>
    </w:p>
    <w:p>
      <w:pPr>
        <w:spacing w:after="0" w:line="157"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The Company is a commercial-stage medical technology company that provides software and artificial intelligence (“AI”) designed to deliver a non-invasive solution for diagnosing and managing coronary artery disease (“CAD”). The Company’s novel Heartflow Platform uses AI and advanced computational fluid dynamics to create a personalized 3D model of a patient’s heart based off a single coronary computed tomography angiography (“CCTA”). This results in actionable data on blood flow, stenosis, plaque volume and plaque composition. The Company’s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Plaque Analysis software</w:t>
      </w:r>
    </w:p>
    <w:p>
      <w:pPr>
        <w:ind w:right="80"/>
        <w:spacing w:after="0" w:line="198" w:lineRule="auto"/>
        <w:rPr>
          <w:sz w:val="20"/>
          <w:szCs w:val="20"/>
          <w:color w:val="auto"/>
        </w:rPr>
      </w:pPr>
      <w:r>
        <w:rPr>
          <w:rFonts w:ascii="Times New Roman" w:cs="Times New Roman" w:eastAsia="Times New Roman" w:hAnsi="Times New Roman"/>
          <w:sz w:val="17"/>
          <w:szCs w:val="17"/>
          <w:color w:val="auto"/>
        </w:rPr>
        <w:t>assists physicians in diagnosing, managing and delivering precision care to patients with CAD. The Company was awarded Conformité Européene Mark for its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in July 2011. The Company received clearance from the U.S. Food and Drug Administration (“FDA”) in November 2014 for</w:t>
      </w:r>
    </w:p>
    <w:p>
      <w:pPr>
        <w:spacing w:after="0" w:line="181" w:lineRule="auto"/>
        <w:rPr>
          <w:sz w:val="20"/>
          <w:szCs w:val="20"/>
          <w:color w:val="auto"/>
        </w:rPr>
      </w:pPr>
      <w:r>
        <w:rPr>
          <w:rFonts w:ascii="Times New Roman" w:cs="Times New Roman" w:eastAsia="Times New Roman" w:hAnsi="Times New Roman"/>
          <w:sz w:val="17"/>
          <w:szCs w:val="17"/>
          <w:color w:val="auto"/>
        </w:rPr>
        <w:t>its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in October 2022 for its Plaque Analysis.</w:t>
      </w:r>
    </w:p>
    <w:p>
      <w:pPr>
        <w:spacing w:after="0" w:line="165"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8"/>
          <w:szCs w:val="18"/>
          <w:color w:val="auto"/>
        </w:rPr>
        <w:t>The Company’s headquarters is located in Mountain View, California, and the Company also has offices in Santa Rosa, San Francisco, and Rohnert Park, California, Austin, Texas, and Tokyo, Japan.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wholly-owned subsidiaries as of December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400" w:type="dxa"/>
            <w:vAlign w:val="bottom"/>
            <w:tcBorders>
              <w:top w:val="single" w:sz="8" w:color="auto"/>
              <w:bottom w:val="single" w:sz="8" w:color="auto"/>
            </w:tcBorders>
          </w:tcPr>
          <w:p>
            <w:pPr>
              <w:ind w:left="226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100" w:type="dxa"/>
            <w:vAlign w:val="bottom"/>
            <w:tcBorders>
              <w:top w:val="single" w:sz="8" w:color="auto"/>
            </w:tcBorders>
          </w:tcPr>
          <w:p>
            <w:pPr>
              <w:spacing w:after="0"/>
              <w:rPr>
                <w:sz w:val="16"/>
                <w:szCs w:val="16"/>
                <w:color w:val="auto"/>
              </w:rPr>
            </w:pPr>
          </w:p>
        </w:tc>
        <w:tc>
          <w:tcPr>
            <w:tcW w:w="5720" w:type="dxa"/>
            <w:vAlign w:val="bottom"/>
            <w:tcBorders>
              <w:top w:val="single" w:sz="8" w:color="auto"/>
              <w:bottom w:val="single" w:sz="8" w:color="auto"/>
            </w:tcBorders>
          </w:tcPr>
          <w:p>
            <w:pPr>
              <w:ind w:left="1980"/>
              <w:spacing w:after="0"/>
              <w:rPr>
                <w:sz w:val="20"/>
                <w:szCs w:val="20"/>
                <w:color w:val="auto"/>
              </w:rPr>
            </w:pPr>
            <w:r>
              <w:rPr>
                <w:rFonts w:ascii="Times New Roman" w:cs="Times New Roman" w:eastAsia="Times New Roman" w:hAnsi="Times New Roman"/>
                <w:sz w:val="16"/>
                <w:szCs w:val="16"/>
                <w:b w:val="1"/>
                <w:bCs w:val="1"/>
                <w:color w:val="auto"/>
              </w:rPr>
              <w:t>Country of Incorporation</w:t>
            </w:r>
          </w:p>
        </w:tc>
      </w:tr>
      <w:tr>
        <w:trPr>
          <w:trHeight w:val="187"/>
        </w:trPr>
        <w:tc>
          <w:tcPr>
            <w:tcW w:w="20" w:type="dxa"/>
            <w:vAlign w:val="bottom"/>
          </w:tcPr>
          <w:p>
            <w:pPr>
              <w:spacing w:after="0"/>
              <w:rPr>
                <w:sz w:val="16"/>
                <w:szCs w:val="16"/>
                <w:color w:val="auto"/>
              </w:rPr>
            </w:pPr>
          </w:p>
        </w:tc>
        <w:tc>
          <w:tcPr>
            <w:tcW w:w="54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HeartFlow Japan G.K.</w:t>
            </w:r>
          </w:p>
        </w:tc>
        <w:tc>
          <w:tcPr>
            <w:tcW w:w="100" w:type="dxa"/>
            <w:vAlign w:val="bottom"/>
          </w:tcPr>
          <w:p>
            <w:pPr>
              <w:spacing w:after="0"/>
              <w:rPr>
                <w:sz w:val="16"/>
                <w:szCs w:val="16"/>
                <w:color w:val="auto"/>
              </w:rPr>
            </w:pPr>
          </w:p>
        </w:tc>
        <w:tc>
          <w:tcPr>
            <w:tcW w:w="57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Japan</w:t>
            </w:r>
          </w:p>
        </w:tc>
      </w:tr>
      <w:tr>
        <w:trPr>
          <w:trHeight w:val="187"/>
        </w:trPr>
        <w:tc>
          <w:tcPr>
            <w:tcW w:w="20" w:type="dxa"/>
            <w:vAlign w:val="bottom"/>
          </w:tcPr>
          <w:p>
            <w:pPr>
              <w:spacing w:after="0"/>
              <w:rPr>
                <w:sz w:val="16"/>
                <w:szCs w:val="16"/>
                <w:color w:val="auto"/>
              </w:rPr>
            </w:pPr>
          </w:p>
        </w:tc>
        <w:tc>
          <w:tcPr>
            <w:tcW w:w="54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HeartFlow U.K. Ltd</w:t>
            </w:r>
          </w:p>
        </w:tc>
        <w:tc>
          <w:tcPr>
            <w:tcW w:w="5820" w:type="dxa"/>
            <w:vAlign w:val="bottom"/>
            <w:gridSpan w:val="2"/>
            <w:shd w:val="clear" w:color="auto" w:fill="CCEEFF"/>
          </w:tcPr>
          <w:p>
            <w:pPr>
              <w:ind w:left="100"/>
              <w:spacing w:after="0" w:line="187" w:lineRule="exact"/>
              <w:rPr>
                <w:sz w:val="20"/>
                <w:szCs w:val="20"/>
                <w:color w:val="auto"/>
              </w:rPr>
            </w:pPr>
            <w:r>
              <w:rPr>
                <w:rFonts w:ascii="Times New Roman" w:cs="Times New Roman" w:eastAsia="Times New Roman" w:hAnsi="Times New Roman"/>
                <w:sz w:val="18"/>
                <w:szCs w:val="18"/>
                <w:color w:val="auto"/>
              </w:rPr>
              <w:t>United Kingdom</w:t>
            </w:r>
          </w:p>
        </w:tc>
      </w:tr>
    </w:tbl>
    <w:p>
      <w:pPr>
        <w:spacing w:after="0" w:line="182"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Effective November 2025, HeartFlow Technology U.K. Limited, a wholly-owned subsidiary in the United Kingdom, was dissolved. Effective July 2024, HeartFlow International Sarl, a wholly-owned subsidiary in Switzerland, was dissolved.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84"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On July 31, 2025, the Company’s Board of Directors approved an amendment to the Company’s amended and restated certificate of incorporation to immediately effect a reverse stock split of the shares of the Company’s outstanding common stock at a ratio of 1.0-for-2.92 (the “Reverse Stock Split”). The number of authorized shares and par value per share were not adjusted as a result of the Reverse Stock Split. All references to shares, options to purchase common stock, share amounts, per share amount, and related information contained in the consolidated financial statements have been retrospectively adjusted to reflect the effect of the Reverse Stock Split for all periods presented. 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automatically convert into shares of common stock upon the closing of the Company’s initial public offering (the “IPO”) of common stock, were proportionally adjusted.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8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On August 11, 2025, the Company completed its IPO of 19,166,667 shares of its common stock, which included an additional 2,500,000 shares of common stock purchased by the underwriters pursuant to their option to purchase additional shares, at a price to the public of $19.00 per share. The gross proceeds to the Company from the IPO were approximately $364.2 million, before deducting underwriting discounts and commissions and offering expenses payable by the Company of $31.8 million. Immediately prior to the closing of the Company’s IPO, all of the outstanding shares of the Company’s redeemable convertible preferred stock converted into shares of the Company’s common stock. Additionally, upon the closing of the Company’s IPO, the aggregate outstanding principal balance under the 2025 Convertible Notes (as defined in Note 2) automatically converted into shares of the Company’s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4"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from operations since its inception and has an accumulated deficit of $1.1 billion as of December 31, 2025. The Company expects to incur losses for the foreseeable future. Historically, the Company’s activities have been financed through sales of shares of redeemable convertible preferred stock, common stock and convertible promissory notes, borrowings under term loans and revenue received from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$280.2 million in cash and cash equivalents and investments in available-for-sale securities.</w:t>
      </w:r>
    </w:p>
    <w:p>
      <w:pPr>
        <w:spacing w:after="0" w:line="167"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8"/>
          <w:szCs w:val="18"/>
          <w:color w:val="auto"/>
        </w:rPr>
        <w:t>Based on the Company’s current operating plan, the Company believes that the expected cash generated from revenue transactions with customers and its existing cash and cash equivalents and available-for-sale securities will be sufficient to fund the Company’s planned operating expenses and capital expenditure requirements for at least the next 12 months from the date these consolidated financial statements were available to be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Summary of Significant Accounting Policies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as well as its wholly owned subsidiaries and have been prepared in accordance with accounting principles generally accepted in the United States of America (“U.S. GAAP”). All significant intercompany balances and transactions have been eliminated in consolidation.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Management uses significant judgment when making estimates in the determination of stock-based compensation, deferred income tax valuation allowance, capitalized internal-use software, depreciation of property and equipment, allowance for credit losses, revenue recognition, valuation of operating lease right-of-use (“ROU”) assets and operating lease liabilities, common stock warrant liability and for periods prior to the Company’s IPO, the fair value of convertible debt, the valuation of common stock and derivative liability. Management evaluates its estimates and assumptions on an ongoing basis using historical experience and other factors and adjusts those estimates and assumptions as facts and circumstances dictate. Actual results could materially differ from those estimates.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1" w:lineRule="exact"/>
        <w:rPr>
          <w:sz w:val="20"/>
          <w:szCs w:val="20"/>
          <w:color w:val="auto"/>
        </w:rPr>
      </w:pPr>
    </w:p>
    <w:p>
      <w:pPr>
        <w:jc w:val="both"/>
        <w:ind w:right="160"/>
        <w:spacing w:after="0" w:line="229"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non-invasive CAD detection solutions. The Company’s Chief Executive Officer, who is the Chief Operating Decision Maker (“CODM”), reviews financial information, including revenue and net loss, presented on a</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color w:val="auto"/>
        </w:rPr>
        <w:t>consolidated basis for purposes of making operating decisions, allocating resources and evaluating financial performance.</w:t>
      </w:r>
    </w:p>
    <w:p>
      <w:pPr>
        <w:spacing w:after="0" w:line="160"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8"/>
          <w:szCs w:val="18"/>
          <w:color w:val="auto"/>
        </w:rPr>
        <w:t>The Company’s measure of segment profit or loss is consolidated net loss, which is used by the CODM to measure actual results versus expectations, set performance metrics, and develop the annual budget to achieve the Company’s long-term objectives. Significant segment expenses within consolidated net loss includes cost of revenue, research and development, and selling, general and administrative expenses, which are each separately presented on the Company’s consolidated statements of operations and comprehensive loss. Other expense items that are presented on the consolidated statements of operations include interest income, interest expense, changes in fair value of warrant liability, change in fair value of derivative liability, loss on extinguishment of debt, other income, net, and provision for income taxes.</w:t>
      </w:r>
    </w:p>
    <w:p>
      <w:pPr>
        <w:spacing w:after="0" w:line="159"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18"/>
          <w:szCs w:val="18"/>
          <w:color w:val="auto"/>
        </w:rPr>
        <w:t>The following table is representative of the significant expense categories regularly provided to the CODM when managing the Company’s single reporting segment and includes a reconciliation to the consolidated net loss shown in the consolidated statements of operations and comprehensive loss for the years ended December 31, 2025, 2024 and 2023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7"/>
        </w:trPr>
        <w:tc>
          <w:tcPr>
            <w:tcW w:w="49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49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Revenue</w:t>
            </w:r>
          </w:p>
        </w:tc>
        <w:tc>
          <w:tcPr>
            <w:tcW w:w="18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176,034</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125,808</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87,174</w:t>
            </w:r>
          </w:p>
        </w:tc>
      </w:tr>
      <w:tr>
        <w:trPr>
          <w:trHeight w:val="227"/>
        </w:trPr>
        <w:tc>
          <w:tcPr>
            <w:tcW w:w="490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Less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74"/>
        </w:trPr>
        <w:tc>
          <w:tcPr>
            <w:tcW w:w="490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6"/>
                <w:szCs w:val="16"/>
                <w:color w:val="auto"/>
              </w:rPr>
              <w:t>Cost of revenue</w:t>
            </w:r>
          </w:p>
        </w:tc>
        <w:tc>
          <w:tcPr>
            <w:tcW w:w="1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40,837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31,359</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29,123</w:t>
            </w:r>
          </w:p>
        </w:tc>
      </w:tr>
      <w:tr>
        <w:trPr>
          <w:trHeight w:val="174"/>
        </w:trPr>
        <w:tc>
          <w:tcPr>
            <w:tcW w:w="4900" w:type="dxa"/>
            <w:vAlign w:val="bottom"/>
          </w:tcPr>
          <w:p>
            <w:pPr>
              <w:ind w:left="200"/>
              <w:spacing w:after="0" w:line="174" w:lineRule="exact"/>
              <w:rPr>
                <w:sz w:val="20"/>
                <w:szCs w:val="20"/>
                <w:color w:val="auto"/>
              </w:rPr>
            </w:pPr>
            <w:r>
              <w:rPr>
                <w:rFonts w:ascii="Times New Roman" w:cs="Times New Roman" w:eastAsia="Times New Roman" w:hAnsi="Times New Roman"/>
                <w:sz w:val="16"/>
                <w:szCs w:val="16"/>
                <w:color w:val="auto"/>
              </w:rPr>
              <w:t>Research and development expenses</w:t>
            </w: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4"/>
        </w:trPr>
        <w:tc>
          <w:tcPr>
            <w:tcW w:w="4900" w:type="dxa"/>
            <w:vAlign w:val="bottom"/>
            <w:shd w:val="clear" w:color="auto" w:fill="CCEEFF"/>
          </w:tcPr>
          <w:p>
            <w:pPr>
              <w:ind w:left="400"/>
              <w:spacing w:after="0" w:line="174" w:lineRule="exact"/>
              <w:rPr>
                <w:sz w:val="20"/>
                <w:szCs w:val="20"/>
                <w:color w:val="auto"/>
              </w:rPr>
            </w:pPr>
            <w:r>
              <w:rPr>
                <w:rFonts w:ascii="Times New Roman" w:cs="Times New Roman" w:eastAsia="Times New Roman" w:hAnsi="Times New Roman"/>
                <w:sz w:val="16"/>
                <w:szCs w:val="16"/>
                <w:color w:val="auto"/>
              </w:rPr>
              <w:t>Research and development</w:t>
            </w:r>
          </w:p>
        </w:tc>
        <w:tc>
          <w:tcPr>
            <w:tcW w:w="1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38,673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25,983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22,330</w:t>
            </w:r>
          </w:p>
        </w:tc>
      </w:tr>
      <w:tr>
        <w:trPr>
          <w:trHeight w:val="174"/>
        </w:trPr>
        <w:tc>
          <w:tcPr>
            <w:tcW w:w="4900" w:type="dxa"/>
            <w:vAlign w:val="bottom"/>
          </w:tcPr>
          <w:p>
            <w:pPr>
              <w:ind w:left="400"/>
              <w:spacing w:after="0" w:line="174" w:lineRule="exact"/>
              <w:rPr>
                <w:sz w:val="20"/>
                <w:szCs w:val="20"/>
                <w:color w:val="auto"/>
              </w:rPr>
            </w:pPr>
            <w:r>
              <w:rPr>
                <w:rFonts w:ascii="Times New Roman" w:cs="Times New Roman" w:eastAsia="Times New Roman" w:hAnsi="Times New Roman"/>
                <w:sz w:val="16"/>
                <w:szCs w:val="16"/>
                <w:color w:val="auto"/>
              </w:rPr>
              <w:t>Regulatory and clinical</w:t>
            </w: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26,245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17,534</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13,524</w:t>
            </w:r>
          </w:p>
        </w:tc>
      </w:tr>
      <w:tr>
        <w:trPr>
          <w:trHeight w:val="174"/>
        </w:trPr>
        <w:tc>
          <w:tcPr>
            <w:tcW w:w="490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4"/>
        </w:trPr>
        <w:tc>
          <w:tcPr>
            <w:tcW w:w="4900" w:type="dxa"/>
            <w:vAlign w:val="bottom"/>
          </w:tcPr>
          <w:p>
            <w:pPr>
              <w:ind w:left="400"/>
              <w:spacing w:after="0" w:line="174" w:lineRule="exact"/>
              <w:rPr>
                <w:sz w:val="20"/>
                <w:szCs w:val="20"/>
                <w:color w:val="auto"/>
              </w:rPr>
            </w:pPr>
            <w:r>
              <w:rPr>
                <w:rFonts w:ascii="Times New Roman" w:cs="Times New Roman" w:eastAsia="Times New Roman" w:hAnsi="Times New Roman"/>
                <w:sz w:val="16"/>
                <w:szCs w:val="16"/>
                <w:color w:val="auto"/>
              </w:rPr>
              <w:t>Sales</w:t>
            </w: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75,709</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66,895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53,374</w:t>
            </w:r>
          </w:p>
        </w:tc>
      </w:tr>
      <w:tr>
        <w:trPr>
          <w:trHeight w:val="174"/>
        </w:trPr>
        <w:tc>
          <w:tcPr>
            <w:tcW w:w="4900" w:type="dxa"/>
            <w:vAlign w:val="bottom"/>
            <w:shd w:val="clear" w:color="auto" w:fill="CCEEFF"/>
          </w:tcPr>
          <w:p>
            <w:pPr>
              <w:ind w:left="400"/>
              <w:spacing w:after="0" w:line="174" w:lineRule="exact"/>
              <w:rPr>
                <w:sz w:val="20"/>
                <w:szCs w:val="20"/>
                <w:color w:val="auto"/>
              </w:rPr>
            </w:pPr>
            <w:r>
              <w:rPr>
                <w:rFonts w:ascii="Times New Roman" w:cs="Times New Roman" w:eastAsia="Times New Roman" w:hAnsi="Times New Roman"/>
                <w:sz w:val="16"/>
                <w:szCs w:val="16"/>
                <w:color w:val="auto"/>
              </w:rPr>
              <w:t>Marketing</w:t>
            </w:r>
          </w:p>
        </w:tc>
        <w:tc>
          <w:tcPr>
            <w:tcW w:w="1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19,146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14,470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9,949</w:t>
            </w:r>
          </w:p>
        </w:tc>
      </w:tr>
      <w:tr>
        <w:trPr>
          <w:trHeight w:val="174"/>
        </w:trPr>
        <w:tc>
          <w:tcPr>
            <w:tcW w:w="4900" w:type="dxa"/>
            <w:vAlign w:val="bottom"/>
            <w:tcBorders>
              <w:bottom w:val="single" w:sz="8" w:color="CCEEFF"/>
            </w:tcBorders>
          </w:tcPr>
          <w:p>
            <w:pPr>
              <w:ind w:left="400"/>
              <w:spacing w:after="0" w:line="174" w:lineRule="exact"/>
              <w:rPr>
                <w:sz w:val="20"/>
                <w:szCs w:val="20"/>
                <w:color w:val="auto"/>
              </w:rPr>
            </w:pPr>
            <w:r>
              <w:rPr>
                <w:rFonts w:ascii="Times New Roman" w:cs="Times New Roman" w:eastAsia="Times New Roman" w:hAnsi="Times New Roman"/>
                <w:sz w:val="16"/>
                <w:szCs w:val="16"/>
                <w:color w:val="auto"/>
              </w:rPr>
              <w:t>General and administrative</w:t>
            </w:r>
          </w:p>
        </w:tc>
        <w:tc>
          <w:tcPr>
            <w:tcW w:w="1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39,490</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30,789</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31,788</w:t>
            </w:r>
          </w:p>
        </w:tc>
      </w:tr>
      <w:tr>
        <w:trPr>
          <w:trHeight w:val="167"/>
        </w:trPr>
        <w:tc>
          <w:tcPr>
            <w:tcW w:w="490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6"/>
                <w:szCs w:val="16"/>
                <w:color w:val="auto"/>
              </w:rPr>
              <w:t>Loss from operations</w:t>
            </w:r>
          </w:p>
        </w:tc>
        <w:tc>
          <w:tcPr>
            <w:tcW w:w="1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(64,066)</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(61,222)</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(72,914)</w:t>
            </w:r>
          </w:p>
        </w:tc>
      </w:tr>
      <w:tr>
        <w:trPr>
          <w:trHeight w:val="227"/>
        </w:trPr>
        <w:tc>
          <w:tcPr>
            <w:tcW w:w="4900" w:type="dxa"/>
            <w:vAlign w:val="bottom"/>
          </w:tcPr>
          <w:p>
            <w:pPr>
              <w:ind w:left="400"/>
              <w:spacing w:after="0" w:line="227" w:lineRule="exact"/>
              <w:rPr>
                <w:sz w:val="20"/>
                <w:szCs w:val="20"/>
                <w:color w:val="auto"/>
              </w:rPr>
            </w:pPr>
            <w:r>
              <w:rPr>
                <w:rFonts w:ascii="Times New Roman" w:cs="Times New Roman" w:eastAsia="Times New Roman" w:hAnsi="Times New Roman"/>
                <w:sz w:val="16"/>
                <w:szCs w:val="16"/>
                <w:color w:val="auto"/>
              </w:rPr>
              <w:t>Other income (expense), net</w:t>
            </w:r>
            <w:r>
              <w:rPr>
                <w:rFonts w:ascii="Times New Roman" w:cs="Times New Roman" w:eastAsia="Times New Roman" w:hAnsi="Times New Roman"/>
                <w:sz w:val="26"/>
                <w:szCs w:val="26"/>
                <w:color w:val="auto"/>
                <w:vertAlign w:val="superscript"/>
              </w:rPr>
              <w:t>(2)</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(52,801)</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(35,151)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(22,194)</w:t>
            </w:r>
          </w:p>
        </w:tc>
      </w:tr>
      <w:tr>
        <w:trPr>
          <w:trHeight w:val="174"/>
        </w:trPr>
        <w:tc>
          <w:tcPr>
            <w:tcW w:w="4900" w:type="dxa"/>
            <w:vAlign w:val="bottom"/>
            <w:shd w:val="clear" w:color="auto" w:fill="CCEEFF"/>
          </w:tcPr>
          <w:p>
            <w:pPr>
              <w:ind w:left="400"/>
              <w:spacing w:after="0" w:line="174" w:lineRule="exact"/>
              <w:rPr>
                <w:sz w:val="20"/>
                <w:szCs w:val="20"/>
                <w:color w:val="auto"/>
              </w:rPr>
            </w:pPr>
            <w:r>
              <w:rPr>
                <w:rFonts w:ascii="Times New Roman" w:cs="Times New Roman" w:eastAsia="Times New Roman" w:hAnsi="Times New Roman"/>
                <w:sz w:val="16"/>
                <w:szCs w:val="16"/>
                <w:color w:val="auto"/>
              </w:rPr>
              <w:t>(Provision for) benefit from income taxes</w:t>
            </w:r>
          </w:p>
        </w:tc>
        <w:tc>
          <w:tcPr>
            <w:tcW w:w="1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0"/>
              <w:spacing w:after="0" w:line="174" w:lineRule="exact"/>
              <w:rPr>
                <w:sz w:val="20"/>
                <w:szCs w:val="20"/>
                <w:color w:val="auto"/>
              </w:rPr>
            </w:pPr>
            <w:r>
              <w:rPr>
                <w:rFonts w:ascii="Times New Roman" w:cs="Times New Roman" w:eastAsia="Times New Roman" w:hAnsi="Times New Roman"/>
                <w:sz w:val="16"/>
                <w:szCs w:val="16"/>
                <w:color w:val="auto"/>
              </w:rPr>
              <w:t>76</w:t>
            </w: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line="174" w:lineRule="exact"/>
              <w:rPr>
                <w:sz w:val="20"/>
                <w:szCs w:val="20"/>
                <w:color w:val="auto"/>
              </w:rPr>
            </w:pPr>
            <w:r>
              <w:rPr>
                <w:rFonts w:ascii="Times New Roman" w:cs="Times New Roman" w:eastAsia="Times New Roman" w:hAnsi="Times New Roman"/>
                <w:sz w:val="16"/>
                <w:szCs w:val="16"/>
                <w:color w:val="auto"/>
              </w:rPr>
              <w:t>(53)</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(547)</w:t>
            </w:r>
          </w:p>
        </w:tc>
      </w:tr>
      <w:tr>
        <w:trPr>
          <w:trHeight w:val="174"/>
        </w:trPr>
        <w:tc>
          <w:tcPr>
            <w:tcW w:w="4900" w:type="dxa"/>
            <w:vAlign w:val="bottom"/>
          </w:tcPr>
          <w:p>
            <w:pPr>
              <w:ind w:left="200"/>
              <w:spacing w:after="0" w:line="167" w:lineRule="exact"/>
              <w:rPr>
                <w:sz w:val="20"/>
                <w:szCs w:val="20"/>
                <w:color w:val="auto"/>
              </w:rPr>
            </w:pPr>
            <w:r>
              <w:rPr>
                <w:rFonts w:ascii="Times New Roman" w:cs="Times New Roman" w:eastAsia="Times New Roman" w:hAnsi="Times New Roman"/>
                <w:sz w:val="16"/>
                <w:szCs w:val="16"/>
                <w:color w:val="auto"/>
              </w:rPr>
              <w:t>Segment net loss</w:t>
            </w:r>
          </w:p>
        </w:tc>
        <w:tc>
          <w:tcPr>
            <w:tcW w:w="18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(116,791)</w:t>
            </w:r>
          </w:p>
        </w:tc>
        <w:tc>
          <w:tcPr>
            <w:tcW w:w="2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(96,426)</w:t>
            </w:r>
          </w:p>
        </w:tc>
        <w:tc>
          <w:tcPr>
            <w:tcW w:w="2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(95,655)</w:t>
            </w:r>
          </w:p>
        </w:tc>
      </w:tr>
    </w:tbl>
    <w:p>
      <w:pPr>
        <w:spacing w:after="0" w:line="174" w:lineRule="exact"/>
        <w:rPr>
          <w:sz w:val="20"/>
          <w:szCs w:val="20"/>
          <w:color w:val="auto"/>
        </w:rPr>
      </w:pPr>
    </w:p>
    <w:p>
      <w:pPr>
        <w:ind w:left="320" w:hanging="313"/>
        <w:spacing w:after="0"/>
        <w:tabs>
          <w:tab w:leader="none" w:pos="3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significant expense categories and amounts align with the segment-level information that is regularly provided to the CODM.</w:t>
      </w:r>
    </w:p>
    <w:p>
      <w:pPr>
        <w:spacing w:after="0" w:line="11" w:lineRule="exact"/>
        <w:rPr>
          <w:rFonts w:ascii="Times New Roman" w:cs="Times New Roman" w:eastAsia="Times New Roman" w:hAnsi="Times New Roman"/>
          <w:sz w:val="13"/>
          <w:szCs w:val="13"/>
          <w:color w:val="auto"/>
        </w:rPr>
      </w:pPr>
    </w:p>
    <w:p>
      <w:pPr>
        <w:ind w:left="320" w:right="300" w:hanging="313"/>
        <w:spacing w:after="0" w:line="234" w:lineRule="auto"/>
        <w:tabs>
          <w:tab w:leader="none" w:pos="3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income (expense), net represents the consolidated amounts for interest income, interest expense, change in fair value of convertible note, change in fair value of common stock warrant liability, change in fair value of derivative liability, loss on extinguishment of debt and other income (expense), net as shown on the consolidated statements of operations and comprehensive loss.</w:t>
      </w:r>
    </w:p>
    <w:p>
      <w:pPr>
        <w:spacing w:after="0" w:line="170" w:lineRule="exact"/>
        <w:rPr>
          <w:sz w:val="20"/>
          <w:szCs w:val="20"/>
          <w:color w:val="auto"/>
        </w:rPr>
      </w:pPr>
    </w:p>
    <w:p>
      <w:pPr>
        <w:ind w:right="340"/>
        <w:spacing w:after="0" w:line="441" w:lineRule="auto"/>
        <w:rPr>
          <w:sz w:val="20"/>
          <w:szCs w:val="20"/>
          <w:color w:val="auto"/>
        </w:rPr>
      </w:pPr>
      <w:r>
        <w:rPr>
          <w:rFonts w:ascii="Times New Roman" w:cs="Times New Roman" w:eastAsia="Times New Roman" w:hAnsi="Times New Roman"/>
          <w:sz w:val="18"/>
          <w:szCs w:val="18"/>
          <w:color w:val="auto"/>
        </w:rPr>
        <w:t xml:space="preserve">The Company derives revenue and has long-lived assets primarily in the United States of America. Revenue by geography is further described in Note 3. </w:t>
      </w:r>
      <w:r>
        <w:rPr>
          <w:rFonts w:ascii="Times New Roman" w:cs="Times New Roman" w:eastAsia="Times New Roman" w:hAnsi="Times New Roman"/>
          <w:sz w:val="18"/>
          <w:szCs w:val="18"/>
          <w:b w:val="1"/>
          <w:bCs w:val="1"/>
          <w:i w:val="1"/>
          <w:iCs w:val="1"/>
          <w:color w:val="auto"/>
        </w:rPr>
        <w:t>Cash, Cash Equivalents and Restricted Cash</w:t>
      </w:r>
    </w:p>
    <w:p>
      <w:pPr>
        <w:spacing w:after="0" w:line="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to known amounts of cash and purchased with an original maturity of three months or less to be cash equivalents. Cash equivalents consist primarily of amounts invested in money market accounts.</w:t>
      </w:r>
    </w:p>
    <w:p>
      <w:pPr>
        <w:spacing w:after="0" w:line="12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the total shown in the consolidated statements of cash flows (in thousands):</w:t>
      </w: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7"/>
        </w:trPr>
        <w:tc>
          <w:tcPr>
            <w:tcW w:w="48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231F20"/>
              </w:rPr>
              <w:t>2025</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231F20"/>
              </w:rPr>
              <w:t>2023</w:t>
            </w:r>
          </w:p>
        </w:tc>
      </w:tr>
      <w:tr>
        <w:trPr>
          <w:trHeight w:val="167"/>
        </w:trPr>
        <w:tc>
          <w:tcPr>
            <w:tcW w:w="48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231F20"/>
              </w:rPr>
              <w:t>Cash and cash equivalents</w:t>
            </w:r>
          </w:p>
        </w:tc>
        <w:tc>
          <w:tcPr>
            <w:tcW w:w="18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99"/>
              </w:rPr>
              <w:t>44,776</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51,367</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122,767</w:t>
            </w:r>
          </w:p>
        </w:tc>
      </w:tr>
      <w:tr>
        <w:trPr>
          <w:trHeight w:val="174"/>
        </w:trPr>
        <w:tc>
          <w:tcPr>
            <w:tcW w:w="484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Restricted cash</w:t>
            </w:r>
          </w:p>
        </w:tc>
        <w:tc>
          <w:tcPr>
            <w:tcW w:w="1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4,709</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4,475</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4,467</w:t>
            </w:r>
          </w:p>
        </w:tc>
      </w:tr>
      <w:tr>
        <w:trPr>
          <w:trHeight w:val="167"/>
        </w:trPr>
        <w:tc>
          <w:tcPr>
            <w:tcW w:w="48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8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6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99"/>
              </w:rPr>
              <w:t>49,485</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55,842</w:t>
            </w: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127,234</w:t>
            </w:r>
          </w:p>
        </w:tc>
      </w:tr>
      <w:tr>
        <w:trPr>
          <w:trHeight w:val="20"/>
        </w:trPr>
        <w:tc>
          <w:tcPr>
            <w:tcW w:w="4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900"/>
        <w:spacing w:after="0" w:line="246" w:lineRule="auto"/>
        <w:rPr>
          <w:sz w:val="20"/>
          <w:szCs w:val="20"/>
          <w:color w:val="auto"/>
        </w:rPr>
      </w:pPr>
      <w:r>
        <w:rPr>
          <w:rFonts w:ascii="Times New Roman" w:cs="Times New Roman" w:eastAsia="Times New Roman" w:hAnsi="Times New Roman"/>
          <w:sz w:val="18"/>
          <w:szCs w:val="18"/>
          <w:color w:val="auto"/>
        </w:rPr>
        <w:t>As of December 31, 2025 and 2024, restricted cash primarily represents deposits held as security in connection with the Company’s facility lease agreements.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60"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Short-term and long-term investments consist of debt securities classified as available-for-sale. Short-term investments have original maturities greater than 90 days, but less than one year as of the balance sheet date. Long-term investments have maturities greater than one year as of the balance sheet date. All investments are recorded at fair value based on the fair value hierarchy. Unrealized gains and losses, deemed temporary in nature, are reported as a separate component of accumulated other comprehensive income (loss). Realized gains and losses are included in earnings and are derived based on the specific-identification method for determining the costs of investments sold. Amortization of premiums and accretion of discounts are reported as a component of interest income.</w:t>
      </w:r>
    </w:p>
    <w:p>
      <w:pPr>
        <w:spacing w:after="0" w:line="159"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A decline in the fair value of any security below cost that is deemed other than temporary results in a charge to earnings and the corresponding establishment of a new cost basis for the investment. The Company evaluates the securities in an unrealized loss position for expected credit losses by considering factors such as historical experience, market data, issuer-specific factors, current economic conditions and credit ratings. The Company did not recognize any credit losses on its available-for-sale securities during the year ended December 31, 2025 and there were no impairment charges for unrealized losses during the period. The Company had no investments during the year ended December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w:t>
      </w:r>
    </w:p>
    <w:p>
      <w:pPr>
        <w:spacing w:after="0" w:line="156"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accounting guidance establishes three levels of the fair value hierarchy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6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67"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56"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8"/>
          <w:szCs w:val="18"/>
          <w:color w:val="auto"/>
        </w:rPr>
        <w:t>As of December 31, 2025 and 2024, the carrying amounts of the Company’s financial instruments carried at amortized cost, including cash equivalents, accounts receivable, accounts payable and accrued liabilities approximate fair value due to their relatively short maturities and market interest rates, if applicable. Management believed that the Company’s Term Loan (as defined in Note 8) and 2025 Convertible Notes (as defined below in this Note 2) then outstanding bore interest at the prevailing market rates for instruments with similar characteristics; accordingly, the carrying value of these instruments approximated their fair value as of December 31, 2024. Fair value accounting is applied to investments, common stock warrant liability and derivative liability. No common stock warrant liability or derivative liability were outstanding as of December 31, 2025.</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160"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investments, restricted cash and accounts receivable. The Company maintains bank deposits in federally insured financial institutions and these deposits may at times exceed federally insured limits. To date, the Company has not experienced any losses on its cash deposits. The Company currently has full control of its cash and cash equivalents balance. Cash equivalents are invested in highly rated money market funds. The Company invests in a variety of financial instruments, such as, but not limited to, commercial paper, corporate bonds/notes, U.S. government securities, U.S. treasury bills, agency bonds/notes, and, by policy, limits the amount of credit exposure with any one financial institution or commercial issuer. To date, the Company has not experienced any losses on its deposits of cash and cash equivalents or investments.</w:t>
      </w:r>
    </w:p>
    <w:p>
      <w:pPr>
        <w:spacing w:after="0" w:line="142" w:lineRule="exact"/>
        <w:rPr>
          <w:sz w:val="20"/>
          <w:szCs w:val="20"/>
          <w:color w:val="auto"/>
        </w:rPr>
      </w:pPr>
    </w:p>
    <w:p>
      <w:pPr>
        <w:ind w:right="1580"/>
        <w:spacing w:after="0" w:line="449" w:lineRule="auto"/>
        <w:rPr>
          <w:sz w:val="20"/>
          <w:szCs w:val="20"/>
          <w:color w:val="auto"/>
        </w:rPr>
      </w:pPr>
      <w:r>
        <w:rPr>
          <w:rFonts w:ascii="Times New Roman" w:cs="Times New Roman" w:eastAsia="Times New Roman" w:hAnsi="Times New Roman"/>
          <w:sz w:val="18"/>
          <w:szCs w:val="18"/>
          <w:color w:val="auto"/>
        </w:rPr>
        <w:t xml:space="preserve">No single customer represented more than 10% of the Company’s revenue during the years ended December 31, 2025, 2024 and 2023. No single customer represented more than 10% of the Company’s accounts receivable as of December 31, 2025 and 2024. </w:t>
      </w:r>
      <w:r>
        <w:rPr>
          <w:rFonts w:ascii="Times New Roman" w:cs="Times New Roman" w:eastAsia="Times New Roman" w:hAnsi="Times New Roman"/>
          <w:sz w:val="18"/>
          <w:szCs w:val="18"/>
          <w:b w:val="1"/>
          <w:bCs w:val="1"/>
          <w:i w:val="1"/>
          <w:iCs w:val="1"/>
          <w:color w:val="auto"/>
        </w:rPr>
        <w:t>Accounts Receivable</w:t>
      </w:r>
    </w:p>
    <w:p>
      <w:pPr>
        <w:ind w:right="20"/>
        <w:spacing w:after="0" w:line="230"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conditions and generally extends credit to customers without requiring collateral. Accounts receivable are recorded at the amounts billed less estimated allowances for credit losses for any potential uncollectible amounts. The Company continually monitors customer payments and maintains an allowance for estimated losses resulting from a customer’s inability to make required payments. The Company considers factors such as historical experience, credit quality, age of the accounts receivable balances, geographic related risks and economic conditions that may affect a customer’s ability to pay. Accounts receivable are written-off and charged against an allowance for credit losses when the Company has exhausted collection efforts without success.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or amortization. Depreciation and amortization is computed using the straight-line method over the estimated useful lives of assets, which generally ranges from two to five years. Leasehold improvements are amortized over the lesser of their useful life or the remaining life of the lease. Upon sale or retirement of assets, the cost and related accumulated depreciation are removed from the balance sheet and the resulting gain or loss is reflected in results from operations in the period realized. Maintenance and repairs are expensed as incurred.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The Company reviews its long-lived assets, including property and equipment, for impairment at least annually and whenever events or changes in circumstances indicate that the carrying amount of an asset may not be recoverable. When factors indicate that long-lived assets should be evaluated for possible impairment, the Company uses an estimate of the related undiscounted future cash flows over the remaining useful life of the long-lived assets in measuring whether they are recoverable. If the carrying value of the asset exceeds the estimated undiscounted future cash flows, a loss is recorded as the excess of the asset’s carrying value over its fair value. No assets were determined to be impaired during the years ended December 31, 2025, 2024 and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8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preferred stock or in stockholders’ equity (deficit) as a reduction of additional paid-in capital generated as a result of the offering. As of December 31, 2025 and 2024, deferred offering costs of $0 and $413,000,</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120"/>
        <w:spacing w:after="0" w:line="239" w:lineRule="auto"/>
        <w:rPr>
          <w:sz w:val="20"/>
          <w:szCs w:val="20"/>
          <w:color w:val="auto"/>
        </w:rPr>
      </w:pPr>
      <w:r>
        <w:rPr>
          <w:rFonts w:ascii="Times New Roman" w:cs="Times New Roman" w:eastAsia="Times New Roman" w:hAnsi="Times New Roman"/>
          <w:sz w:val="18"/>
          <w:szCs w:val="18"/>
          <w:color w:val="auto"/>
        </w:rPr>
        <w:t>respectively, were capitalized within other non-current assets in the consolidated balance sheets. The deferred offering costs were reclassified as a reduction to equity as a result of the closing of the IPO in August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71"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The Company capitalizes certain costs related to internal-use software during the application development stage. Costs related to planning and post implementation activities are expensed as incurred. Capitalized internal-use software is amortized on a straight-line basis over the estimated useful life, which is generally two years, after the product is deployed and ready for use. The Company evaluates the useful lives of these assets on an annual basis and tests for impairment whenever events or changes in circumstances occur that could impact the recoverability of these assets. Capitalized internal-use software costs are classified as a component of property and equipment, net.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w:t>
      </w:r>
    </w:p>
    <w:p>
      <w:pPr>
        <w:spacing w:after="0" w:line="136"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color w:val="auto"/>
        </w:rPr>
        <w:t>An ROU asset and corresponding lease liability are recorded on the consolidated balance sheets based on the present value of lease payments over the lease term. An ROU asset represents the right to control the use of an identified asset over the lease term and a lease liability represents the obligation to make lease payments arising from the lease. Leases with an initial term of 12 months or less are not recorded in the consolidated balance sheets. The Company uses its incremental borrowing rate to determine the present value of lease payments, as the discount rate implicit in the lease is not readily available. The lease terms used to calculate the ROU asset and related lease liabilities include options to extend or terminate the lease when it is reasonably certain that the Company will exercise that option. The Company elected to account for contracts that contain lease and non-lease components as a single lease component. For the years ended December 31, 2025 and 2024, the Company’s only leases were for its facilities, which are classified as operating leases with lease expense recognized on a straight-line basis over the lease term. Variable lease costs, which primarily consist of common area maintenance, taxes, and utility charges are expensed as incurred. The Company does not have any finance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7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Prior to its repayment in August 2025, the Term Loan (as defined in Note 8) was accounted for at amortized cost. Original debt issuance costs were deferred and presented as a reduction to the carrying value of the Term Loan. Debt discount and debt issuance costs were amortized using the effective interest method and recorded in interest expense within the consolidated statements of operations and comprehensive loss. See Note 8 for information about the repayment of the 2024 Term Loan and termination of the 2024 Credit Agreement.</w:t>
      </w:r>
    </w:p>
    <w:p>
      <w:pPr>
        <w:spacing w:after="0" w:line="14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Upon repayment of the 2024 Term Loan, the remaining unamortized debt discount and debt issuance costs were recognized as a loss on extinguishment of debt within the consolidated statements of operations and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18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Company issued Convertible Notes from September 2022 to December 2022, which were all converted to Series F-1 redeemable convertible preferred stock in March 2023. Refer to Notes 9 for additional information. The Convertible Notes contained embedded features that provided the Note Investors with multiple settlement alternatives. Rather than accounting for the embedded features that qualified as derivatives separately, the Company elected to account for the Convertible Notes at fair value each reporting period. Debt issuance costs were expensed as incurred. Until their conversion in March 2023, the Company recognized the changes in fair value (including interest) as change in fair value of convertible note within the consolidated statements of operations and comprehensive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Company issued convertible notes in January and March 2025 (the “2025 Convertible Notes”) to various investors and certain employees (the “Requisite Holders”), which were accounted for at amortized cost. Debt issuance costs were deferred and presented as a reduction to the carrying value of the 2025 Convertible Notes prior to their conversion upon the IPO. The Company determined that certain features of the 2025 Convertible Notes contained embedded derivatives that provided the Requisite Holders with multiple settlement alternatives, and the embedded features that qualified as derivatives were accounted for separately. Debt discount and debt issuance costs were amortized using the effective interest method and recorded to interest expense within the consolidated statements of operations and comprehensive loss. The Company recognized the changes in fair value of the derivative liability as changes in fair value of derivative liability within the consolidated statements of operations and comprehensive loss through the IPO date. Upon the closing of the Company’s IPO, the aggregate principal balance of the 2025 Convertible Notes of $98.3 million converted into 6,470,743 shares of common stock, and the derivative liability balance of $24.6 million and the remaining unamortized debt discount and debt issuance costs of $28.8 million were reclassified to additional paid-in capital. Refer to Note 9 and Note 13 for additional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84"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8"/>
          <w:szCs w:val="18"/>
          <w:color w:val="auto"/>
        </w:rPr>
        <w:t>Prior to its net exercise in October 2025, the Company’s warrants to purchase common stock that were issued in connection with the Term Loan were classified as a liability. The warrants were recorded at fair value upon issuance and were subject to remeasurement to fair value at each balance sheet date, with any changes in fair value recognized as change in fair value of common stock warrant within the consolidated statements of operations and comprehensive loss. Refer to Note 12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18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Prior to its refinancing in June 2024, the Term Loan (as defined in Note 8) contained certain prepayment features, a default put option and default interest adjustment features that were determined to be embedded derivatives requiring bifurcation and separate accounting as a single compound derivative, as discussed in Note 13. The impact of bifurcation of the embedded derivative on the date of issuance was reflected as a debt discount. The fair value of the derivative liability related to the Company’s Term Loan, as discussed in Note 8, was estimated using a scenario-based analysis comparing the probability-weighted present value of the Term Loan payoff at maturity with and without the bifurcated features. This method isolates the value of the embedded derivative by measuring the difference in the host contract’s value with and without the isolated features. The resulting cash flows were discounted at the Company’s borrowing rate, as adjusted for fluctuations in the market interest rate from the inception of the Company’s comparative borrowings to the reporting date, to measure the fair value of the embedded derivative. Until its derecognition in June 2024, the derivative liability was remeasured to fair value at each reporting period, and the related change was reflected as change in fair value of derivative liability on the consolidated statements of operations and comprehensive loss.</w:t>
      </w:r>
    </w:p>
    <w:p>
      <w:pPr>
        <w:spacing w:after="0" w:line="161"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7"/>
          <w:szCs w:val="17"/>
          <w:color w:val="auto"/>
        </w:rPr>
        <w:t>Prior to their conversion upon the IPO, the 2025 Convertible Notes contained certain settlement features and default put options that were determined to be embedded derivatives requiring bifurcation and separate accounting as a single compound derivative, as discussed in Note 13. The impact of the bifurcation of the embedded derivatives on the date of issuances in January and March 2025 was reflected as a debt discount. The fair value of the derivative liability related to the Company’s 2025 Convertible Notes, as discussed in Note 9, were estimated using a scenario-based analysis comparing the probability-weighted present value of the 2025 Convertible Notes with and without the bifurcated features. This method isolates the value of the embedded derivatives by measuring the difference in the host contract’s value with and without the isolated features. To measure the fair value of the embedded derivatives, the resulting cash flows were discounted using appropriate discount rates that reflect the overall implied risk of the instruments based on their purchase prices and adjusted for fluctuations in the market and Company interest rates when necessary. Prior to the Company’s IPO, the derivative liability was remeasured to fair value at each reporting period and the related change was reflected as a change in fair value of derivative liability on the consolidated statements of operations and comprehensive loss until the conversion of the 2025 Convertible Notes in connection with the IPO in August 2025.</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6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Prior to its IPO, the Company recorded redeemable convertible preferred stock at fair value on the dates of issuance, net of issuance costs, which was classified outside of stockholders’ equity (deficit) because the preferred shares were contingently redeemable upon the occurrence of an event that is outside of the Company’s control. Upon the closing of the Company’s IPO, all shares of convertible preferred stock then outstanding automatically converted into an aggregate of 51,226,348 shares of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4"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The Company sells its Heartflow Platform to medical providers in the United States and in select international markets. The Company determines revenue recognition through the following steps:</w:t>
      </w:r>
    </w:p>
    <w:p>
      <w:pPr>
        <w:spacing w:after="0" w:line="150" w:lineRule="exact"/>
        <w:rPr>
          <w:sz w:val="20"/>
          <w:szCs w:val="20"/>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66" w:lineRule="exact"/>
        <w:rPr>
          <w:rFonts w:ascii="Arial" w:cs="Arial" w:eastAsia="Arial" w:hAnsi="Arial"/>
          <w:sz w:val="18"/>
          <w:szCs w:val="18"/>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79" w:lineRule="exact"/>
        <w:rPr>
          <w:rFonts w:ascii="Arial" w:cs="Arial" w:eastAsia="Arial" w:hAnsi="Arial"/>
          <w:sz w:val="18"/>
          <w:szCs w:val="18"/>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8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The Company identified a single performance obligation, which is comprised of a highly interdependent bundle of goods or services that are not distinct on their own but are as a group and consists of the requested analysis, including an image file and related licenses and support. Revenue recognition commences only after completion of installation, implementation and training for new customer accounts. The Company’s service consists of providing a visualization of the patient’s coronary arteries and enables physicians to create more effective treatment plans. This service is normally billable upon delivery of the analysis to the physician. Payment terms are generally net 30 days.</w:t>
      </w:r>
    </w:p>
    <w:p>
      <w:pPr>
        <w:spacing w:after="0" w:line="144" w:lineRule="exact"/>
        <w:rPr>
          <w:sz w:val="20"/>
          <w:szCs w:val="20"/>
          <w:color w:val="auto"/>
        </w:rPr>
      </w:pPr>
    </w:p>
    <w:p>
      <w:pPr>
        <w:ind w:right="200"/>
        <w:spacing w:after="0" w:line="207" w:lineRule="auto"/>
        <w:rPr>
          <w:sz w:val="20"/>
          <w:szCs w:val="20"/>
          <w:color w:val="auto"/>
        </w:rPr>
      </w:pPr>
      <w:r>
        <w:rPr>
          <w:rFonts w:ascii="Times New Roman" w:cs="Times New Roman" w:eastAsia="Times New Roman" w:hAnsi="Times New Roman"/>
          <w:sz w:val="17"/>
          <w:szCs w:val="17"/>
          <w:color w:val="auto"/>
        </w:rPr>
        <w:t>Substantially all of the Company’s revenue is from usage-driven fees and generated on a “pay per click” basis each time a physician orders the Company’s Heartflow FFR</w:t>
      </w:r>
      <w:r>
        <w:rPr>
          <w:rFonts w:ascii="Times New Roman" w:cs="Times New Roman" w:eastAsia="Times New Roman" w:hAnsi="Times New Roman"/>
          <w:sz w:val="28"/>
          <w:szCs w:val="28"/>
          <w:color w:val="auto"/>
          <w:vertAlign w:val="subscript"/>
        </w:rPr>
        <w:t>CT</w:t>
      </w:r>
      <w:r>
        <w:rPr>
          <w:rFonts w:ascii="Times New Roman" w:cs="Times New Roman" w:eastAsia="Times New Roman" w:hAnsi="Times New Roman"/>
          <w:sz w:val="17"/>
          <w:szCs w:val="17"/>
          <w:color w:val="auto"/>
        </w:rPr>
        <w:t xml:space="preserve"> Analysis and Plaque Analysis. Revenue is recognized when control of these services is transferred to the customer, at an amount that</w:t>
      </w:r>
    </w:p>
    <w:p>
      <w:pPr>
        <w:spacing w:after="0" w:line="1"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18"/>
          <w:szCs w:val="18"/>
          <w:color w:val="auto"/>
        </w:rPr>
        <w:t>reflects the consideration the Company expects to be entitled to receive in exchange for those services. The Company recognizes usage-driven fee revenue upon delivery of the requested analysis to the physician, which is when control of these services is transferred to the customer. The Company recognizes revenue on a straight-line basis over the contract term for subscriptions where the customer pays a fixed amount upfront for unlimited analyses. Contracts with customers typically include a fixed amount of consideration and are generally cancellable with 30 days’ written notice.</w:t>
      </w:r>
    </w:p>
    <w:p>
      <w:pPr>
        <w:spacing w:after="0" w:line="155"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18"/>
          <w:szCs w:val="18"/>
          <w:color w:val="auto"/>
        </w:rPr>
        <w:t>The transaction price consists of fixed consideration and variable consideration related to utilization and volume rebates for reimbursement claims from government and commercial payors which are known and determinable based on the number of analyses delivered within each quarterly period. The transaction price (inclusive of both fixed consideration and variable consideration that is not constrained) is recognized as revenue when control transfers. The Company uses a portfolio approach to estimate variable consideration using the expected value method.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Receivables</w:t>
      </w:r>
    </w:p>
    <w:p>
      <w:pPr>
        <w:spacing w:after="0" w:line="18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Unbilled receivables generally represent revenue in which the Company has satisfied its performance obligation prior to invoicing. The Company records unbilled receivables within accounts receivable, net on the consolidated balance sheets, based on the Company’s unconditional right to payment at the end of the applicable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84" w:lineRule="exact"/>
        <w:rPr>
          <w:sz w:val="20"/>
          <w:szCs w:val="20"/>
          <w:color w:val="auto"/>
        </w:rPr>
      </w:pPr>
    </w:p>
    <w:p>
      <w:pPr>
        <w:ind w:right="600"/>
        <w:spacing w:after="0" w:line="236" w:lineRule="auto"/>
        <w:rPr>
          <w:sz w:val="20"/>
          <w:szCs w:val="20"/>
          <w:color w:val="auto"/>
        </w:rPr>
      </w:pPr>
      <w:r>
        <w:rPr>
          <w:rFonts w:ascii="Times New Roman" w:cs="Times New Roman" w:eastAsia="Times New Roman" w:hAnsi="Times New Roman"/>
          <w:sz w:val="18"/>
          <w:szCs w:val="18"/>
          <w:color w:val="auto"/>
        </w:rPr>
        <w:t>Costs associated with product revenue include a flat rate commission per analysis and new customer site commissions as well as implementation and onboarding costs. The Company capitalizes new customer site</w:t>
      </w: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200"/>
        <w:spacing w:after="0" w:line="243" w:lineRule="auto"/>
        <w:rPr>
          <w:sz w:val="20"/>
          <w:szCs w:val="20"/>
          <w:color w:val="auto"/>
        </w:rPr>
      </w:pPr>
      <w:r>
        <w:rPr>
          <w:rFonts w:ascii="Times New Roman" w:cs="Times New Roman" w:eastAsia="Times New Roman" w:hAnsi="Times New Roman"/>
          <w:sz w:val="17"/>
          <w:szCs w:val="17"/>
          <w:color w:val="auto"/>
        </w:rPr>
        <w:t>commissions and certain contract fulfillment costs, which include implementation and onboarding costs that are considered to be incremental to the acquisition of new customer contracts. Capitalized contract fulfillment costs are amortized over an estimated period of benefit of two years and capitalized new site commission costs are amortized over an estimated period of benefit of three years. The estimated period of benefit is determined by evaluating average customer life, the nature of the related benefit, and the specific facts and circumstances of the arrangements. The Company evaluates these assumptions at least annually and periodically reviews whether events or changes in circumstances have occurred that could impact the period of benefit.</w:t>
      </w:r>
    </w:p>
    <w:p>
      <w:pPr>
        <w:spacing w:after="0" w:line="15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The Company expenses flat rate commissions when incurred as commensurate with its usage-driven fee revenue recognition and amortizes capitalized new customer site commissions to selling, general and administrative expense in the consolidated statements of operations and comprehensive loss. During the year ended December 31, 2023, new site commission costs were not capitalized as the amount was not material. The Company amortizes capitalized contract fulfillment costs to cost of revenue in the consolidated statements of operations and comprehensive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the transaction price allocated to performance obligations that are unsatisfied or partially unsatisfied. It includes contract liabilities and amounts that will be invoiced and recognized as revenue in future periods and does not include contracts where the customer is not committed. The customer is considered not committed when they are able to terminate for convenience without payment of a substantive penalty under the contract. Additionally, as a practical expedient, the Company has not disclosed the value of unsatisfied performance obligations for contracts with an original expected length of one year or less.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84"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The Company records contract liabilities when billings or payments are received in advance of revenue recognition. The contract liabilities balance is reduced as the revenue recognition criteria is met, generally within 12 months. Once services are available to customers, the Company records amounts due in accounts receivable, net and contract liabilities within accrued expenses and other current liabilities on the consolidated balance sheets. To the extent the Company bills customers in advance of the billing period commencement date, the accounts receivable and corresponding contract liabilities amount are netted to zero on the consolidated balance sheets, unless such amounts have been paid as of the balance sheet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4"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Cost of revenue consists of personnel and related expenses, including stock-based compensation costs, primarily related to our production team. Additional costs include third-party hosting fees, amortization of capitalized internal-use software, amortization of contract fulfillment costs as well as royalties associated with technology licenses used in connection with the delivery of the Company’s product and allocated overhead, which includes facilities expenses, equipment, depreciation and technology services. These costs are partially offset by capitalized contract fulfillment costs. The role of the production team is to support the Company’s patient case volume revenue by performing defined quality-related activities on CCTA scans submitted by its customers for analysis. The portion of these costs that supports patient case volume revenue is recorded as cost of revenue. The production team also supports activities in the Company’s clinical trials and research and development, which are allocated as research and development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4"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Costs related to research, design, development, clinical studies, regulatory activities, and medical affairs are charged to research and development and are expensed as incurred. These costs include, but are not limited to, personnel and related expenses, clinical trials, stock-based compensation costs, third-party consulting costs, the portion of the costs incurred by the production team to support clinical trials and research and development efforts, and allocated overhead, including rent, equipment, depreciation and utilities.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6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The Company accrues and expenses costs for its clinical trial activities performed by third parties, including clinical research organizations and other service providers, based upon estimates of the work completed over the life of the individual study in accordance with associated agreements. The Company determines these estimates through discussion with internal personnel and outside service providers as to progress or stage of completion of trials or services pursuant to contracts with clinical research organizations and other service providers and the agreed-upon fee to be paid for such services.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84"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costs includes design and production costs, including website development, testimonial videos, written media campaigns and other items. Advertising costs of $2.0 million, $1.5 million and $778,000 was expensed during the years ended December 31, 2025, 2024 and 2023,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4"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The Company accounts for share-based payments at fair value. The grant date fair value of options granted is measured using the Black-Scholes option pricing model. Option awards vest based on the satisfaction of a service requirement and stock-based compensation expense is recorded on a straight-line basis over the applicable service period, which is generally four years. For performance-based stock options, the Company will assess the probability of performance conditions being achieved in each reporting period. The amount of stock-based compensation expense recognized in any one period related to performance-based stock options can vary based on the achievement or anticipated achievement of the performance conditions. Forfeitures are recognized in the period in which the forfeiture occurs.</w:t>
      </w:r>
    </w:p>
    <w:p>
      <w:pPr>
        <w:spacing w:after="0" w:line="15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7"/>
          <w:szCs w:val="17"/>
          <w:color w:val="auto"/>
        </w:rPr>
        <w:t>The Company accounts for stock-based compensation for restricted stock units at their fair value, based on the closing market price of the Company’s common stock on the date of grant. These costs are recognized on a straight-line basis over the requisite service period, which is usually the vesting period.</w:t>
      </w:r>
    </w:p>
    <w:p>
      <w:pPr>
        <w:spacing w:after="0" w:line="126"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18"/>
          <w:szCs w:val="18"/>
          <w:color w:val="auto"/>
        </w:rPr>
        <w:t>The Company accounts for stock-based compensation for its employee stock purchase plan based on the estimated fair value of the options on the date of grant. The Company estimates the grant date fair value using the Black-Scholes option pricing model for each purchase period. These costs are recognized on a straight-line basis over the offering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4"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the temporary differences between the financial statement and tax basis of assets and liabilities using enacted tax rates in effect for the year in which the differences are expected to reverse. As a result of the history of net operating losses, the Company has provided for a full valuation allowance in the United States against the deferred tax assets for assets that are not more-likely-than-not to be realized.</w:t>
      </w:r>
    </w:p>
    <w:p>
      <w:pPr>
        <w:spacing w:after="0" w:line="14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The Company applies a comprehensive model for the recognition, measurement, presentation and disclosure in the consolidated financial statements of any uncertain tax positions that have been taken or are expected to be taken on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Significant judgment is required to evaluate uncertain tax positions. Changes in facts and circumstances could have a material impact on the Company’s effective tax rate and results of operations. The Company recognizes interest and penalties, if any, related to unrecognized tax benefits as a component of provision for income taxes in the consolidated statements of operations and comprehensive loss.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60"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Comprehensive loss is comprised of net loss, changes in unrealized gains and losses on investments classified as available-for-sale and foreign currency translation gains and losses.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8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The functional currency of the Company’s foreign subsidiaries is the local currency except for Heartflow International Sarl, which was the U.S. Dollar. For all non-functional currency balances, the remeasurement of such balances to the functional currency results in either a foreign exchange transaction gain or loss, which is recorded within other income, net within the consolidated statements of operations and comprehensive loss. The Company recognized foreign exchange transaction losses of $216,000, $269,000 and $172,000 during the years ended December 31, 2025, 2024 and 2023, respectively. During the years ended December 31, 2025, 2024 and 2023, the Company recognized $191,000, $(271,000) and $(504,000) of foreign currency translation gain (loss), respectively, in the statements of comprehensive loss related to foreign subsidiaries which have local functional currencies.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84"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common stock warrants, common stock options and restricted stock units are considered to be potentially dilutive securities.</w:t>
      </w:r>
    </w:p>
    <w:p>
      <w:pPr>
        <w:spacing w:after="0" w:line="157"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as the redeemable convertible preferred stock and common stock subject to repurchase are considered participating securities. The Company’s participating securities do not have a contractual obligation to share in the Company’s losses. As such, the net loss is attributed entirely to common stockholders. Diluted net loss per share is the same as basic net loss per share because the effects of potentially dilutive items were anti-dilutive given the Company’s net loss position during the years ended December 31, 2025, 2024 and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Pronouncements</w:t>
      </w:r>
    </w:p>
    <w:p>
      <w:pPr>
        <w:spacing w:after="0" w:line="186"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w:t>
      </w:r>
    </w:p>
    <w:p>
      <w:pPr>
        <w:spacing w:after="0" w:line="3" w:lineRule="exact"/>
        <w:rPr>
          <w:sz w:val="20"/>
          <w:szCs w:val="20"/>
          <w:color w:val="auto"/>
        </w:rPr>
      </w:pPr>
    </w:p>
    <w:p>
      <w:pPr>
        <w:ind w:firstLine="7"/>
        <w:spacing w:after="0" w:line="231" w:lineRule="auto"/>
        <w:tabs>
          <w:tab w:leader="none" w:pos="21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4"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During the year ended December 31, 2025, the Company adopted ASU 2023-09</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2000"/>
        <w:spacing w:after="0" w:line="437" w:lineRule="auto"/>
        <w:rPr>
          <w:sz w:val="20"/>
          <w:szCs w:val="20"/>
          <w:color w:val="auto"/>
        </w:rPr>
      </w:pPr>
      <w:r>
        <w:rPr>
          <w:rFonts w:ascii="Times New Roman" w:cs="Times New Roman" w:eastAsia="Times New Roman" w:hAnsi="Times New Roman"/>
          <w:sz w:val="18"/>
          <w:szCs w:val="18"/>
          <w:color w:val="auto"/>
        </w:rPr>
        <w:t xml:space="preserve">prospectively, which had a disclosure only impact on its consolidated financial statements. Refer to Note 17 for additional details. </w:t>
      </w: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with early adoption permitted. The amendments may be applied either (i) prospectively to financial statements issued for reporting periods after the effective date of this ASU or (ii) retrospectively to all prior periods presented in the financial statements. The Company is currently evaluating the impact of this pronouncement on the disclosures in its consolidated financial statements.</w:t>
      </w:r>
    </w:p>
    <w:p>
      <w:pPr>
        <w:spacing w:after="0" w:line="160"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provides a practical expedient related to the estimation of expected credit losses for current accounts receivable and current contract assets that arise from transactions accounted for under Accounting Standards Codification Topic 606: Revenue from Contracts with Customers. The practical expedient permits an entity to assume that current conditions as of the balance sheet date do not change for the remaining life of the current accounts receivable and current contract assets. This ASU is effective for the Company on January 1, 2026. The Company does not expect adoption of this pronouncement to have a material impact on its consolidated financial statements.</w:t>
      </w:r>
    </w:p>
    <w:p>
      <w:pPr>
        <w:spacing w:after="0" w:line="15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In September 2025, the FASB issued ASU 2025-06, Intangibles - Goodwill and Other - Internal-Use Software (Subtopic 350-40): Targeted Improvements to the Accounting for Internal-Use Software, which amends certain aspects of the accounting for and disclosure of software costs under ASC 350-40 by removing all references to project development stages and provides new guidance on how to evaluate whether the probable-to-complete recognition threshold has been met to begin capitalizing software costs. This ASU is effective for fiscal years beginning after December 15, 2027 and for interim periods within fiscal years beginning after December 15, 2027, with early adoption permitted. The ASU may be applied on a prospective, retrospective or modified prospective basis. The Company is currently evaluating the impact of the adoption of this pronouncement on its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Revenue and Contract Balances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revenue from customers by geographic region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80" w:type="dxa"/>
            <w:vAlign w:val="bottom"/>
            <w:tcBorders>
              <w:bottom w:val="single" w:sz="8" w:color="auto"/>
            </w:tcBorders>
          </w:tcPr>
          <w:p>
            <w:pPr>
              <w:spacing w:after="0"/>
              <w:rPr>
                <w:sz w:val="17"/>
                <w:szCs w:val="17"/>
                <w:color w:val="auto"/>
              </w:rPr>
            </w:pPr>
          </w:p>
        </w:tc>
      </w:tr>
      <w:tr>
        <w:trPr>
          <w:trHeight w:val="167"/>
        </w:trPr>
        <w:tc>
          <w:tcPr>
            <w:tcW w:w="67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67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162,733</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115,036</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77,725</w:t>
            </w:r>
          </w:p>
        </w:tc>
      </w:tr>
      <w:tr>
        <w:trPr>
          <w:trHeight w:val="174"/>
        </w:trPr>
        <w:tc>
          <w:tcPr>
            <w:tcW w:w="672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Rest of World</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13,301</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10,772</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9,449</w:t>
            </w:r>
          </w:p>
        </w:tc>
      </w:tr>
      <w:tr>
        <w:trPr>
          <w:trHeight w:val="167"/>
        </w:trPr>
        <w:tc>
          <w:tcPr>
            <w:tcW w:w="672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176,034</w:t>
            </w: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125,808</w:t>
            </w: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87,174</w:t>
            </w: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340"/>
        <w:spacing w:after="0" w:line="478" w:lineRule="auto"/>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than the region of the customer.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8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Unbilled receivables included within accounts receivable on the consolidated balance sheets as of December 31, 2025 and 2024 was $814,000 and $574,000,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breakdown of capitalized contract costs on the consolidated balance sheets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center"/>
              <w:ind w:right="225"/>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80" w:type="dxa"/>
            <w:vAlign w:val="bottom"/>
            <w:tcBorders>
              <w:bottom w:val="single" w:sz="8" w:color="auto"/>
            </w:tcBorders>
          </w:tcPr>
          <w:p>
            <w:pPr>
              <w:spacing w:after="0"/>
              <w:rPr>
                <w:sz w:val="17"/>
                <w:szCs w:val="17"/>
                <w:color w:val="auto"/>
              </w:rPr>
            </w:pPr>
          </w:p>
        </w:tc>
      </w:tr>
      <w:tr>
        <w:trPr>
          <w:trHeight w:val="167"/>
        </w:trPr>
        <w:tc>
          <w:tcPr>
            <w:tcW w:w="436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43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23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0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6,154</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center"/>
              <w:ind w:left="560"/>
              <w:spacing w:after="0" w:line="167" w:lineRule="exact"/>
              <w:rPr>
                <w:sz w:val="20"/>
                <w:szCs w:val="20"/>
                <w:color w:val="auto"/>
              </w:rPr>
            </w:pPr>
            <w:r>
              <w:rPr>
                <w:rFonts w:ascii="Times New Roman" w:cs="Times New Roman" w:eastAsia="Times New Roman" w:hAnsi="Times New Roman"/>
                <w:sz w:val="16"/>
                <w:szCs w:val="16"/>
                <w:color w:val="auto"/>
                <w:w w:val="99"/>
              </w:rPr>
              <w:t>2,941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center"/>
              <w:ind w:left="560"/>
              <w:spacing w:after="0" w:line="167" w:lineRule="exact"/>
              <w:rPr>
                <w:sz w:val="20"/>
                <w:szCs w:val="20"/>
                <w:color w:val="auto"/>
              </w:rPr>
            </w:pPr>
            <w:r>
              <w:rPr>
                <w:rFonts w:ascii="Times New Roman" w:cs="Times New Roman" w:eastAsia="Times New Roman" w:hAnsi="Times New Roman"/>
                <w:sz w:val="16"/>
                <w:szCs w:val="16"/>
                <w:color w:val="auto"/>
                <w:w w:val="99"/>
              </w:rPr>
              <w:t>2,077</w:t>
            </w:r>
          </w:p>
        </w:tc>
      </w:tr>
      <w:tr>
        <w:trPr>
          <w:trHeight w:val="174"/>
        </w:trPr>
        <w:tc>
          <w:tcPr>
            <w:tcW w:w="43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Contract costs capitalized</w:t>
            </w:r>
          </w:p>
        </w:tc>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w w:val="99"/>
              </w:rPr>
              <w:t>10,795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ind w:left="560"/>
              <w:spacing w:after="0" w:line="174" w:lineRule="exact"/>
              <w:rPr>
                <w:sz w:val="20"/>
                <w:szCs w:val="20"/>
                <w:color w:val="auto"/>
              </w:rPr>
            </w:pPr>
            <w:r>
              <w:rPr>
                <w:rFonts w:ascii="Times New Roman" w:cs="Times New Roman" w:eastAsia="Times New Roman" w:hAnsi="Times New Roman"/>
                <w:sz w:val="16"/>
                <w:szCs w:val="16"/>
                <w:color w:val="auto"/>
                <w:w w:val="99"/>
              </w:rPr>
              <w:t>6,952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left="560"/>
              <w:spacing w:after="0" w:line="174" w:lineRule="exact"/>
              <w:rPr>
                <w:sz w:val="20"/>
                <w:szCs w:val="20"/>
                <w:color w:val="auto"/>
              </w:rPr>
            </w:pPr>
            <w:r>
              <w:rPr>
                <w:rFonts w:ascii="Times New Roman" w:cs="Times New Roman" w:eastAsia="Times New Roman" w:hAnsi="Times New Roman"/>
                <w:sz w:val="16"/>
                <w:szCs w:val="16"/>
                <w:color w:val="auto"/>
                <w:w w:val="99"/>
              </w:rPr>
              <w:t>3,081</w:t>
            </w:r>
          </w:p>
        </w:tc>
      </w:tr>
      <w:tr>
        <w:trPr>
          <w:trHeight w:val="174"/>
        </w:trPr>
        <w:tc>
          <w:tcPr>
            <w:tcW w:w="43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Contract costs amortized</w:t>
            </w:r>
          </w:p>
        </w:tc>
        <w:tc>
          <w:tcPr>
            <w:tcW w:w="2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(6,020)</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left="320"/>
              <w:spacing w:after="0" w:line="174" w:lineRule="exact"/>
              <w:rPr>
                <w:sz w:val="20"/>
                <w:szCs w:val="20"/>
                <w:color w:val="auto"/>
              </w:rPr>
            </w:pPr>
            <w:r>
              <w:rPr>
                <w:rFonts w:ascii="Times New Roman" w:cs="Times New Roman" w:eastAsia="Times New Roman" w:hAnsi="Times New Roman"/>
                <w:sz w:val="16"/>
                <w:szCs w:val="16"/>
                <w:color w:val="auto"/>
              </w:rPr>
              <w:t>(3,739)</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left="540"/>
              <w:spacing w:after="0" w:line="174" w:lineRule="exact"/>
              <w:rPr>
                <w:sz w:val="20"/>
                <w:szCs w:val="20"/>
                <w:color w:val="auto"/>
              </w:rPr>
            </w:pPr>
            <w:r>
              <w:rPr>
                <w:rFonts w:ascii="Times New Roman" w:cs="Times New Roman" w:eastAsia="Times New Roman" w:hAnsi="Times New Roman"/>
                <w:sz w:val="16"/>
                <w:szCs w:val="16"/>
                <w:color w:val="auto"/>
                <w:w w:val="98"/>
              </w:rPr>
              <w:t>(2,217)</w:t>
            </w:r>
          </w:p>
        </w:tc>
      </w:tr>
      <w:tr>
        <w:trPr>
          <w:trHeight w:val="167"/>
        </w:trPr>
        <w:tc>
          <w:tcPr>
            <w:tcW w:w="43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Balance at end of period</w:t>
            </w:r>
          </w:p>
        </w:tc>
        <w:tc>
          <w:tcPr>
            <w:tcW w:w="23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0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w w:val="99"/>
              </w:rPr>
              <w:t>10,929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center"/>
              <w:ind w:left="560"/>
              <w:spacing w:after="0" w:line="167" w:lineRule="exact"/>
              <w:rPr>
                <w:sz w:val="20"/>
                <w:szCs w:val="20"/>
                <w:color w:val="auto"/>
              </w:rPr>
            </w:pPr>
            <w:r>
              <w:rPr>
                <w:rFonts w:ascii="Times New Roman" w:cs="Times New Roman" w:eastAsia="Times New Roman" w:hAnsi="Times New Roman"/>
                <w:sz w:val="16"/>
                <w:szCs w:val="16"/>
                <w:color w:val="auto"/>
                <w:w w:val="99"/>
              </w:rPr>
              <w:t>6,154</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center"/>
              <w:ind w:left="560"/>
              <w:spacing w:after="0" w:line="167" w:lineRule="exact"/>
              <w:rPr>
                <w:sz w:val="20"/>
                <w:szCs w:val="20"/>
                <w:color w:val="auto"/>
              </w:rPr>
            </w:pPr>
            <w:r>
              <w:rPr>
                <w:rFonts w:ascii="Times New Roman" w:cs="Times New Roman" w:eastAsia="Times New Roman" w:hAnsi="Times New Roman"/>
                <w:sz w:val="16"/>
                <w:szCs w:val="16"/>
                <w:color w:val="auto"/>
                <w:w w:val="99"/>
              </w:rPr>
              <w:t>2,941</w:t>
            </w:r>
          </w:p>
        </w:tc>
      </w:tr>
      <w:tr>
        <w:trPr>
          <w:trHeight w:val="20"/>
        </w:trPr>
        <w:tc>
          <w:tcPr>
            <w:tcW w:w="4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following table provides the breakdown of contract liabilities included within accrued expenses and other current liabilities on the consolidated balance sheets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80" w:type="dxa"/>
            <w:vAlign w:val="bottom"/>
            <w:tcBorders>
              <w:bottom w:val="single" w:sz="8" w:color="auto"/>
            </w:tcBorders>
          </w:tcPr>
          <w:p>
            <w:pPr>
              <w:spacing w:after="0"/>
              <w:rPr>
                <w:sz w:val="17"/>
                <w:szCs w:val="17"/>
                <w:color w:val="auto"/>
              </w:rPr>
            </w:pPr>
          </w:p>
        </w:tc>
      </w:tr>
      <w:tr>
        <w:trPr>
          <w:trHeight w:val="167"/>
        </w:trPr>
        <w:tc>
          <w:tcPr>
            <w:tcW w:w="47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2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47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20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182</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498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ind w:left="800"/>
              <w:spacing w:after="0" w:line="167" w:lineRule="exact"/>
              <w:rPr>
                <w:sz w:val="20"/>
                <w:szCs w:val="20"/>
                <w:color w:val="auto"/>
              </w:rPr>
            </w:pPr>
            <w:r>
              <w:rPr>
                <w:rFonts w:ascii="Times New Roman" w:cs="Times New Roman" w:eastAsia="Times New Roman" w:hAnsi="Times New Roman"/>
                <w:sz w:val="16"/>
                <w:szCs w:val="16"/>
                <w:color w:val="auto"/>
              </w:rPr>
              <w:t>118</w:t>
            </w:r>
          </w:p>
        </w:tc>
      </w:tr>
      <w:tr>
        <w:trPr>
          <w:trHeight w:val="174"/>
        </w:trPr>
        <w:tc>
          <w:tcPr>
            <w:tcW w:w="47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Contract liabilities added</w:t>
            </w:r>
          </w:p>
        </w:tc>
        <w:tc>
          <w:tcPr>
            <w:tcW w:w="2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center"/>
              <w:ind w:left="20"/>
              <w:spacing w:after="0" w:line="174" w:lineRule="exact"/>
              <w:rPr>
                <w:sz w:val="20"/>
                <w:szCs w:val="20"/>
                <w:color w:val="auto"/>
              </w:rPr>
            </w:pPr>
            <w:r>
              <w:rPr>
                <w:rFonts w:ascii="Times New Roman" w:cs="Times New Roman" w:eastAsia="Times New Roman" w:hAnsi="Times New Roman"/>
                <w:sz w:val="16"/>
                <w:szCs w:val="16"/>
                <w:color w:val="auto"/>
                <w:w w:val="99"/>
              </w:rPr>
              <w:t>279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ind w:left="800"/>
              <w:spacing w:after="0" w:line="174" w:lineRule="exact"/>
              <w:rPr>
                <w:sz w:val="20"/>
                <w:szCs w:val="20"/>
                <w:color w:val="auto"/>
              </w:rPr>
            </w:pPr>
            <w:r>
              <w:rPr>
                <w:rFonts w:ascii="Times New Roman" w:cs="Times New Roman" w:eastAsia="Times New Roman" w:hAnsi="Times New Roman"/>
                <w:sz w:val="16"/>
                <w:szCs w:val="16"/>
                <w:color w:val="auto"/>
              </w:rPr>
              <w:t>470</w:t>
            </w:r>
          </w:p>
        </w:tc>
      </w:tr>
      <w:tr>
        <w:trPr>
          <w:trHeight w:val="174"/>
        </w:trPr>
        <w:tc>
          <w:tcPr>
            <w:tcW w:w="4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Contract liabilities recognized as revenue</w:t>
            </w:r>
          </w:p>
        </w:tc>
        <w:tc>
          <w:tcPr>
            <w:tcW w:w="20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7"/>
              </w:rPr>
              <w:t>(134)</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line="174" w:lineRule="exact"/>
              <w:rPr>
                <w:sz w:val="20"/>
                <w:szCs w:val="20"/>
                <w:color w:val="auto"/>
              </w:rPr>
            </w:pPr>
            <w:r>
              <w:rPr>
                <w:rFonts w:ascii="Times New Roman" w:cs="Times New Roman" w:eastAsia="Times New Roman" w:hAnsi="Times New Roman"/>
                <w:sz w:val="16"/>
                <w:szCs w:val="16"/>
                <w:color w:val="auto"/>
              </w:rPr>
              <w:t>(316)</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ind w:left="820"/>
              <w:spacing w:after="0" w:line="174" w:lineRule="exact"/>
              <w:rPr>
                <w:sz w:val="20"/>
                <w:szCs w:val="20"/>
                <w:color w:val="auto"/>
              </w:rPr>
            </w:pPr>
            <w:r>
              <w:rPr>
                <w:rFonts w:ascii="Times New Roman" w:cs="Times New Roman" w:eastAsia="Times New Roman" w:hAnsi="Times New Roman"/>
                <w:sz w:val="16"/>
                <w:szCs w:val="16"/>
                <w:color w:val="auto"/>
                <w:w w:val="89"/>
              </w:rPr>
              <w:t>(90)</w:t>
            </w:r>
          </w:p>
        </w:tc>
      </w:tr>
      <w:tr>
        <w:trPr>
          <w:trHeight w:val="167"/>
        </w:trPr>
        <w:tc>
          <w:tcPr>
            <w:tcW w:w="47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Balance at end of period</w:t>
            </w:r>
          </w:p>
        </w:tc>
        <w:tc>
          <w:tcPr>
            <w:tcW w:w="20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center"/>
              <w:ind w:left="20"/>
              <w:spacing w:after="0" w:line="167" w:lineRule="exact"/>
              <w:rPr>
                <w:sz w:val="20"/>
                <w:szCs w:val="20"/>
                <w:color w:val="auto"/>
              </w:rPr>
            </w:pPr>
            <w:r>
              <w:rPr>
                <w:rFonts w:ascii="Times New Roman" w:cs="Times New Roman" w:eastAsia="Times New Roman" w:hAnsi="Times New Roman"/>
                <w:sz w:val="16"/>
                <w:szCs w:val="16"/>
                <w:color w:val="auto"/>
                <w:w w:val="99"/>
              </w:rPr>
              <w:t>327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182</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ind w:left="800"/>
              <w:spacing w:after="0" w:line="167" w:lineRule="exact"/>
              <w:rPr>
                <w:sz w:val="20"/>
                <w:szCs w:val="20"/>
                <w:color w:val="auto"/>
              </w:rPr>
            </w:pPr>
            <w:r>
              <w:rPr>
                <w:rFonts w:ascii="Times New Roman" w:cs="Times New Roman" w:eastAsia="Times New Roman" w:hAnsi="Times New Roman"/>
                <w:sz w:val="16"/>
                <w:szCs w:val="16"/>
                <w:color w:val="auto"/>
              </w:rPr>
              <w:t>498</w:t>
            </w:r>
          </w:p>
        </w:tc>
      </w:tr>
      <w:tr>
        <w:trPr>
          <w:trHeight w:val="20"/>
        </w:trPr>
        <w:tc>
          <w:tcPr>
            <w:tcW w:w="4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Fair Value Measurement</w:t>
      </w:r>
    </w:p>
    <w:p>
      <w:pPr>
        <w:spacing w:after="0" w:line="186"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by level within the fair value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67"/>
        </w:trPr>
        <w:tc>
          <w:tcPr>
            <w:tcW w:w="37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Level 1</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Level 2</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b w:val="1"/>
                <w:bCs w:val="1"/>
                <w:color w:val="auto"/>
              </w:rPr>
              <w:t>Level 3</w:t>
            </w: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0"/>
              <w:spacing w:after="0" w:line="167"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67"/>
        </w:trPr>
        <w:tc>
          <w:tcPr>
            <w:tcW w:w="37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4"/>
        </w:trPr>
        <w:tc>
          <w:tcPr>
            <w:tcW w:w="37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340" w:type="dxa"/>
            <w:vAlign w:val="bottom"/>
            <w:gridSpan w:val="2"/>
          </w:tcPr>
          <w:p>
            <w:pPr>
              <w:jc w:val="right"/>
              <w:ind w:right="9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27,806</w:t>
            </w:r>
          </w:p>
        </w:tc>
        <w:tc>
          <w:tcPr>
            <w:tcW w:w="240" w:type="dxa"/>
            <w:vAlign w:val="bottom"/>
          </w:tcPr>
          <w:p>
            <w:pPr>
              <w:spacing w:after="0"/>
              <w:rPr>
                <w:sz w:val="15"/>
                <w:szCs w:val="15"/>
                <w:color w:val="auto"/>
              </w:rPr>
            </w:pPr>
          </w:p>
        </w:tc>
        <w:tc>
          <w:tcPr>
            <w:tcW w:w="1080" w:type="dxa"/>
            <w:vAlign w:val="bottom"/>
          </w:tcPr>
          <w:p>
            <w:pPr>
              <w:jc w:val="right"/>
              <w:ind w:right="92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ind w:left="40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27,806</w:t>
            </w:r>
          </w:p>
        </w:tc>
      </w:tr>
      <w:tr>
        <w:trPr>
          <w:trHeight w:val="146"/>
        </w:trPr>
        <w:tc>
          <w:tcPr>
            <w:tcW w:w="37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auto"/>
              </w:rPr>
              <w:t>Money market funds, included in restricted cash, non-</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01"/>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4,709</w:t>
            </w:r>
          </w:p>
        </w:tc>
      </w:tr>
      <w:tr>
        <w:trPr>
          <w:trHeight w:val="174"/>
        </w:trPr>
        <w:tc>
          <w:tcPr>
            <w:tcW w:w="37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U.S. government securities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gridSpan w:val="2"/>
          </w:tcPr>
          <w:p>
            <w:pPr>
              <w:ind w:left="3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81,479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gridSpan w:val="2"/>
          </w:tcPr>
          <w:p>
            <w:pPr>
              <w:ind w:lef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81,479</w:t>
            </w:r>
          </w:p>
        </w:tc>
      </w:tr>
      <w:tr>
        <w:trPr>
          <w:trHeight w:val="174"/>
        </w:trPr>
        <w:tc>
          <w:tcPr>
            <w:tcW w:w="3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U.S. treasury bills</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3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39,593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39,593</w:t>
            </w:r>
          </w:p>
        </w:tc>
      </w:tr>
      <w:tr>
        <w:trPr>
          <w:trHeight w:val="174"/>
        </w:trPr>
        <w:tc>
          <w:tcPr>
            <w:tcW w:w="37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Corporate bonds/notes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gridSpan w:val="2"/>
          </w:tcPr>
          <w:p>
            <w:pPr>
              <w:ind w:left="3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57,571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gridSpan w:val="2"/>
          </w:tcPr>
          <w:p>
            <w:pPr>
              <w:ind w:lef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57,571</w:t>
            </w:r>
          </w:p>
        </w:tc>
      </w:tr>
      <w:tr>
        <w:trPr>
          <w:trHeight w:val="174"/>
        </w:trPr>
        <w:tc>
          <w:tcPr>
            <w:tcW w:w="3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Agency bonds/notes</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3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25,151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25,151</w:t>
            </w:r>
          </w:p>
        </w:tc>
      </w:tr>
      <w:tr>
        <w:trPr>
          <w:trHeight w:val="174"/>
        </w:trPr>
        <w:tc>
          <w:tcPr>
            <w:tcW w:w="37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Asset-backed securities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gridSpan w:val="2"/>
          </w:tcPr>
          <w:p>
            <w:pPr>
              <w:ind w:left="3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21,711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gridSpan w:val="2"/>
          </w:tcPr>
          <w:p>
            <w:pPr>
              <w:ind w:lef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21,711</w:t>
            </w:r>
          </w:p>
        </w:tc>
      </w:tr>
      <w:tr>
        <w:trPr>
          <w:trHeight w:val="174"/>
        </w:trPr>
        <w:tc>
          <w:tcPr>
            <w:tcW w:w="3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3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9,870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9,870</w:t>
            </w:r>
          </w:p>
        </w:tc>
      </w:tr>
      <w:tr>
        <w:trPr>
          <w:trHeight w:val="167"/>
        </w:trPr>
        <w:tc>
          <w:tcPr>
            <w:tcW w:w="370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32,515</w:t>
            </w:r>
          </w:p>
        </w:tc>
        <w:tc>
          <w:tcPr>
            <w:tcW w:w="2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w w:val="96"/>
              </w:rPr>
              <w:t>235,375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11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ind w:left="220"/>
              <w:spacing w:after="0" w:line="167"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267,890</w:t>
            </w:r>
          </w:p>
        </w:tc>
      </w:tr>
      <w:tr>
        <w:trPr>
          <w:trHeight w:val="20"/>
        </w:trPr>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ind w:left="240"/>
              <w:spacing w:after="0" w:line="167" w:lineRule="exact"/>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4"/>
                <w:szCs w:val="14"/>
                <w:color w:val="auto"/>
              </w:rPr>
            </w:pPr>
          </w:p>
        </w:tc>
        <w:tc>
          <w:tcPr>
            <w:tcW w:w="1440" w:type="dxa"/>
            <w:vAlign w:val="bottom"/>
            <w:gridSpan w:val="2"/>
          </w:tcPr>
          <w:p>
            <w:pPr>
              <w:ind w:left="260"/>
              <w:spacing w:after="0" w:line="167"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Level 3</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80"/>
              <w:spacing w:after="0" w:line="167"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660" w:type="dxa"/>
            <w:vAlign w:val="bottom"/>
            <w:gridSpan w:val="2"/>
          </w:tcPr>
          <w:p>
            <w:pPr>
              <w:jc w:val="right"/>
              <w:ind w:right="1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36,882</w:t>
            </w:r>
          </w:p>
        </w:tc>
        <w:tc>
          <w:tcPr>
            <w:tcW w:w="240" w:type="dxa"/>
            <w:vAlign w:val="bottom"/>
          </w:tcPr>
          <w:p>
            <w:pPr>
              <w:spacing w:after="0"/>
              <w:rPr>
                <w:sz w:val="15"/>
                <w:szCs w:val="15"/>
                <w:color w:val="auto"/>
              </w:rPr>
            </w:pPr>
          </w:p>
        </w:tc>
        <w:tc>
          <w:tcPr>
            <w:tcW w:w="320" w:type="dxa"/>
            <w:vAlign w:val="bottom"/>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ind w:left="11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9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3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36,882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Borders>
              <w:top w:val="single" w:sz="8" w:color="CCEEFF"/>
              <w:bottom w:val="single" w:sz="8" w:color="CCEEFF"/>
            </w:tcBorders>
            <w:shd w:val="clear" w:color="auto" w:fill="CCEEFF"/>
          </w:tcPr>
          <w:p>
            <w:pPr>
              <w:ind w:left="80"/>
              <w:spacing w:after="0" w:line="167" w:lineRule="exact"/>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36,882</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ind w:left="1160"/>
              <w:spacing w:after="0" w:line="167"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9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ind w:left="380"/>
              <w:spacing w:after="0" w:line="167"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36,882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restart"/>
          </w:tcPr>
          <w:p>
            <w:pPr>
              <w:spacing w:after="0"/>
              <w:rPr>
                <w:sz w:val="13"/>
                <w:szCs w:val="13"/>
                <w:color w:val="auto"/>
              </w:rPr>
            </w:pPr>
          </w:p>
        </w:tc>
        <w:tc>
          <w:tcPr>
            <w:tcW w:w="3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5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Common stock warrant liability</w:t>
            </w:r>
          </w:p>
        </w:tc>
        <w:tc>
          <w:tcPr>
            <w:tcW w:w="660" w:type="dxa"/>
            <w:vAlign w:val="bottom"/>
            <w:gridSpan w:val="2"/>
          </w:tcPr>
          <w:p>
            <w:pPr>
              <w:jc w:val="right"/>
              <w:ind w:right="1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11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ind w:left="11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9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20,835</w:t>
            </w:r>
          </w:p>
        </w:tc>
        <w:tc>
          <w:tcPr>
            <w:tcW w:w="220" w:type="dxa"/>
            <w:vAlign w:val="bottom"/>
          </w:tcPr>
          <w:p>
            <w:pPr>
              <w:spacing w:after="0"/>
              <w:rPr>
                <w:sz w:val="15"/>
                <w:szCs w:val="15"/>
                <w:color w:val="auto"/>
              </w:rPr>
            </w:pPr>
          </w:p>
        </w:tc>
        <w:tc>
          <w:tcPr>
            <w:tcW w:w="380" w:type="dxa"/>
            <w:vAlign w:val="bottom"/>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20,835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Borders>
              <w:top w:val="single" w:sz="8" w:color="CCEEFF"/>
              <w:bottom w:val="single" w:sz="8" w:color="CCEEFF"/>
            </w:tcBorders>
            <w:shd w:val="clear" w:color="auto" w:fill="CCEEFF"/>
          </w:tcPr>
          <w:p>
            <w:pPr>
              <w:ind w:left="80"/>
              <w:spacing w:after="0" w:line="167" w:lineRule="exact"/>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ind w:left="1160"/>
              <w:spacing w:after="0" w:line="167" w:lineRule="exact"/>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ind w:left="1160"/>
              <w:spacing w:after="0" w:line="167"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9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20,835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20,835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The following tables present a reconciliation of the Company’s financial liabilities measured at fair value as of December 31, 2025, 2024 and 2023 using significant unobservable inputs (Level 3) and the change in fair value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2022 Convertible Notes</w:t>
            </w:r>
          </w:p>
        </w:tc>
      </w:tr>
      <w:tr>
        <w:trPr>
          <w:trHeight w:val="167"/>
        </w:trPr>
        <w:tc>
          <w:tcPr>
            <w:tcW w:w="7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Fair value as of January 1, 2023</w:t>
            </w:r>
          </w:p>
        </w:tc>
        <w:tc>
          <w:tcPr>
            <w:tcW w:w="620" w:type="dxa"/>
            <w:vAlign w:val="bottom"/>
            <w:shd w:val="clear" w:color="auto" w:fill="CCEEFF"/>
          </w:tcPr>
          <w:p>
            <w:pPr>
              <w:jc w:val="right"/>
              <w:ind w:right="4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2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56,066</w:t>
            </w:r>
          </w:p>
        </w:tc>
      </w:tr>
      <w:tr>
        <w:trPr>
          <w:trHeight w:val="174"/>
        </w:trPr>
        <w:tc>
          <w:tcPr>
            <w:tcW w:w="73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Change in fair value</w:t>
            </w:r>
          </w:p>
        </w:tc>
        <w:tc>
          <w:tcPr>
            <w:tcW w:w="620" w:type="dxa"/>
            <w:vAlign w:val="bottom"/>
          </w:tcPr>
          <w:p>
            <w:pPr>
              <w:spacing w:after="0"/>
              <w:rPr>
                <w:sz w:val="15"/>
                <w:szCs w:val="15"/>
                <w:color w:val="auto"/>
              </w:rPr>
            </w:pPr>
          </w:p>
        </w:tc>
        <w:tc>
          <w:tcPr>
            <w:tcW w:w="32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5,120</w:t>
            </w:r>
          </w:p>
        </w:tc>
      </w:tr>
      <w:tr>
        <w:trPr>
          <w:trHeight w:val="174"/>
        </w:trPr>
        <w:tc>
          <w:tcPr>
            <w:tcW w:w="7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Derecognition of convertible notes upon conversion into redeemable convertible preferred stock</w:t>
            </w:r>
          </w:p>
        </w:tc>
        <w:tc>
          <w:tcPr>
            <w:tcW w:w="620" w:type="dxa"/>
            <w:vAlign w:val="bottom"/>
            <w:tcBorders>
              <w:bottom w:val="single" w:sz="8" w:color="auto"/>
            </w:tcBorders>
            <w:shd w:val="clear" w:color="auto" w:fill="CCEEFF"/>
          </w:tcPr>
          <w:p>
            <w:pPr>
              <w:spacing w:after="0"/>
              <w:rPr>
                <w:sz w:val="15"/>
                <w:szCs w:val="15"/>
                <w:color w:val="auto"/>
              </w:rPr>
            </w:pPr>
          </w:p>
        </w:tc>
        <w:tc>
          <w:tcPr>
            <w:tcW w:w="32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(61,186)</w:t>
            </w:r>
          </w:p>
        </w:tc>
      </w:tr>
      <w:tr>
        <w:trPr>
          <w:trHeight w:val="167"/>
        </w:trPr>
        <w:tc>
          <w:tcPr>
            <w:tcW w:w="73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Fair value as of December 31, 2023</w:t>
            </w:r>
          </w:p>
        </w:tc>
        <w:tc>
          <w:tcPr>
            <w:tcW w:w="620" w:type="dxa"/>
            <w:vAlign w:val="bottom"/>
            <w:tcBorders>
              <w:bottom w:val="single" w:sz="8" w:color="auto"/>
            </w:tcBorders>
          </w:tcPr>
          <w:p>
            <w:pPr>
              <w:jc w:val="right"/>
              <w:ind w:right="4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2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7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The 2022 Convertible Notes, which are not regularly traded, are classified as Level 3, since their values cannot be determined by using readily observable inputs or measures, such as market prices (see Note 9). The fair value of the 2022 Convertible Notes was estimated as the sum of its components (conversion features and the debt component) as of the issuance dates and as of the subsequent balance sheet dates. To value each of the conversion features, a “with and without” methodology was employed. The debt component was valued using a discounted cash flow method that measured the net present value of the principal and interest payments to be received by the holders of the 2022 Convertible Notes (excluding the conversion features) through the estimated maturity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Common Stock Warrant Liability</w:t>
            </w:r>
          </w:p>
        </w:tc>
      </w:tr>
      <w:tr>
        <w:trPr>
          <w:trHeight w:val="167"/>
        </w:trPr>
        <w:tc>
          <w:tcPr>
            <w:tcW w:w="7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Fair value as of January 1, 2023</w:t>
            </w:r>
          </w:p>
        </w:tc>
        <w:tc>
          <w:tcPr>
            <w:tcW w:w="440" w:type="dxa"/>
            <w:vAlign w:val="bottom"/>
            <w:shd w:val="clear" w:color="auto" w:fill="CCEEFF"/>
          </w:tcPr>
          <w:p>
            <w:pPr>
              <w:jc w:val="right"/>
              <w:ind w:right="2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2,120</w:t>
            </w:r>
          </w:p>
        </w:tc>
      </w:tr>
      <w:tr>
        <w:trPr>
          <w:trHeight w:val="174"/>
        </w:trPr>
        <w:tc>
          <w:tcPr>
            <w:tcW w:w="734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Change in fair value</w:t>
            </w:r>
          </w:p>
        </w:tc>
        <w:tc>
          <w:tcPr>
            <w:tcW w:w="4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2,320</w:t>
            </w:r>
          </w:p>
        </w:tc>
      </w:tr>
      <w:tr>
        <w:trPr>
          <w:trHeight w:val="167"/>
        </w:trPr>
        <w:tc>
          <w:tcPr>
            <w:tcW w:w="7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Fair value as of December 31, 2023</w:t>
            </w:r>
          </w:p>
        </w:tc>
        <w:tc>
          <w:tcPr>
            <w:tcW w:w="440" w:type="dxa"/>
            <w:vAlign w:val="bottom"/>
            <w:shd w:val="clear" w:color="auto" w:fill="CCEEFF"/>
          </w:tcPr>
          <w:p>
            <w:pPr>
              <w:spacing w:after="0"/>
              <w:rPr>
                <w:sz w:val="14"/>
                <w:szCs w:val="14"/>
                <w:color w:val="auto"/>
              </w:rPr>
            </w:pPr>
          </w:p>
        </w:tc>
        <w:tc>
          <w:tcPr>
            <w:tcW w:w="3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4,440</w:t>
            </w:r>
          </w:p>
        </w:tc>
      </w:tr>
      <w:tr>
        <w:trPr>
          <w:trHeight w:val="174"/>
        </w:trPr>
        <w:tc>
          <w:tcPr>
            <w:tcW w:w="734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Change in fair value</w:t>
            </w:r>
          </w:p>
        </w:tc>
        <w:tc>
          <w:tcPr>
            <w:tcW w:w="4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16,395</w:t>
            </w:r>
          </w:p>
        </w:tc>
      </w:tr>
      <w:tr>
        <w:trPr>
          <w:trHeight w:val="167"/>
        </w:trPr>
        <w:tc>
          <w:tcPr>
            <w:tcW w:w="7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Fair value as of December 31, 2024</w:t>
            </w:r>
          </w:p>
        </w:tc>
        <w:tc>
          <w:tcPr>
            <w:tcW w:w="440" w:type="dxa"/>
            <w:vAlign w:val="bottom"/>
            <w:shd w:val="clear" w:color="auto" w:fill="CCEEFF"/>
          </w:tcPr>
          <w:p>
            <w:pPr>
              <w:spacing w:after="0"/>
              <w:rPr>
                <w:sz w:val="14"/>
                <w:szCs w:val="14"/>
                <w:color w:val="auto"/>
              </w:rPr>
            </w:pPr>
          </w:p>
        </w:tc>
        <w:tc>
          <w:tcPr>
            <w:tcW w:w="3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20,835</w:t>
            </w:r>
          </w:p>
        </w:tc>
      </w:tr>
      <w:tr>
        <w:trPr>
          <w:trHeight w:val="174"/>
        </w:trPr>
        <w:tc>
          <w:tcPr>
            <w:tcW w:w="73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Change in fair value</w:t>
            </w:r>
          </w:p>
        </w:tc>
        <w:tc>
          <w:tcPr>
            <w:tcW w:w="440" w:type="dxa"/>
            <w:vAlign w:val="bottom"/>
          </w:tcPr>
          <w:p>
            <w:pPr>
              <w:spacing w:after="0"/>
              <w:rPr>
                <w:sz w:val="15"/>
                <w:szCs w:val="15"/>
                <w:color w:val="auto"/>
              </w:rPr>
            </w:pPr>
          </w:p>
        </w:tc>
        <w:tc>
          <w:tcPr>
            <w:tcW w:w="34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43,894</w:t>
            </w:r>
          </w:p>
        </w:tc>
      </w:tr>
      <w:tr>
        <w:trPr>
          <w:trHeight w:val="174"/>
        </w:trPr>
        <w:tc>
          <w:tcPr>
            <w:tcW w:w="7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Reclassification to common stock upon net exercise</w:t>
            </w:r>
          </w:p>
        </w:tc>
        <w:tc>
          <w:tcPr>
            <w:tcW w:w="440" w:type="dxa"/>
            <w:vAlign w:val="bottom"/>
            <w:tcBorders>
              <w:bottom w:val="single" w:sz="8" w:color="auto"/>
            </w:tcBorders>
            <w:shd w:val="clear" w:color="auto" w:fill="CCEEFF"/>
          </w:tcPr>
          <w:p>
            <w:pPr>
              <w:spacing w:after="0"/>
              <w:rPr>
                <w:sz w:val="15"/>
                <w:szCs w:val="15"/>
                <w:color w:val="auto"/>
              </w:rPr>
            </w:pPr>
          </w:p>
        </w:tc>
        <w:tc>
          <w:tcPr>
            <w:tcW w:w="34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(64,729)</w:t>
            </w:r>
          </w:p>
        </w:tc>
      </w:tr>
      <w:tr>
        <w:trPr>
          <w:trHeight w:val="167"/>
        </w:trPr>
        <w:tc>
          <w:tcPr>
            <w:tcW w:w="73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Fair value as of December 31, 2025</w:t>
            </w:r>
          </w:p>
        </w:tc>
        <w:tc>
          <w:tcPr>
            <w:tcW w:w="440" w:type="dxa"/>
            <w:vAlign w:val="bottom"/>
            <w:tcBorders>
              <w:bottom w:val="single" w:sz="8" w:color="auto"/>
            </w:tcBorders>
          </w:tcPr>
          <w:p>
            <w:pPr>
              <w:jc w:val="right"/>
              <w:ind w:right="2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4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7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18"/>
          <w:szCs w:val="18"/>
          <w:color w:val="auto"/>
        </w:rPr>
        <w:t>In determining the fair value of the common stock warrant liability, the Company used the Black-Scholes option pricing model to estimate the fair value using unobservable inputs including the expected term, expected volatility, risk-free interest rate and dividend yield (see Note 12).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Term Loan Derivative Liability</w:t>
            </w:r>
          </w:p>
        </w:tc>
      </w:tr>
      <w:tr>
        <w:trPr>
          <w:trHeight w:val="167"/>
        </w:trPr>
        <w:tc>
          <w:tcPr>
            <w:tcW w:w="7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Fair value as of January 1, 2023</w:t>
            </w:r>
          </w:p>
        </w:tc>
        <w:tc>
          <w:tcPr>
            <w:tcW w:w="480" w:type="dxa"/>
            <w:vAlign w:val="bottom"/>
            <w:shd w:val="clear" w:color="auto" w:fill="CCEEFF"/>
          </w:tcPr>
          <w:p>
            <w:pPr>
              <w:jc w:val="right"/>
              <w:ind w:right="3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4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5,061</w:t>
            </w:r>
          </w:p>
        </w:tc>
      </w:tr>
      <w:tr>
        <w:trPr>
          <w:trHeight w:val="174"/>
        </w:trPr>
        <w:tc>
          <w:tcPr>
            <w:tcW w:w="734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Change in fair value</w:t>
            </w:r>
          </w:p>
        </w:tc>
        <w:tc>
          <w:tcPr>
            <w:tcW w:w="48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(4,158)</w:t>
            </w:r>
          </w:p>
        </w:tc>
      </w:tr>
      <w:tr>
        <w:trPr>
          <w:trHeight w:val="167"/>
        </w:trPr>
        <w:tc>
          <w:tcPr>
            <w:tcW w:w="7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Fair value as of December 31, 2023</w:t>
            </w:r>
          </w:p>
        </w:tc>
        <w:tc>
          <w:tcPr>
            <w:tcW w:w="480" w:type="dxa"/>
            <w:vAlign w:val="bottom"/>
            <w:shd w:val="clear" w:color="auto" w:fill="CCEEFF"/>
          </w:tcPr>
          <w:p>
            <w:pPr>
              <w:jc w:val="right"/>
              <w:ind w:right="3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4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903</w:t>
            </w:r>
          </w:p>
        </w:tc>
      </w:tr>
      <w:tr>
        <w:trPr>
          <w:trHeight w:val="174"/>
        </w:trPr>
        <w:tc>
          <w:tcPr>
            <w:tcW w:w="73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Change in fair value</w:t>
            </w:r>
          </w:p>
        </w:tc>
        <w:tc>
          <w:tcPr>
            <w:tcW w:w="480" w:type="dxa"/>
            <w:vAlign w:val="bottom"/>
          </w:tcPr>
          <w:p>
            <w:pPr>
              <w:spacing w:after="0"/>
              <w:rPr>
                <w:sz w:val="15"/>
                <w:szCs w:val="15"/>
                <w:color w:val="auto"/>
              </w:rPr>
            </w:pPr>
          </w:p>
        </w:tc>
        <w:tc>
          <w:tcPr>
            <w:tcW w:w="34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222</w:t>
            </w:r>
          </w:p>
        </w:tc>
      </w:tr>
      <w:tr>
        <w:trPr>
          <w:trHeight w:val="174"/>
        </w:trPr>
        <w:tc>
          <w:tcPr>
            <w:tcW w:w="7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Derecognition in connection with debt refinancing</w:t>
            </w:r>
          </w:p>
        </w:tc>
        <w:tc>
          <w:tcPr>
            <w:tcW w:w="480" w:type="dxa"/>
            <w:vAlign w:val="bottom"/>
            <w:tcBorders>
              <w:bottom w:val="single" w:sz="8" w:color="auto"/>
            </w:tcBorders>
            <w:shd w:val="clear" w:color="auto" w:fill="CCEEFF"/>
          </w:tcPr>
          <w:p>
            <w:pPr>
              <w:spacing w:after="0"/>
              <w:rPr>
                <w:sz w:val="15"/>
                <w:szCs w:val="15"/>
                <w:color w:val="auto"/>
              </w:rPr>
            </w:pPr>
          </w:p>
        </w:tc>
        <w:tc>
          <w:tcPr>
            <w:tcW w:w="34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(1,125)</w:t>
            </w:r>
          </w:p>
        </w:tc>
      </w:tr>
      <w:tr>
        <w:trPr>
          <w:trHeight w:val="167"/>
        </w:trPr>
        <w:tc>
          <w:tcPr>
            <w:tcW w:w="73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Fair value as of December 31, 2024</w:t>
            </w:r>
          </w:p>
        </w:tc>
        <w:tc>
          <w:tcPr>
            <w:tcW w:w="480" w:type="dxa"/>
            <w:vAlign w:val="bottom"/>
            <w:tcBorders>
              <w:bottom w:val="single" w:sz="8" w:color="auto"/>
            </w:tcBorders>
          </w:tcPr>
          <w:p>
            <w:pPr>
              <w:jc w:val="right"/>
              <w:ind w:right="3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4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7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In determining the fair value of the term loan derivative liability, a two-step valuation approach was employed, which included a probability-weighted scenario valuation method, the Black-Scholes-Merton method, and the option pricing method, using unobservable inputs (see Note 13), which are classified as Level 3 within the fair value hierarchy, and then comparing the instrument’s value with and without the derivative features to estimate their combined fair value. The debt instrument is carried at amortized cost, which approximates its fair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Convertible Notes Derivative Liability</w:t>
            </w:r>
          </w:p>
        </w:tc>
      </w:tr>
      <w:tr>
        <w:trPr>
          <w:trHeight w:val="167"/>
        </w:trPr>
        <w:tc>
          <w:tcPr>
            <w:tcW w:w="7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Fair value as of January 1, 2025</w:t>
            </w:r>
          </w:p>
        </w:tc>
        <w:tc>
          <w:tcPr>
            <w:tcW w:w="360" w:type="dxa"/>
            <w:vAlign w:val="bottom"/>
            <w:shd w:val="clear" w:color="auto" w:fill="CCEEFF"/>
          </w:tcPr>
          <w:p>
            <w:pPr>
              <w:jc w:val="right"/>
              <w:ind w:right="20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5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73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Recognition of derivative liability related to Convertible Notes</w:t>
            </w:r>
          </w:p>
        </w:tc>
        <w:tc>
          <w:tcPr>
            <w:tcW w:w="360" w:type="dxa"/>
            <w:vAlign w:val="bottom"/>
          </w:tcPr>
          <w:p>
            <w:pPr>
              <w:spacing w:after="0"/>
              <w:rPr>
                <w:sz w:val="15"/>
                <w:szCs w:val="15"/>
                <w:color w:val="auto"/>
              </w:rPr>
            </w:pPr>
          </w:p>
        </w:tc>
        <w:tc>
          <w:tcPr>
            <w:tcW w:w="35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31,900</w:t>
            </w:r>
          </w:p>
        </w:tc>
      </w:tr>
      <w:tr>
        <w:trPr>
          <w:trHeight w:val="174"/>
        </w:trPr>
        <w:tc>
          <w:tcPr>
            <w:tcW w:w="7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Change in fair value</w:t>
            </w:r>
          </w:p>
        </w:tc>
        <w:tc>
          <w:tcPr>
            <w:tcW w:w="360" w:type="dxa"/>
            <w:vAlign w:val="bottom"/>
            <w:shd w:val="clear" w:color="auto" w:fill="CCEEFF"/>
          </w:tcPr>
          <w:p>
            <w:pPr>
              <w:spacing w:after="0"/>
              <w:rPr>
                <w:sz w:val="15"/>
                <w:szCs w:val="15"/>
                <w:color w:val="auto"/>
              </w:rPr>
            </w:pPr>
          </w:p>
        </w:tc>
        <w:tc>
          <w:tcPr>
            <w:tcW w:w="35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(7,311)</w:t>
            </w:r>
          </w:p>
        </w:tc>
      </w:tr>
      <w:tr>
        <w:trPr>
          <w:trHeight w:val="174"/>
        </w:trPr>
        <w:tc>
          <w:tcPr>
            <w:tcW w:w="734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Derecognition upon conversion into common stock upon IPO</w:t>
            </w:r>
          </w:p>
        </w:tc>
        <w:tc>
          <w:tcPr>
            <w:tcW w:w="36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(24,589)</w:t>
            </w:r>
          </w:p>
        </w:tc>
      </w:tr>
      <w:tr>
        <w:trPr>
          <w:trHeight w:val="167"/>
        </w:trPr>
        <w:tc>
          <w:tcPr>
            <w:tcW w:w="73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Fair value as of December 31, 2025</w:t>
            </w:r>
          </w:p>
        </w:tc>
        <w:tc>
          <w:tcPr>
            <w:tcW w:w="360" w:type="dxa"/>
            <w:vAlign w:val="bottom"/>
            <w:tcBorders>
              <w:bottom w:val="single" w:sz="8" w:color="auto"/>
            </w:tcBorders>
            <w:shd w:val="clear" w:color="auto" w:fill="CCEEFF"/>
          </w:tcPr>
          <w:p>
            <w:pPr>
              <w:jc w:val="right"/>
              <w:ind w:right="20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5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In determining the fair value of the convertible notes derivative liability, a two-step valuation approach was employed, which included a probability-weighted scenario valuation method, the Monte Carlo Simulation method, and the option pricing method, using unobservable inputs (see Note 13), which are classified as Level 3 within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480"/>
        <w:spacing w:after="0" w:line="239" w:lineRule="auto"/>
        <w:rPr>
          <w:sz w:val="20"/>
          <w:szCs w:val="20"/>
          <w:color w:val="auto"/>
        </w:rPr>
      </w:pPr>
      <w:r>
        <w:rPr>
          <w:rFonts w:ascii="Times New Roman" w:cs="Times New Roman" w:eastAsia="Times New Roman" w:hAnsi="Times New Roman"/>
          <w:sz w:val="18"/>
          <w:szCs w:val="18"/>
          <w:color w:val="auto"/>
        </w:rPr>
        <w:t>fair value hierarchy, and then comparing the instrument’s value with and without the derivative features to estimate their combined fair value. The debt instrument is carried at amortized cost, which approximates its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Balance Sheet Components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available-for-sale investments and restricted cash as of December 31, 2025 are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2"/>
          </w:tcPr>
          <w:p>
            <w:pPr>
              <w:ind w:left="320"/>
              <w:spacing w:after="0" w:line="167"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920"/>
              <w:spacing w:after="0" w:line="167"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260"/>
              <w:spacing w:after="0" w:line="167"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2"/>
          </w:tcPr>
          <w:p>
            <w:pPr>
              <w:ind w:left="420"/>
              <w:spacing w:after="0" w:line="167" w:lineRule="exact"/>
              <w:rPr>
                <w:sz w:val="20"/>
                <w:szCs w:val="20"/>
                <w:color w:val="auto"/>
              </w:rPr>
            </w:pPr>
            <w:r>
              <w:rPr>
                <w:rFonts w:ascii="Times New Roman" w:cs="Times New Roman" w:eastAsia="Times New Roman" w:hAnsi="Times New Roman"/>
                <w:sz w:val="16"/>
                <w:szCs w:val="16"/>
                <w:b w:val="1"/>
                <w:bCs w:val="1"/>
                <w:color w:val="auto"/>
              </w:rPr>
              <w:t>Cost</w:t>
            </w:r>
          </w:p>
        </w:tc>
        <w:tc>
          <w:tcPr>
            <w:tcW w:w="380" w:type="dxa"/>
            <w:vAlign w:val="bottom"/>
          </w:tcPr>
          <w:p>
            <w:pPr>
              <w:spacing w:after="0"/>
              <w:rPr>
                <w:sz w:val="14"/>
                <w:szCs w:val="14"/>
                <w:color w:val="auto"/>
              </w:rPr>
            </w:pPr>
          </w:p>
        </w:tc>
        <w:tc>
          <w:tcPr>
            <w:tcW w:w="1640" w:type="dxa"/>
            <w:vAlign w:val="bottom"/>
            <w:gridSpan w:val="2"/>
          </w:tcPr>
          <w:p>
            <w:pPr>
              <w:ind w:left="320"/>
              <w:spacing w:after="0" w:line="167" w:lineRule="exact"/>
              <w:rPr>
                <w:sz w:val="20"/>
                <w:szCs w:val="20"/>
                <w:color w:val="auto"/>
              </w:rPr>
            </w:pPr>
            <w:r>
              <w:rPr>
                <w:rFonts w:ascii="Times New Roman" w:cs="Times New Roman" w:eastAsia="Times New Roman" w:hAnsi="Times New Roman"/>
                <w:sz w:val="16"/>
                <w:szCs w:val="16"/>
                <w:b w:val="1"/>
                <w:bCs w:val="1"/>
                <w:color w:val="auto"/>
              </w:rPr>
              <w:t>Gains</w:t>
            </w:r>
          </w:p>
        </w:tc>
        <w:tc>
          <w:tcPr>
            <w:tcW w:w="500" w:type="dxa"/>
            <w:vAlign w:val="bottom"/>
          </w:tcPr>
          <w:p>
            <w:pPr>
              <w:spacing w:after="0"/>
              <w:rPr>
                <w:sz w:val="14"/>
                <w:szCs w:val="14"/>
                <w:color w:val="auto"/>
              </w:rPr>
            </w:pPr>
          </w:p>
        </w:tc>
        <w:tc>
          <w:tcPr>
            <w:tcW w:w="1060" w:type="dxa"/>
            <w:vAlign w:val="bottom"/>
          </w:tcPr>
          <w:p>
            <w:pPr>
              <w:jc w:val="right"/>
              <w:ind w:right="480"/>
              <w:spacing w:after="0" w:line="167" w:lineRule="exact"/>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240"/>
              <w:spacing w:after="0" w:line="167"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400" w:type="dxa"/>
            <w:vAlign w:val="bottom"/>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27,806</w:t>
            </w:r>
          </w:p>
        </w:tc>
        <w:tc>
          <w:tcPr>
            <w:tcW w:w="220" w:type="dxa"/>
            <w:vAlign w:val="bottom"/>
          </w:tcPr>
          <w:p>
            <w:pPr>
              <w:spacing w:after="0"/>
              <w:rPr>
                <w:sz w:val="15"/>
                <w:szCs w:val="15"/>
                <w:color w:val="auto"/>
              </w:rPr>
            </w:pPr>
          </w:p>
        </w:tc>
        <w:tc>
          <w:tcPr>
            <w:tcW w:w="380" w:type="dxa"/>
            <w:vAlign w:val="bottom"/>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tcPr>
          <w:p>
            <w:pPr>
              <w:ind w:left="12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4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27,806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auto"/>
              </w:rPr>
              <w:t>Money market funds, included in restricted cash, non-</w:t>
            </w:r>
          </w:p>
        </w:tc>
        <w:tc>
          <w:tcPr>
            <w:tcW w:w="4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U.S. government securities</w:t>
            </w:r>
          </w:p>
        </w:tc>
        <w:tc>
          <w:tcPr>
            <w:tcW w:w="400" w:type="dxa"/>
            <w:vAlign w:val="bottom"/>
          </w:tcPr>
          <w:p>
            <w:pPr>
              <w:spacing w:after="0"/>
              <w:rPr>
                <w:sz w:val="15"/>
                <w:szCs w:val="15"/>
                <w:color w:val="auto"/>
              </w:rPr>
            </w:pPr>
          </w:p>
        </w:tc>
        <w:tc>
          <w:tcPr>
            <w:tcW w:w="1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81,385</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94</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81,479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U.S. treasury bills</w:t>
            </w: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39,568</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39,593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Corporate bonds/notes</w:t>
            </w:r>
          </w:p>
        </w:tc>
        <w:tc>
          <w:tcPr>
            <w:tcW w:w="400" w:type="dxa"/>
            <w:vAlign w:val="bottom"/>
          </w:tcPr>
          <w:p>
            <w:pPr>
              <w:spacing w:after="0"/>
              <w:rPr>
                <w:sz w:val="15"/>
                <w:szCs w:val="15"/>
                <w:color w:val="auto"/>
              </w:rPr>
            </w:pPr>
          </w:p>
        </w:tc>
        <w:tc>
          <w:tcPr>
            <w:tcW w:w="1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57,564</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57,571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Agency bonds/notes</w:t>
            </w: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25,147</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25,151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Asset-backed securities</w:t>
            </w:r>
          </w:p>
        </w:tc>
        <w:tc>
          <w:tcPr>
            <w:tcW w:w="400" w:type="dxa"/>
            <w:vAlign w:val="bottom"/>
          </w:tcPr>
          <w:p>
            <w:pPr>
              <w:spacing w:after="0"/>
              <w:rPr>
                <w:sz w:val="15"/>
                <w:szCs w:val="15"/>
                <w:color w:val="auto"/>
              </w:rPr>
            </w:pPr>
          </w:p>
        </w:tc>
        <w:tc>
          <w:tcPr>
            <w:tcW w:w="1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21,689</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21,711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Commercial paper</w:t>
            </w: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9,868</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9,870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80"/>
              <w:spacing w:after="0" w:line="167" w:lineRule="exact"/>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top w:val="single" w:sz="8" w:color="auto"/>
              <w:bottom w:val="single" w:sz="8" w:color="auto"/>
            </w:tcBorders>
          </w:tcPr>
          <w:p>
            <w:pPr>
              <w:jc w:val="right"/>
              <w:ind w:right="2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267,736</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169</w:t>
            </w:r>
          </w:p>
        </w:tc>
        <w:tc>
          <w:tcPr>
            <w:tcW w:w="2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267,890</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680" w:type="dxa"/>
            <w:vAlign w:val="bottom"/>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Classified as:</w:t>
            </w: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Cash equivalents</w:t>
            </w: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27,806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Short-term investments</w:t>
            </w: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132,010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Long-term investments</w:t>
            </w: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103,365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Restricted cash</w:t>
            </w:r>
          </w:p>
        </w:tc>
        <w:tc>
          <w:tcPr>
            <w:tcW w:w="4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4,709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Borders>
              <w:bottom w:val="single" w:sz="8" w:color="CCEEFF"/>
            </w:tcBorders>
            <w:shd w:val="clear" w:color="auto" w:fill="CCEEFF"/>
          </w:tcPr>
          <w:p>
            <w:pPr>
              <w:ind w:left="80"/>
              <w:spacing w:after="0" w:line="167" w:lineRule="exact"/>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267,890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cash equivalents, and available-for-sale investments classified by maturity as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ind w:right="12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67"/>
        </w:trPr>
        <w:tc>
          <w:tcPr>
            <w:tcW w:w="72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Amounts maturing within one year</w:t>
            </w:r>
          </w:p>
        </w:tc>
        <w:tc>
          <w:tcPr>
            <w:tcW w:w="720" w:type="dxa"/>
            <w:vAlign w:val="bottom"/>
            <w:shd w:val="clear" w:color="auto" w:fill="CCEEFF"/>
          </w:tcPr>
          <w:p>
            <w:pPr>
              <w:jc w:val="right"/>
              <w:ind w:right="5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2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159,816</w:t>
            </w:r>
          </w:p>
        </w:tc>
      </w:tr>
      <w:tr>
        <w:trPr>
          <w:trHeight w:val="174"/>
        </w:trPr>
        <w:tc>
          <w:tcPr>
            <w:tcW w:w="728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Amounts maturing after one year through two years</w:t>
            </w:r>
          </w:p>
        </w:tc>
        <w:tc>
          <w:tcPr>
            <w:tcW w:w="7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103,365</w:t>
            </w:r>
          </w:p>
        </w:tc>
      </w:tr>
      <w:tr>
        <w:trPr>
          <w:trHeight w:val="167"/>
        </w:trPr>
        <w:tc>
          <w:tcPr>
            <w:tcW w:w="7280" w:type="dxa"/>
            <w:vAlign w:val="bottom"/>
            <w:tcBorders>
              <w:bottom w:val="single" w:sz="8" w:color="CCEEFF"/>
            </w:tcBorders>
            <w:shd w:val="clear" w:color="auto" w:fill="CCEEFF"/>
          </w:tcPr>
          <w:p>
            <w:pPr>
              <w:ind w:left="100"/>
              <w:spacing w:after="0" w:line="167" w:lineRule="exact"/>
              <w:rPr>
                <w:sz w:val="20"/>
                <w:szCs w:val="20"/>
                <w:color w:val="auto"/>
              </w:rPr>
            </w:pPr>
            <w:r>
              <w:rPr>
                <w:rFonts w:ascii="Times New Roman" w:cs="Times New Roman" w:eastAsia="Times New Roman" w:hAnsi="Times New Roman"/>
                <w:sz w:val="16"/>
                <w:szCs w:val="16"/>
                <w:color w:val="auto"/>
              </w:rPr>
              <w:t>Total</w:t>
            </w:r>
          </w:p>
        </w:tc>
        <w:tc>
          <w:tcPr>
            <w:tcW w:w="720" w:type="dxa"/>
            <w:vAlign w:val="bottom"/>
            <w:tcBorders>
              <w:bottom w:val="single" w:sz="8" w:color="auto"/>
            </w:tcBorders>
            <w:shd w:val="clear" w:color="auto" w:fill="CCEEFF"/>
          </w:tcPr>
          <w:p>
            <w:pPr>
              <w:jc w:val="right"/>
              <w:ind w:right="5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32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263,181</w:t>
            </w:r>
          </w:p>
        </w:tc>
      </w:tr>
      <w:tr>
        <w:trPr>
          <w:trHeight w:val="20"/>
        </w:trPr>
        <w:tc>
          <w:tcPr>
            <w:tcW w:w="7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investments held as of December 31, 2025 had a weighted average days to maturity of 346 days.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available-for-sale investments that were in an unrealized loss position as of December 31, 2025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7"/>
        </w:trPr>
        <w:tc>
          <w:tcPr>
            <w:tcW w:w="5360" w:type="dxa"/>
            <w:vAlign w:val="bottom"/>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25"/>
              <w:spacing w:after="0" w:line="167" w:lineRule="exact"/>
              <w:rPr>
                <w:sz w:val="20"/>
                <w:szCs w:val="20"/>
                <w:color w:val="auto"/>
              </w:rPr>
            </w:pPr>
            <w:r>
              <w:rPr>
                <w:rFonts w:ascii="Times New Roman" w:cs="Times New Roman" w:eastAsia="Times New Roman" w:hAnsi="Times New Roman"/>
                <w:sz w:val="16"/>
                <w:szCs w:val="16"/>
                <w:b w:val="1"/>
                <w:bCs w:val="1"/>
                <w:color w:val="auto"/>
              </w:rPr>
              <w:t>Less than 12 months</w:t>
            </w:r>
          </w:p>
        </w:tc>
        <w:tc>
          <w:tcPr>
            <w:tcW w:w="2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536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tcPr>
          <w:p>
            <w:pPr>
              <w:jc w:val="right"/>
              <w:ind w:right="140"/>
              <w:spacing w:after="0" w:line="167"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700"/>
              <w:spacing w:after="0" w:line="167" w:lineRule="exact"/>
              <w:rPr>
                <w:sz w:val="20"/>
                <w:szCs w:val="20"/>
                <w:color w:val="auto"/>
              </w:rPr>
            </w:pPr>
            <w:r>
              <w:rPr>
                <w:rFonts w:ascii="Times New Roman" w:cs="Times New Roman" w:eastAsia="Times New Roman" w:hAnsi="Times New Roman"/>
                <w:sz w:val="16"/>
                <w:szCs w:val="16"/>
                <w:b w:val="1"/>
                <w:bCs w:val="1"/>
                <w:color w:val="auto"/>
              </w:rPr>
              <w:t>Unrealized Loss</w:t>
            </w:r>
          </w:p>
        </w:tc>
        <w:tc>
          <w:tcPr>
            <w:tcW w:w="20" w:type="dxa"/>
            <w:vAlign w:val="bottom"/>
          </w:tcPr>
          <w:p>
            <w:pPr>
              <w:spacing w:after="0"/>
              <w:rPr>
                <w:sz w:val="14"/>
                <w:szCs w:val="14"/>
                <w:color w:val="auto"/>
              </w:rPr>
            </w:pPr>
          </w:p>
        </w:tc>
      </w:tr>
      <w:tr>
        <w:trPr>
          <w:trHeight w:val="167"/>
        </w:trPr>
        <w:tc>
          <w:tcPr>
            <w:tcW w:w="53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53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Corporate bonds/notes</w:t>
            </w:r>
          </w:p>
        </w:tc>
        <w:tc>
          <w:tcPr>
            <w:tcW w:w="2020" w:type="dxa"/>
            <w:vAlign w:val="bottom"/>
          </w:tcPr>
          <w:p>
            <w:pPr>
              <w:jc w:val="right"/>
              <w:ind w:right="186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26,716</w:t>
            </w:r>
          </w:p>
        </w:tc>
        <w:tc>
          <w:tcPr>
            <w:tcW w:w="340" w:type="dxa"/>
            <w:vAlign w:val="bottom"/>
          </w:tcPr>
          <w:p>
            <w:pPr>
              <w:spacing w:after="0"/>
              <w:rPr>
                <w:sz w:val="15"/>
                <w:szCs w:val="15"/>
                <w:color w:val="auto"/>
              </w:rPr>
            </w:pPr>
          </w:p>
        </w:tc>
        <w:tc>
          <w:tcPr>
            <w:tcW w:w="600" w:type="dxa"/>
            <w:vAlign w:val="bottom"/>
            <w:gridSpan w:val="2"/>
          </w:tcPr>
          <w:p>
            <w:pPr>
              <w:jc w:val="right"/>
              <w:ind w:right="465"/>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5"/>
                <w:szCs w:val="15"/>
                <w:color w:val="auto"/>
              </w:rPr>
            </w:pPr>
          </w:p>
        </w:tc>
      </w:tr>
      <w:tr>
        <w:trPr>
          <w:trHeight w:val="174"/>
        </w:trPr>
        <w:tc>
          <w:tcPr>
            <w:tcW w:w="53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Agency bonds/notes</w:t>
            </w:r>
          </w:p>
        </w:tc>
        <w:tc>
          <w:tcPr>
            <w:tcW w:w="20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3,995</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5"/>
                <w:szCs w:val="15"/>
                <w:color w:val="auto"/>
              </w:rPr>
            </w:pPr>
          </w:p>
        </w:tc>
      </w:tr>
      <w:tr>
        <w:trPr>
          <w:trHeight w:val="167"/>
        </w:trPr>
        <w:tc>
          <w:tcPr>
            <w:tcW w:w="536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rPr>
              <w:t>Total</w:t>
            </w:r>
          </w:p>
        </w:tc>
        <w:tc>
          <w:tcPr>
            <w:tcW w:w="2020" w:type="dxa"/>
            <w:vAlign w:val="bottom"/>
            <w:tcBorders>
              <w:bottom w:val="single" w:sz="8" w:color="auto"/>
            </w:tcBorders>
          </w:tcPr>
          <w:p>
            <w:pPr>
              <w:jc w:val="right"/>
              <w:ind w:right="18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30,711</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(15)</w:t>
            </w:r>
          </w:p>
        </w:tc>
        <w:tc>
          <w:tcPr>
            <w:tcW w:w="20" w:type="dxa"/>
            <w:vAlign w:val="bottom"/>
            <w:tcBorders>
              <w:bottom w:val="single" w:sz="8" w:color="auto"/>
            </w:tcBorders>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available-for-sale investments in an unrealized loss position greater than twelve months as of December 31, 2025.</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allowance for credit losses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060" w:type="dxa"/>
            <w:vAlign w:val="bottom"/>
            <w:tcBorders>
              <w:bottom w:val="single" w:sz="8" w:color="auto"/>
            </w:tcBorders>
            <w:gridSpan w:val="5"/>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7"/>
                <w:szCs w:val="17"/>
                <w:color w:val="auto"/>
              </w:rPr>
            </w:pPr>
          </w:p>
        </w:tc>
      </w:tr>
      <w:tr>
        <w:trPr>
          <w:trHeight w:val="167"/>
        </w:trPr>
        <w:tc>
          <w:tcPr>
            <w:tcW w:w="48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80" w:type="dxa"/>
            <w:vAlign w:val="bottom"/>
          </w:tcPr>
          <w:p>
            <w:pPr>
              <w:jc w:val="right"/>
              <w:ind w:right="6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right"/>
              <w:ind w:right="65"/>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4"/>
                <w:szCs w:val="14"/>
                <w:color w:val="auto"/>
              </w:rPr>
            </w:pPr>
          </w:p>
        </w:tc>
      </w:tr>
      <w:tr>
        <w:trPr>
          <w:trHeight w:val="167"/>
        </w:trPr>
        <w:tc>
          <w:tcPr>
            <w:tcW w:w="48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28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814</w:t>
            </w:r>
          </w:p>
        </w:tc>
        <w:tc>
          <w:tcPr>
            <w:tcW w:w="4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1,058</w:t>
            </w:r>
          </w:p>
        </w:tc>
      </w:tr>
      <w:tr>
        <w:trPr>
          <w:trHeight w:val="174"/>
        </w:trPr>
        <w:tc>
          <w:tcPr>
            <w:tcW w:w="48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Additions</w:t>
            </w:r>
          </w:p>
        </w:tc>
        <w:tc>
          <w:tcPr>
            <w:tcW w:w="2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gridSpan w:val="2"/>
          </w:tcPr>
          <w:p>
            <w:pPr>
              <w:jc w:val="right"/>
              <w:ind w:right="4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48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Write-offs</w:t>
            </w:r>
          </w:p>
        </w:tc>
        <w:tc>
          <w:tcPr>
            <w:tcW w:w="28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20"/>
              <w:spacing w:after="0" w:line="174" w:lineRule="exact"/>
              <w:rPr>
                <w:sz w:val="20"/>
                <w:szCs w:val="20"/>
                <w:color w:val="auto"/>
              </w:rPr>
            </w:pPr>
            <w:r>
              <w:rPr>
                <w:rFonts w:ascii="Times New Roman" w:cs="Times New Roman" w:eastAsia="Times New Roman" w:hAnsi="Times New Roman"/>
                <w:sz w:val="16"/>
                <w:szCs w:val="16"/>
                <w:color w:val="auto"/>
              </w:rPr>
              <w:t>(188)</w:t>
            </w:r>
          </w:p>
        </w:tc>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(244)</w:t>
            </w:r>
          </w:p>
        </w:tc>
      </w:tr>
      <w:tr>
        <w:trPr>
          <w:trHeight w:val="167"/>
        </w:trPr>
        <w:tc>
          <w:tcPr>
            <w:tcW w:w="48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Balance at end of period</w:t>
            </w:r>
          </w:p>
        </w:tc>
        <w:tc>
          <w:tcPr>
            <w:tcW w:w="28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626</w:t>
            </w:r>
          </w:p>
        </w:tc>
        <w:tc>
          <w:tcPr>
            <w:tcW w:w="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814</w:t>
            </w:r>
          </w:p>
        </w:tc>
      </w:tr>
      <w:tr>
        <w:trPr>
          <w:trHeight w:val="20"/>
        </w:trPr>
        <w:tc>
          <w:tcPr>
            <w:tcW w:w="4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are comprised of the following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67"/>
        </w:trPr>
        <w:tc>
          <w:tcPr>
            <w:tcW w:w="534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167"/>
        </w:trPr>
        <w:tc>
          <w:tcPr>
            <w:tcW w:w="5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Prepaid expenses</w:t>
            </w:r>
          </w:p>
        </w:tc>
        <w:tc>
          <w:tcPr>
            <w:tcW w:w="2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5,964</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3,017</w:t>
            </w:r>
          </w:p>
        </w:tc>
      </w:tr>
      <w:tr>
        <w:trPr>
          <w:trHeight w:val="174"/>
        </w:trPr>
        <w:tc>
          <w:tcPr>
            <w:tcW w:w="53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Contract costs, current</w:t>
            </w:r>
          </w:p>
        </w:tc>
        <w:tc>
          <w:tcPr>
            <w:tcW w:w="2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6,669</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2,453</w:t>
            </w:r>
          </w:p>
        </w:tc>
      </w:tr>
      <w:tr>
        <w:trPr>
          <w:trHeight w:val="174"/>
        </w:trPr>
        <w:tc>
          <w:tcPr>
            <w:tcW w:w="5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Other</w:t>
            </w:r>
          </w:p>
        </w:tc>
        <w:tc>
          <w:tcPr>
            <w:tcW w:w="23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1,442</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662</w:t>
            </w:r>
          </w:p>
        </w:tc>
      </w:tr>
      <w:tr>
        <w:trPr>
          <w:trHeight w:val="167"/>
        </w:trPr>
        <w:tc>
          <w:tcPr>
            <w:tcW w:w="53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2340" w:type="dxa"/>
            <w:vAlign w:val="bottom"/>
          </w:tcPr>
          <w:p>
            <w:pPr>
              <w:spacing w:after="0"/>
              <w:rPr>
                <w:sz w:val="14"/>
                <w:szCs w:val="14"/>
                <w:color w:val="auto"/>
              </w:rPr>
            </w:pPr>
          </w:p>
        </w:tc>
        <w:tc>
          <w:tcPr>
            <w:tcW w:w="1020" w:type="dxa"/>
            <w:vAlign w:val="bottom"/>
            <w:tcBorders>
              <w:bottom w:val="single" w:sz="8" w:color="auto"/>
            </w:tcBorders>
          </w:tcPr>
          <w:p>
            <w:pPr>
              <w:jc w:val="right"/>
              <w:ind w:right="8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14,075</w:t>
            </w:r>
          </w:p>
        </w:tc>
        <w:tc>
          <w:tcPr>
            <w:tcW w:w="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6,132</w:t>
            </w:r>
          </w:p>
        </w:tc>
      </w:tr>
      <w:tr>
        <w:trPr>
          <w:trHeight w:val="20"/>
        </w:trPr>
        <w:tc>
          <w:tcPr>
            <w:tcW w:w="5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67"/>
        </w:trPr>
        <w:tc>
          <w:tcPr>
            <w:tcW w:w="544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167"/>
        </w:trPr>
        <w:tc>
          <w:tcPr>
            <w:tcW w:w="5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Property and equipment at cost:</w:t>
            </w:r>
          </w:p>
        </w:tc>
        <w:tc>
          <w:tcPr>
            <w:tcW w:w="2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4"/>
        </w:trPr>
        <w:tc>
          <w:tcPr>
            <w:tcW w:w="54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Computer equipment and software</w:t>
            </w:r>
          </w:p>
        </w:tc>
        <w:tc>
          <w:tcPr>
            <w:tcW w:w="3220" w:type="dxa"/>
            <w:vAlign w:val="bottom"/>
            <w:gridSpan w:val="2"/>
          </w:tcPr>
          <w:p>
            <w:pPr>
              <w:jc w:val="right"/>
              <w:ind w:right="8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4,223</w:t>
            </w:r>
          </w:p>
        </w:tc>
        <w:tc>
          <w:tcPr>
            <w:tcW w:w="200" w:type="dxa"/>
            <w:vAlign w:val="bottom"/>
          </w:tcPr>
          <w:p>
            <w:pPr>
              <w:spacing w:after="0"/>
              <w:rPr>
                <w:sz w:val="15"/>
                <w:szCs w:val="15"/>
                <w:color w:val="auto"/>
              </w:rPr>
            </w:pPr>
          </w:p>
        </w:tc>
        <w:tc>
          <w:tcPr>
            <w:tcW w:w="660" w:type="dxa"/>
            <w:vAlign w:val="bottom"/>
            <w:gridSpan w:val="2"/>
          </w:tcPr>
          <w:p>
            <w:pPr>
              <w:jc w:val="right"/>
              <w:ind w:right="2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4,489</w:t>
            </w:r>
          </w:p>
        </w:tc>
      </w:tr>
      <w:tr>
        <w:trPr>
          <w:trHeight w:val="174"/>
        </w:trPr>
        <w:tc>
          <w:tcPr>
            <w:tcW w:w="5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Furniture, fixtures and equipment</w:t>
            </w:r>
          </w:p>
        </w:tc>
        <w:tc>
          <w:tcPr>
            <w:tcW w:w="2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2,114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1,233</w:t>
            </w:r>
          </w:p>
        </w:tc>
      </w:tr>
      <w:tr>
        <w:trPr>
          <w:trHeight w:val="174"/>
        </w:trPr>
        <w:tc>
          <w:tcPr>
            <w:tcW w:w="54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Capitalized internal-use software</w:t>
            </w:r>
          </w:p>
        </w:tc>
        <w:tc>
          <w:tcPr>
            <w:tcW w:w="2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12,529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52,606</w:t>
            </w:r>
          </w:p>
        </w:tc>
      </w:tr>
      <w:tr>
        <w:trPr>
          <w:trHeight w:val="174"/>
        </w:trPr>
        <w:tc>
          <w:tcPr>
            <w:tcW w:w="5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Leasehold improvements</w:t>
            </w:r>
          </w:p>
        </w:tc>
        <w:tc>
          <w:tcPr>
            <w:tcW w:w="2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2,086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2,057</w:t>
            </w:r>
          </w:p>
        </w:tc>
      </w:tr>
      <w:tr>
        <w:trPr>
          <w:trHeight w:val="174"/>
        </w:trPr>
        <w:tc>
          <w:tcPr>
            <w:tcW w:w="544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Construction in progress</w:t>
            </w:r>
          </w:p>
        </w:tc>
        <w:tc>
          <w:tcPr>
            <w:tcW w:w="2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140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27</w:t>
            </w:r>
          </w:p>
        </w:tc>
      </w:tr>
      <w:tr>
        <w:trPr>
          <w:trHeight w:val="167"/>
        </w:trPr>
        <w:tc>
          <w:tcPr>
            <w:tcW w:w="544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6"/>
                <w:szCs w:val="16"/>
                <w:color w:val="auto"/>
              </w:rPr>
              <w:t>Total property and equipment</w:t>
            </w:r>
          </w:p>
        </w:tc>
        <w:tc>
          <w:tcPr>
            <w:tcW w:w="224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21,092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60,412</w:t>
            </w:r>
          </w:p>
        </w:tc>
      </w:tr>
      <w:tr>
        <w:trPr>
          <w:trHeight w:val="167"/>
        </w:trPr>
        <w:tc>
          <w:tcPr>
            <w:tcW w:w="544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2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(12,505)</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(51,492)</w:t>
            </w:r>
          </w:p>
        </w:tc>
      </w:tr>
      <w:tr>
        <w:trPr>
          <w:trHeight w:val="167"/>
        </w:trPr>
        <w:tc>
          <w:tcPr>
            <w:tcW w:w="54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Property and equipment, net</w:t>
            </w:r>
          </w:p>
        </w:tc>
        <w:tc>
          <w:tcPr>
            <w:tcW w:w="22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8,587</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8,920</w:t>
            </w:r>
          </w:p>
        </w:tc>
      </w:tr>
      <w:tr>
        <w:trPr>
          <w:trHeight w:val="20"/>
        </w:trPr>
        <w:tc>
          <w:tcPr>
            <w:tcW w:w="5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18"/>
          <w:szCs w:val="18"/>
          <w:color w:val="auto"/>
        </w:rPr>
        <w:t>The Company capitalized certain internal-use software costs totaling $3.9 million, $4.1 million and $4.6 million, including stock-based compensation of $27,000, $393,000 and $408,000 related to internal-use software development efforts, during the years ended December 31, 2025, 2024 and 2023, respectively. Amortization of capitalized internal-use software totaled $4.0 million, $3.7 million and $3.2 million for the years ended December 31, 2025, 2024 and 2023, respectively.</w:t>
      </w:r>
    </w:p>
    <w:p>
      <w:pPr>
        <w:spacing w:after="0" w:line="158"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excluding capitalized internal-use software, was $1.5 million, $1.7 million and $1.5 million for the years ended December 31, 2025,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 are comprised of the following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70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4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Contract costs, net</w:t>
            </w:r>
          </w:p>
        </w:tc>
        <w:tc>
          <w:tcPr>
            <w:tcW w:w="39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4,260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3,701</w:t>
            </w:r>
          </w:p>
        </w:tc>
        <w:tc>
          <w:tcPr>
            <w:tcW w:w="0" w:type="dxa"/>
            <w:vAlign w:val="bottom"/>
          </w:tcPr>
          <w:p>
            <w:pPr>
              <w:spacing w:after="0"/>
              <w:rPr>
                <w:sz w:val="1"/>
                <w:szCs w:val="1"/>
                <w:color w:val="auto"/>
              </w:rPr>
            </w:pPr>
          </w:p>
        </w:tc>
      </w:tr>
      <w:tr>
        <w:trPr>
          <w:trHeight w:val="174"/>
        </w:trPr>
        <w:tc>
          <w:tcPr>
            <w:tcW w:w="37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Deferred offering costs</w:t>
            </w:r>
          </w:p>
        </w:tc>
        <w:tc>
          <w:tcPr>
            <w:tcW w:w="3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ind w:left="3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174"/>
        </w:trPr>
        <w:tc>
          <w:tcPr>
            <w:tcW w:w="3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Other</w:t>
            </w:r>
          </w:p>
        </w:tc>
        <w:tc>
          <w:tcPr>
            <w:tcW w:w="39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839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167"/>
        </w:trPr>
        <w:tc>
          <w:tcPr>
            <w:tcW w:w="37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Total other non-current assets</w:t>
            </w:r>
          </w:p>
        </w:tc>
        <w:tc>
          <w:tcPr>
            <w:tcW w:w="3980" w:type="dxa"/>
            <w:vAlign w:val="bottom"/>
          </w:tcPr>
          <w:p>
            <w:pPr>
              <w:spacing w:after="0"/>
              <w:rPr>
                <w:sz w:val="14"/>
                <w:szCs w:val="14"/>
                <w:color w:val="auto"/>
              </w:rPr>
            </w:pPr>
          </w:p>
        </w:tc>
        <w:tc>
          <w:tcPr>
            <w:tcW w:w="1060" w:type="dxa"/>
            <w:vAlign w:val="bottom"/>
            <w:tcBorders>
              <w:bottom w:val="single" w:sz="8" w:color="auto"/>
            </w:tcBorders>
          </w:tcPr>
          <w:p>
            <w:pPr>
              <w:jc w:val="right"/>
              <w:ind w:right="90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5,099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4,366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980" w:type="dxa"/>
            <w:vAlign w:val="bottom"/>
            <w:vMerge w:val="restart"/>
          </w:tcPr>
          <w:p>
            <w:pPr>
              <w:jc w:val="right"/>
              <w:ind w:right="1831"/>
              <w:spacing w:after="0"/>
              <w:rPr>
                <w:sz w:val="20"/>
                <w:szCs w:val="20"/>
                <w:color w:val="auto"/>
              </w:rPr>
            </w:pPr>
            <w:r>
              <w:rPr>
                <w:rFonts w:ascii="Times New Roman" w:cs="Times New Roman" w:eastAsia="Times New Roman" w:hAnsi="Times New Roman"/>
                <w:sz w:val="18"/>
                <w:szCs w:val="18"/>
                <w:color w:val="auto"/>
              </w:rPr>
              <w:t>112</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7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7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67"/>
        </w:trPr>
        <w:tc>
          <w:tcPr>
            <w:tcW w:w="510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167"/>
        </w:trPr>
        <w:tc>
          <w:tcPr>
            <w:tcW w:w="5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Accrued payroll and related expenses</w:t>
            </w:r>
          </w:p>
        </w:tc>
        <w:tc>
          <w:tcPr>
            <w:tcW w:w="2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28,150</w:t>
            </w: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18,206</w:t>
            </w:r>
          </w:p>
        </w:tc>
      </w:tr>
      <w:tr>
        <w:trPr>
          <w:trHeight w:val="174"/>
        </w:trPr>
        <w:tc>
          <w:tcPr>
            <w:tcW w:w="51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Accrued professional fees</w:t>
            </w:r>
          </w:p>
        </w:tc>
        <w:tc>
          <w:tcPr>
            <w:tcW w:w="2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1,162</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1,672</w:t>
            </w:r>
          </w:p>
        </w:tc>
      </w:tr>
      <w:tr>
        <w:trPr>
          <w:trHeight w:val="174"/>
        </w:trPr>
        <w:tc>
          <w:tcPr>
            <w:tcW w:w="5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Accrued clinical trial expenses</w:t>
            </w:r>
          </w:p>
        </w:tc>
        <w:tc>
          <w:tcPr>
            <w:tcW w:w="2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864</w:t>
            </w: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1,215</w:t>
            </w:r>
          </w:p>
        </w:tc>
      </w:tr>
      <w:tr>
        <w:trPr>
          <w:trHeight w:val="174"/>
        </w:trPr>
        <w:tc>
          <w:tcPr>
            <w:tcW w:w="51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Customer contract and rebate liabilities</w:t>
            </w:r>
          </w:p>
        </w:tc>
        <w:tc>
          <w:tcPr>
            <w:tcW w:w="2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627</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1,041</w:t>
            </w:r>
          </w:p>
        </w:tc>
      </w:tr>
      <w:tr>
        <w:trPr>
          <w:trHeight w:val="174"/>
        </w:trPr>
        <w:tc>
          <w:tcPr>
            <w:tcW w:w="5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Accrued royalty</w:t>
            </w:r>
          </w:p>
        </w:tc>
        <w:tc>
          <w:tcPr>
            <w:tcW w:w="2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550</w:t>
            </w: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736</w:t>
            </w:r>
          </w:p>
        </w:tc>
      </w:tr>
      <w:tr>
        <w:trPr>
          <w:trHeight w:val="174"/>
        </w:trPr>
        <w:tc>
          <w:tcPr>
            <w:tcW w:w="510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Other</w:t>
            </w:r>
          </w:p>
        </w:tc>
        <w:tc>
          <w:tcPr>
            <w:tcW w:w="25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1,926</w:t>
            </w:r>
          </w:p>
        </w:tc>
        <w:tc>
          <w:tcPr>
            <w:tcW w:w="4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2,449</w:t>
            </w:r>
          </w:p>
        </w:tc>
      </w:tr>
      <w:tr>
        <w:trPr>
          <w:trHeight w:val="167"/>
        </w:trPr>
        <w:tc>
          <w:tcPr>
            <w:tcW w:w="5100" w:type="dxa"/>
            <w:vAlign w:val="bottom"/>
            <w:tcBorders>
              <w:bottom w:val="single" w:sz="8" w:color="CCEEFF"/>
            </w:tcBorders>
            <w:shd w:val="clear" w:color="auto" w:fill="CCEEFF"/>
          </w:tcPr>
          <w:p>
            <w:pPr>
              <w:spacing w:after="0"/>
              <w:rPr>
                <w:sz w:val="14"/>
                <w:szCs w:val="14"/>
                <w:color w:val="auto"/>
              </w:rPr>
            </w:pPr>
          </w:p>
        </w:tc>
        <w:tc>
          <w:tcPr>
            <w:tcW w:w="25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33,279</w:t>
            </w:r>
          </w:p>
        </w:tc>
        <w:tc>
          <w:tcPr>
            <w:tcW w:w="4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25,319</w:t>
            </w:r>
          </w:p>
        </w:tc>
      </w:tr>
      <w:tr>
        <w:trPr>
          <w:trHeight w:val="20"/>
        </w:trPr>
        <w:tc>
          <w:tcPr>
            <w:tcW w:w="5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Leases</w:t>
      </w:r>
    </w:p>
    <w:p>
      <w:pPr>
        <w:spacing w:after="0" w:line="172" w:lineRule="exact"/>
        <w:rPr>
          <w:sz w:val="20"/>
          <w:szCs w:val="20"/>
          <w:color w:val="auto"/>
        </w:rPr>
      </w:pPr>
    </w:p>
    <w:p>
      <w:pPr>
        <w:ind w:right="960"/>
        <w:spacing w:after="0" w:line="449" w:lineRule="auto"/>
        <w:rPr>
          <w:sz w:val="20"/>
          <w:szCs w:val="20"/>
          <w:color w:val="auto"/>
        </w:rPr>
      </w:pPr>
      <w:r>
        <w:rPr>
          <w:rFonts w:ascii="Times New Roman" w:cs="Times New Roman" w:eastAsia="Times New Roman" w:hAnsi="Times New Roman"/>
          <w:sz w:val="18"/>
          <w:szCs w:val="18"/>
          <w:color w:val="auto"/>
        </w:rPr>
        <w:t xml:space="preserve">The Company leases office space in Mountain View, Santa Rosa, San Francisco, and Rohnert Park, California, Austin, Texas, and Tokyo, Japan. </w:t>
      </w:r>
      <w:r>
        <w:rPr>
          <w:rFonts w:ascii="Times New Roman" w:cs="Times New Roman" w:eastAsia="Times New Roman" w:hAnsi="Times New Roman"/>
          <w:sz w:val="18"/>
          <w:szCs w:val="18"/>
          <w:b w:val="1"/>
          <w:bCs w:val="1"/>
          <w:i w:val="1"/>
          <w:iCs w:val="1"/>
          <w:color w:val="auto"/>
        </w:rPr>
        <w:t>Mountain View, California</w:t>
      </w:r>
    </w:p>
    <w:p>
      <w:pPr>
        <w:ind w:right="140"/>
        <w:spacing w:after="0" w:line="230" w:lineRule="auto"/>
        <w:rPr>
          <w:sz w:val="20"/>
          <w:szCs w:val="20"/>
          <w:color w:val="auto"/>
        </w:rPr>
      </w:pPr>
      <w:r>
        <w:rPr>
          <w:rFonts w:ascii="Times New Roman" w:cs="Times New Roman" w:eastAsia="Times New Roman" w:hAnsi="Times New Roman"/>
          <w:sz w:val="18"/>
          <w:szCs w:val="18"/>
          <w:color w:val="auto"/>
        </w:rPr>
        <w:t>In August 2021, the Company entered into a facility lease agreement for approximately 61,000 rentable square feet in Mountain View, California through August 2030. The Company received a tenant improvement allowance of $1.8 million, in which the remaining unused amount of $1.4 million was credited against rent expense during the year ended December 31, 2023. In connection with the lease, the Company established a standby letter of credit for the benefit of the landlord in the amount of $4.3 million in August 2021, which is classified as non-current restricted cash on the consolidated balance sheets as of December 31, 2025 and 2024. Refer to Note 18 for additional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Santa Rosa, California</w:t>
      </w:r>
    </w:p>
    <w:p>
      <w:pPr>
        <w:spacing w:after="0" w:line="184"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In October 2024, the Company entered into an agreement to sublease approximately 4,000 rentable square feet of office space in Santa Rosa, California for 29 months through March 2027. In connection with this sublease, the Company paid a security deposit of $8,000 and recorded an ROU asset and lease liability of $169,000.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 Francisco, California</w:t>
      </w:r>
    </w:p>
    <w:p>
      <w:pPr>
        <w:spacing w:after="0" w:line="18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In July 2025, the Company entered into an agreement to sublease approximately 8,100 rentable square feet of office space in San Francisco, California for 39 months through January 2029. In connection with this sublease, the Company paid a security deposit of $90,000 and recorded an ROU asset and lease liability of $1,254,000.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Rohnert Park, California</w:t>
      </w:r>
    </w:p>
    <w:p>
      <w:pPr>
        <w:spacing w:after="0" w:line="184"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On December 15, 2025, the Company entered into a facility lease agreement for approximately 13,100 rentable square feet of office space in Rohnert Park, California for 63 months from the lease commencement date, with the option to extend for one additional three-year period. In connection with the lease, the Company paid a security deposit of $39,000. The average monthly lease payments are approximately $32,000 per month during the lease term and provides for a tenant improvement allowance of $173,000. The lease is expected to commence in the first quarter of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Austin, Texas</w:t>
      </w:r>
    </w:p>
    <w:p>
      <w:pPr>
        <w:spacing w:after="0" w:line="184"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In January 2023, the Company amended its facility lease agreement in Austin, Texas, which provided for approximately 26,000 square feet of space, to extend the original lease term which expired in November 2023 with a five-year renewal option to December 2025 with no renewal option. In September 2025, the Company amended the lease for its Austin, Texas facility to extend the lease term an additional 12 months through December 2026 and recorded an ROU asset and lease liability of $561,000 in connection with the lease extension. A security deposit 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200"/>
        <w:spacing w:after="0" w:line="239" w:lineRule="auto"/>
        <w:rPr>
          <w:sz w:val="20"/>
          <w:szCs w:val="20"/>
          <w:color w:val="auto"/>
        </w:rPr>
      </w:pPr>
      <w:r>
        <w:rPr>
          <w:rFonts w:ascii="Times New Roman" w:cs="Times New Roman" w:eastAsia="Times New Roman" w:hAnsi="Times New Roman"/>
          <w:sz w:val="18"/>
          <w:szCs w:val="18"/>
          <w:color w:val="auto"/>
        </w:rPr>
        <w:t>$150,000 was recorded as non-current restricted cash as of December 31, 2025 and as current restricted cash as of December 31, 2024, on the consolidated balance sheets related to this lease. Refer to Note 18 for additional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Tokyo, Japan</w:t>
      </w:r>
    </w:p>
    <w:p>
      <w:pPr>
        <w:spacing w:after="0" w:line="171" w:lineRule="exact"/>
        <w:rPr>
          <w:sz w:val="20"/>
          <w:szCs w:val="20"/>
          <w:color w:val="auto"/>
        </w:rPr>
      </w:pPr>
    </w:p>
    <w:p>
      <w:pPr>
        <w:jc w:val="both"/>
        <w:ind w:right="680"/>
        <w:spacing w:after="0" w:line="239" w:lineRule="auto"/>
        <w:rPr>
          <w:sz w:val="20"/>
          <w:szCs w:val="20"/>
          <w:color w:val="auto"/>
        </w:rPr>
      </w:pPr>
      <w:r>
        <w:rPr>
          <w:rFonts w:ascii="Times New Roman" w:cs="Times New Roman" w:eastAsia="Times New Roman" w:hAnsi="Times New Roman"/>
          <w:sz w:val="18"/>
          <w:szCs w:val="18"/>
          <w:color w:val="auto"/>
        </w:rPr>
        <w:t>The Company had one non-cancellable operating lease for its facility in Tokyo, Japan which was set to expire in November 2024. In April 2024, the Company entered into an agreement to extend the lease for an additional three years through November 2027. In connection with the amended lease agreement, the Company recorded an ROU asset and lease liability of $420,000.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 consisted of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80" w:type="dxa"/>
            <w:vAlign w:val="bottom"/>
            <w:tcBorders>
              <w:bottom w:val="single" w:sz="8" w:color="auto"/>
            </w:tcBorders>
          </w:tcPr>
          <w:p>
            <w:pPr>
              <w:spacing w:after="0"/>
              <w:rPr>
                <w:sz w:val="17"/>
                <w:szCs w:val="17"/>
                <w:color w:val="auto"/>
              </w:rPr>
            </w:pPr>
          </w:p>
        </w:tc>
      </w:tr>
      <w:tr>
        <w:trPr>
          <w:trHeight w:val="167"/>
        </w:trPr>
        <w:tc>
          <w:tcPr>
            <w:tcW w:w="400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40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Operating lease cost</w:t>
            </w:r>
          </w:p>
        </w:tc>
        <w:tc>
          <w:tcPr>
            <w:tcW w:w="27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5,122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4,900</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4,906</w:t>
            </w:r>
          </w:p>
        </w:tc>
      </w:tr>
      <w:tr>
        <w:trPr>
          <w:trHeight w:val="174"/>
        </w:trPr>
        <w:tc>
          <w:tcPr>
            <w:tcW w:w="400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Variable lease cost</w:t>
            </w:r>
          </w:p>
        </w:tc>
        <w:tc>
          <w:tcPr>
            <w:tcW w:w="27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1,375</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1,597</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1,120</w:t>
            </w:r>
          </w:p>
        </w:tc>
      </w:tr>
      <w:tr>
        <w:trPr>
          <w:trHeight w:val="167"/>
        </w:trPr>
        <w:tc>
          <w:tcPr>
            <w:tcW w:w="400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Total lease cost</w:t>
            </w:r>
          </w:p>
        </w:tc>
        <w:tc>
          <w:tcPr>
            <w:tcW w:w="27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6,497</w:t>
            </w: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6,497</w:t>
            </w: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6,026</w:t>
            </w:r>
          </w:p>
        </w:tc>
      </w:tr>
      <w:tr>
        <w:trPr>
          <w:trHeight w:val="20"/>
        </w:trPr>
        <w:tc>
          <w:tcPr>
            <w:tcW w:w="4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940"/>
        <w:spacing w:after="0" w:line="24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during the years ended December 31, 2025, 2024 and 2023 was $5.7 million, $5.2 million and $4.1 million, respectively.</w:t>
      </w:r>
    </w:p>
    <w:p>
      <w:pPr>
        <w:spacing w:after="0" w:line="15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The following table summarizes the maturities of the aggregate lease payments under the Company’s operating lease liabilities as of December 31, 2025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67"/>
        </w:trPr>
        <w:tc>
          <w:tcPr>
            <w:tcW w:w="97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2026</w:t>
            </w:r>
          </w:p>
        </w:tc>
        <w:tc>
          <w:tcPr>
            <w:tcW w:w="280" w:type="dxa"/>
            <w:vAlign w:val="bottom"/>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6,178</w:t>
            </w:r>
          </w:p>
        </w:tc>
      </w:tr>
      <w:tr>
        <w:trPr>
          <w:trHeight w:val="174"/>
        </w:trPr>
        <w:tc>
          <w:tcPr>
            <w:tcW w:w="97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2027</w:t>
            </w:r>
          </w:p>
        </w:tc>
        <w:tc>
          <w:tcPr>
            <w:tcW w:w="280" w:type="dxa"/>
            <w:vAlign w:val="bottom"/>
          </w:tcPr>
          <w:p>
            <w:pPr>
              <w:spacing w:after="0"/>
              <w:rPr>
                <w:sz w:val="15"/>
                <w:szCs w:val="15"/>
                <w:color w:val="auto"/>
              </w:rPr>
            </w:pPr>
          </w:p>
        </w:tc>
        <w:tc>
          <w:tcPr>
            <w:tcW w:w="12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5,658</w:t>
            </w:r>
          </w:p>
        </w:tc>
      </w:tr>
      <w:tr>
        <w:trPr>
          <w:trHeight w:val="174"/>
        </w:trPr>
        <w:tc>
          <w:tcPr>
            <w:tcW w:w="9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2028</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5,649</w:t>
            </w:r>
          </w:p>
        </w:tc>
      </w:tr>
      <w:tr>
        <w:trPr>
          <w:trHeight w:val="174"/>
        </w:trPr>
        <w:tc>
          <w:tcPr>
            <w:tcW w:w="97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2029</w:t>
            </w:r>
          </w:p>
        </w:tc>
        <w:tc>
          <w:tcPr>
            <w:tcW w:w="280" w:type="dxa"/>
            <w:vAlign w:val="bottom"/>
          </w:tcPr>
          <w:p>
            <w:pPr>
              <w:spacing w:after="0"/>
              <w:rPr>
                <w:sz w:val="15"/>
                <w:szCs w:val="15"/>
                <w:color w:val="auto"/>
              </w:rPr>
            </w:pPr>
          </w:p>
        </w:tc>
        <w:tc>
          <w:tcPr>
            <w:tcW w:w="12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5,352</w:t>
            </w:r>
          </w:p>
        </w:tc>
      </w:tr>
      <w:tr>
        <w:trPr>
          <w:trHeight w:val="174"/>
        </w:trPr>
        <w:tc>
          <w:tcPr>
            <w:tcW w:w="9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2030</w:t>
            </w: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3,646</w:t>
            </w:r>
          </w:p>
        </w:tc>
      </w:tr>
      <w:tr>
        <w:trPr>
          <w:trHeight w:val="167"/>
        </w:trPr>
        <w:tc>
          <w:tcPr>
            <w:tcW w:w="9700" w:type="dxa"/>
            <w:vAlign w:val="bottom"/>
            <w:tcBorders>
              <w:bottom w:val="single" w:sz="8" w:color="CCEEFF"/>
            </w:tcBorders>
          </w:tcPr>
          <w:p>
            <w:pPr>
              <w:ind w:left="100"/>
              <w:spacing w:after="0" w:line="167" w:lineRule="exact"/>
              <w:rPr>
                <w:sz w:val="20"/>
                <w:szCs w:val="20"/>
                <w:color w:val="auto"/>
              </w:rPr>
            </w:pPr>
            <w:r>
              <w:rPr>
                <w:rFonts w:ascii="Times New Roman" w:cs="Times New Roman" w:eastAsia="Times New Roman" w:hAnsi="Times New Roman"/>
                <w:sz w:val="16"/>
                <w:szCs w:val="16"/>
                <w:color w:val="auto"/>
              </w:rPr>
              <w:t>Total minimum lease payments</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26,483</w:t>
            </w:r>
          </w:p>
        </w:tc>
      </w:tr>
      <w:tr>
        <w:trPr>
          <w:trHeight w:val="167"/>
        </w:trPr>
        <w:tc>
          <w:tcPr>
            <w:tcW w:w="970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6"/>
                <w:szCs w:val="16"/>
                <w:color w:val="auto"/>
              </w:rPr>
              <w:t>Less: Amount of lease payments representing interest</w:t>
            </w:r>
          </w:p>
        </w:tc>
        <w:tc>
          <w:tcPr>
            <w:tcW w:w="2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4,429</w:t>
            </w:r>
          </w:p>
        </w:tc>
      </w:tr>
      <w:tr>
        <w:trPr>
          <w:trHeight w:val="207"/>
        </w:trPr>
        <w:tc>
          <w:tcPr>
            <w:tcW w:w="970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6"/>
                <w:szCs w:val="16"/>
                <w:color w:val="auto"/>
              </w:rPr>
              <w:t>Present value of future minimum lease payments</w:t>
            </w:r>
          </w:p>
        </w:tc>
        <w:tc>
          <w:tcPr>
            <w:tcW w:w="280" w:type="dxa"/>
            <w:vAlign w:val="bottom"/>
            <w:tcBorders>
              <w:bottom w:val="single" w:sz="8" w:color="auto"/>
            </w:tcBorders>
          </w:tcPr>
          <w:p>
            <w:pPr>
              <w:jc w:val="right"/>
              <w:ind w:right="1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22,054</w:t>
            </w:r>
          </w:p>
        </w:tc>
      </w:tr>
      <w:tr>
        <w:trPr>
          <w:trHeight w:val="154"/>
        </w:trPr>
        <w:tc>
          <w:tcPr>
            <w:tcW w:w="9700" w:type="dxa"/>
            <w:vAlign w:val="bottom"/>
            <w:shd w:val="clear" w:color="auto" w:fill="CCEEFF"/>
          </w:tcPr>
          <w:p>
            <w:pPr>
              <w:ind w:left="220"/>
              <w:spacing w:after="0" w:line="154" w:lineRule="exact"/>
              <w:rPr>
                <w:sz w:val="20"/>
                <w:szCs w:val="20"/>
                <w:color w:val="auto"/>
              </w:rPr>
            </w:pPr>
            <w:r>
              <w:rPr>
                <w:rFonts w:ascii="Times New Roman" w:cs="Times New Roman" w:eastAsia="Times New Roman" w:hAnsi="Times New Roman"/>
                <w:sz w:val="16"/>
                <w:szCs w:val="16"/>
                <w:color w:val="auto"/>
              </w:rPr>
              <w:t>Less: Current lease liabilities</w:t>
            </w:r>
          </w:p>
        </w:tc>
        <w:tc>
          <w:tcPr>
            <w:tcW w:w="2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5,922</w:t>
            </w:r>
          </w:p>
        </w:tc>
      </w:tr>
      <w:tr>
        <w:trPr>
          <w:trHeight w:val="167"/>
        </w:trPr>
        <w:tc>
          <w:tcPr>
            <w:tcW w:w="97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Long-term lease liabilities</w:t>
            </w:r>
          </w:p>
        </w:tc>
        <w:tc>
          <w:tcPr>
            <w:tcW w:w="280" w:type="dxa"/>
            <w:vAlign w:val="bottom"/>
            <w:tcBorders>
              <w:bottom w:val="single" w:sz="8" w:color="auto"/>
            </w:tcBorders>
          </w:tcPr>
          <w:p>
            <w:pPr>
              <w:jc w:val="right"/>
              <w:ind w:right="1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16,132</w:t>
            </w:r>
          </w:p>
        </w:tc>
      </w:tr>
      <w:tr>
        <w:trPr>
          <w:trHeight w:val="20"/>
        </w:trPr>
        <w:tc>
          <w:tcPr>
            <w:tcW w:w="9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additional information related to the Company’s operating leases (in thousands, except weighted-average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67"/>
        </w:trPr>
        <w:tc>
          <w:tcPr>
            <w:tcW w:w="534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167"/>
        </w:trPr>
        <w:tc>
          <w:tcPr>
            <w:tcW w:w="5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Right-of-use asset</w:t>
            </w:r>
          </w:p>
        </w:tc>
        <w:tc>
          <w:tcPr>
            <w:tcW w:w="2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17,488</w:t>
            </w: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18,805</w:t>
            </w:r>
          </w:p>
        </w:tc>
      </w:tr>
      <w:tr>
        <w:trPr>
          <w:trHeight w:val="174"/>
        </w:trPr>
        <w:tc>
          <w:tcPr>
            <w:tcW w:w="53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Weighted average remaining lease term (years)</w:t>
            </w:r>
          </w:p>
        </w:tc>
        <w:tc>
          <w:tcPr>
            <w:tcW w:w="2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4.3</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5.5</w:t>
            </w:r>
          </w:p>
        </w:tc>
      </w:tr>
      <w:tr>
        <w:trPr>
          <w:trHeight w:val="174"/>
        </w:trPr>
        <w:tc>
          <w:tcPr>
            <w:tcW w:w="5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Weighted average discount rate (percent)</w:t>
            </w:r>
          </w:p>
        </w:tc>
        <w:tc>
          <w:tcPr>
            <w:tcW w:w="2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20"/>
              <w:spacing w:after="0" w:line="174" w:lineRule="exact"/>
              <w:rPr>
                <w:sz w:val="20"/>
                <w:szCs w:val="20"/>
                <w:color w:val="auto"/>
              </w:rPr>
            </w:pPr>
            <w:r>
              <w:rPr>
                <w:rFonts w:ascii="Times New Roman" w:cs="Times New Roman" w:eastAsia="Times New Roman" w:hAnsi="Times New Roman"/>
                <w:sz w:val="16"/>
                <w:szCs w:val="16"/>
                <w:color w:val="auto"/>
              </w:rPr>
              <w:t>8.6%</w:t>
            </w: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9.0%</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Commitments and Contingencies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Commitments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various exclusive technology licensing agreements and other software licensing agreements. The terms of the agreements</w:t>
      </w:r>
    </w:p>
    <w:p>
      <w:pPr>
        <w:spacing w:after="0" w:line="216" w:lineRule="auto"/>
        <w:rPr>
          <w:sz w:val="20"/>
          <w:szCs w:val="20"/>
          <w:color w:val="auto"/>
        </w:rPr>
      </w:pPr>
      <w:r>
        <w:rPr>
          <w:rFonts w:ascii="Times New Roman" w:cs="Times New Roman" w:eastAsia="Times New Roman" w:hAnsi="Times New Roman"/>
          <w:sz w:val="18"/>
          <w:szCs w:val="18"/>
          <w:color w:val="auto"/>
        </w:rPr>
        <w:t>require the Company to make annual royalty payments in fixed amounts as well as certain milestone and revenue-based payments. The revenue-based</w:t>
      </w:r>
    </w:p>
    <w:p>
      <w:pPr>
        <w:spacing w:after="0" w:line="233" w:lineRule="auto"/>
        <w:rPr>
          <w:sz w:val="20"/>
          <w:szCs w:val="20"/>
          <w:color w:val="auto"/>
        </w:rPr>
      </w:pPr>
      <w:r>
        <w:rPr>
          <w:rFonts w:ascii="Times New Roman" w:cs="Times New Roman" w:eastAsia="Times New Roman" w:hAnsi="Times New Roman"/>
          <w:sz w:val="18"/>
          <w:szCs w:val="18"/>
          <w:color w:val="auto"/>
        </w:rPr>
        <w:t>royalty percentage is in the low single digits, subject to reductions and offsets in certain circumstances with a minimum royalty commitment of</w:t>
      </w:r>
    </w:p>
    <w:p>
      <w:pPr>
        <w:spacing w:after="0" w:line="217" w:lineRule="auto"/>
        <w:rPr>
          <w:sz w:val="20"/>
          <w:szCs w:val="20"/>
          <w:color w:val="auto"/>
        </w:rPr>
      </w:pPr>
      <w:r>
        <w:rPr>
          <w:rFonts w:ascii="Times New Roman" w:cs="Times New Roman" w:eastAsia="Times New Roman" w:hAnsi="Times New Roman"/>
          <w:sz w:val="18"/>
          <w:szCs w:val="18"/>
          <w:color w:val="auto"/>
        </w:rPr>
        <w:t>$50,000 annually. Future minimum royalty commitments due under the terms of these exclusive agreements as of December 31, 2025 are as follows (in</w:t>
      </w: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9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67"/>
        </w:trPr>
        <w:tc>
          <w:tcPr>
            <w:tcW w:w="57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2026</w:t>
            </w:r>
          </w:p>
        </w:tc>
        <w:tc>
          <w:tcPr>
            <w:tcW w:w="39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50</w:t>
            </w:r>
          </w:p>
        </w:tc>
      </w:tr>
      <w:tr>
        <w:trPr>
          <w:trHeight w:val="174"/>
        </w:trPr>
        <w:tc>
          <w:tcPr>
            <w:tcW w:w="57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2027</w:t>
            </w:r>
          </w:p>
        </w:tc>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50</w:t>
            </w:r>
          </w:p>
        </w:tc>
      </w:tr>
      <w:tr>
        <w:trPr>
          <w:trHeight w:val="174"/>
        </w:trPr>
        <w:tc>
          <w:tcPr>
            <w:tcW w:w="5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2028</w:t>
            </w:r>
          </w:p>
        </w:tc>
        <w:tc>
          <w:tcPr>
            <w:tcW w:w="3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50</w:t>
            </w:r>
          </w:p>
        </w:tc>
      </w:tr>
      <w:tr>
        <w:trPr>
          <w:trHeight w:val="174"/>
        </w:trPr>
        <w:tc>
          <w:tcPr>
            <w:tcW w:w="57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2029</w:t>
            </w:r>
          </w:p>
        </w:tc>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50</w:t>
            </w:r>
          </w:p>
        </w:tc>
      </w:tr>
      <w:tr>
        <w:trPr>
          <w:trHeight w:val="174"/>
        </w:trPr>
        <w:tc>
          <w:tcPr>
            <w:tcW w:w="5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2030</w:t>
            </w:r>
          </w:p>
        </w:tc>
        <w:tc>
          <w:tcPr>
            <w:tcW w:w="3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50</w:t>
            </w:r>
          </w:p>
        </w:tc>
      </w:tr>
      <w:tr>
        <w:trPr>
          <w:trHeight w:val="174"/>
        </w:trPr>
        <w:tc>
          <w:tcPr>
            <w:tcW w:w="5760" w:type="dxa"/>
            <w:vAlign w:val="bottom"/>
            <w:tcBorders>
              <w:bottom w:val="single" w:sz="8" w:color="CCEEFF"/>
            </w:tcBorders>
          </w:tcPr>
          <w:p>
            <w:pPr>
              <w:ind w:left="100"/>
              <w:spacing w:after="0" w:line="174" w:lineRule="exact"/>
              <w:rPr>
                <w:sz w:val="20"/>
                <w:szCs w:val="20"/>
                <w:color w:val="auto"/>
              </w:rPr>
            </w:pPr>
            <w:r>
              <w:rPr>
                <w:rFonts w:ascii="Times New Roman" w:cs="Times New Roman" w:eastAsia="Times New Roman" w:hAnsi="Times New Roman"/>
                <w:sz w:val="16"/>
                <w:szCs w:val="16"/>
                <w:color w:val="auto"/>
              </w:rPr>
              <w:t>Thereafter</w:t>
            </w:r>
          </w:p>
        </w:tc>
        <w:tc>
          <w:tcPr>
            <w:tcW w:w="39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50</w:t>
            </w:r>
          </w:p>
        </w:tc>
      </w:tr>
      <w:tr>
        <w:trPr>
          <w:trHeight w:val="167"/>
        </w:trPr>
        <w:tc>
          <w:tcPr>
            <w:tcW w:w="5760" w:type="dxa"/>
            <w:vAlign w:val="bottom"/>
            <w:tcBorders>
              <w:bottom w:val="single" w:sz="8" w:color="CCEEFF"/>
            </w:tcBorders>
            <w:shd w:val="clear" w:color="auto" w:fill="CCEEFF"/>
          </w:tcPr>
          <w:p>
            <w:pPr>
              <w:spacing w:after="0"/>
              <w:rPr>
                <w:sz w:val="14"/>
                <w:szCs w:val="14"/>
                <w:color w:val="auto"/>
              </w:rPr>
            </w:pPr>
          </w:p>
        </w:tc>
        <w:tc>
          <w:tcPr>
            <w:tcW w:w="39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300</w:t>
            </w:r>
          </w:p>
        </w:tc>
      </w:tr>
      <w:tr>
        <w:trPr>
          <w:trHeight w:val="20"/>
        </w:trPr>
        <w:tc>
          <w:tcPr>
            <w:tcW w:w="5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60"/>
        <w:spacing w:after="0" w:line="441" w:lineRule="auto"/>
        <w:rPr>
          <w:sz w:val="20"/>
          <w:szCs w:val="20"/>
          <w:color w:val="auto"/>
        </w:rPr>
      </w:pPr>
      <w:r>
        <w:rPr>
          <w:rFonts w:ascii="Times New Roman" w:cs="Times New Roman" w:eastAsia="Times New Roman" w:hAnsi="Times New Roman"/>
          <w:sz w:val="18"/>
          <w:szCs w:val="18"/>
          <w:color w:val="auto"/>
        </w:rPr>
        <w:t xml:space="preserve">The Company incurred royalty expense of $2.0 million, $1.5 million and $2.1 million for the years ended December 31, 2025, 2024 and 2023, respectively. </w:t>
      </w:r>
      <w:r>
        <w:rPr>
          <w:rFonts w:ascii="Times New Roman" w:cs="Times New Roman" w:eastAsia="Times New Roman" w:hAnsi="Times New Roman"/>
          <w:sz w:val="18"/>
          <w:szCs w:val="18"/>
          <w:b w:val="1"/>
          <w:bCs w:val="1"/>
          <w:i w:val="1"/>
          <w:iCs w:val="1"/>
          <w:color w:val="auto"/>
        </w:rPr>
        <w:t>Purchase Commitments</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Open purchase commitments consist of agreements to purchase goods and services that are entered into in the ordinary course of business. These amounts were not recorded as liabilities on the consolidated balance sheets as of December 31, 2025 as the Company had not yet received the related goods or services. As of December 31, 2025, the Company had estimated open purchase commitments for goods and services of $5.2 million over the next four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4"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The Company is not involved in any pending legal proceedings that it believes could have a material adverse effect on its financial condition, results of operations or cash flows except as discussed below. The Company may pursue or be subject to litigation and other legal actions from time to time arising in the ordinary course of business, including intellectual property, products liability, breach of contract, commercial, employment, and other similar claims which could have an adverse impact on its reputation, business and financial condition and divert the attention of its management from the operation of its business. The Company discloses information regarding each material claim where the likelihood of a loss contingency is probable or reasonable possible and accrues a liability for such matters when it is probable that future expenditures will be made, and such expenditures can be reasonably estimated. There were no contingent liabilities requiring accrual or disclosures as of December 31, 2025 and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Civil Investigative Demand Investigation</w:t>
      </w:r>
    </w:p>
    <w:p>
      <w:pPr>
        <w:spacing w:after="0" w:line="184"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In October 2025, the Company and certain of its employees received civil investigative demands (the “CID”) from the U.S. Department of Justice, Civil Division, in connection with an investigation under the federal Anti-Kickback Statute and Civil False Claims Act (the “Investigation”). The CID requests information, documents, and testimony focused on the Company’s financial and contractual arrangements with providers and its sales and marketing activities. The Company is cooperating with the Investigation and is unable to express a view at this time regarding the likely duration, or ultimate outcome, of the Investigation or estimate the possibility of, or amount or range of, any possible financial impact. Depending on the outcome of the Investigation, there may be a material impact on the Company’s business, results of operations, financial condition, or cash flows.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The Company provides general indemnifications to management and the members of the Company’s board of directors (the “Board of Directors”) when they act, in good faith, in the best interest of the Company. The Company is unable to develop an estimate of the maximum potential amount of future payments that could potentially result from any hypothetical future claim, but expects the risk of having to make any payments under these general business indemnifications to be remote. The Company also maintains insurance coverage that would generally enable the Company to recover a portion of any future amounts paid.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 Term Loan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Credit Agreement</w:t>
      </w:r>
    </w:p>
    <w:p>
      <w:pPr>
        <w:spacing w:after="0" w:line="184"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On June 14, 2024, the Company entered into a Credit Agreement and Guaranty (the “2024 Credit Agreement”) with Hayfin Services, LLP (“Hayfin”) for a $138.1 million term loan (the “2024 Term Loan”) to refinance its outstanding loan obligations under the 2021 Credit Agreement, as amended (the “2021 Credit Agreement”). In addition, in connection with the 2024 Term Loan, the Company entered into several other adjoining agreements with Hayfin. The 2024 Term Loan extended the maturity date from January 19, 2026 to June 14, 2028. The 2024 Credit Agreement was accounted for as a debt modification for accounting purposes.</w:t>
      </w:r>
    </w:p>
    <w:p>
      <w:pPr>
        <w:spacing w:after="0" w:line="15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On January 24, 2025, in connection with the issuance of the 2025 Convertible Notes, the Company entered into Amendment No.1 to the 2024 Credit Agreement, in which Hayfin converted $23.0 million of principal under the 2024 Term Loan to 2025 Convertible Notes under the same terms as the other purchasers of the 2025 Convertible Notes. The amendment was accounted for as a debt modification for accounting purposes.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Terms and Other Fees</w:t>
      </w:r>
    </w:p>
    <w:p>
      <w:pPr>
        <w:spacing w:after="0" w:line="18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Any prepayment or repayment of the principal balance of the 2024 Term Loan was subject to an exit fee. The Company accreted the exit fee over the loan term using the effective interest method. Under the 2024 Term Loan, the Company had the option to prepay the 2024 Term Loan subject to a prepayment fee of 1.5% for prepayments after the second anniversary but on or prior to the third anniversary of the 2024 Term Loan and a prepayment fee of 3% for prepayments thereafter. The 2024 Credit Agreement required the Company to repay the loan in full immediately upon the occurrence of a change in control. In addition, immediately upon the consummation of an IPO or SPAC transaction, as defined in the terms of the 2024 Credit Agreement, the Company was required to repay the 2024 Term Loan in an amount equal to the lesser of (i) the net cash proceeds of such IPO or SPAC transaction in excess of $150.0 million and (ii) $35.0 million. In connection with Amendment No.1 to the 2024 Term Loan in January 2025, the amount immediately payable upon the consummation of an IPO or SPAC transaction, as defined in the terms of the 2024 Credit Agreement, was amended where repayment of the 2024 Term Loan was required to be at an amount equal to the lesser of (i) the net cash proceeds of such IPO or SPAC transaction in excess of $150.0 million and (ii) $50.0 million (or $55.0 million if the underwriters exercised any portion of their option to purchase additional shares).</w:t>
      </w:r>
    </w:p>
    <w:p>
      <w:pPr>
        <w:spacing w:after="0" w:line="16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On June 14, 2024, concurrently with entering the 2024 Credit Agreement, the Company signed a fee letter agreement with Hayfin under which the Company agreed to pay $9.2 million in fees to Hayfin, which consisted of a 3% exit fee and a 3% early prepayment fee due under the 2021 Credit Agreement in the amount of $8.3 million payable in sixteen equal quarterly installments of approximately $518,000 through March 31, 2028, agent fees of $150,000, due in annual installments of $30,000 through March 31, 2028 and an upfront fee of $721,000. The Company paid the $721,000 upfront fee and $30,000 agent fee upon the closing of the 2024 Term Loan. The exit fee and early prepayment fee was required to be repaid in full immediately upon the occurrence of a financing event, including, but not limited to, any IPO, SPAC transaction, or issuance of convertible notes or equity. The exit fee and early prepayment fee remaining under the original terms of the 2024 Term Loan, which were immediately due and payable upon issuance of the 2025 Convertible Notes, was amended in January 2025 to be immediately due and payable upon the next occurrence of a financing event and was fully repaid on August 18, 2025 upon completion of the Company’s IPO as described above.</w:t>
      </w:r>
    </w:p>
    <w:p>
      <w:pPr>
        <w:spacing w:after="0" w:line="10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On August 18, 2025, the Company repaid $55.0 million of indebtedness outstanding under the 2024 Credit Agreement for which it was obligated to pay in connection with the completion of the Company’s IPO and approximately $5.8 million in fees consisting of a 3.0% exit fee and a 3.0% early prepayment fee due under the 2021 Credit Agreement, as amended.</w:t>
      </w:r>
    </w:p>
    <w:p>
      <w:pPr>
        <w:spacing w:after="0" w:line="10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On August 22, 2025, the Company prepaid in full all outstanding amounts under, and terminated, the 2024 Credit Agreement, in the aggregate principal amount of $60.1 million plus accrued interest of $1.0 million. The Company did not incur exit or prepayment fees in connection with the termination of the 2024 Credit Agreement.</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8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During its term, the 2024 Term Loan bore interest at a floating per annum rate in an amount equal to the sum of (i) 7.0% (or 6.0% if the alternative base rate (“ABR”) is in effect) plus (ii) the greater of (x) the forward-looking term rate based on the Secured Overnight Financing Rate (“SOFR”) for a respective tenor (or the alternative base rate, if applicable), and (y) 2.0%. The ABR equals to the sum of (i) 6.0% plus (ii) the greater of (1) the Wall Street Journal Prime Rate, plus 0.5%, (2) the Federal Reserve Bank of New York rate plus 0.5% or (3) CBA Term SOFR for one month tenor plus 1.0%. The Company had the option to pay interest in-kind at the rate equal to the cash interest rate plus 1.0%.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 and Debt Discount</w:t>
      </w:r>
    </w:p>
    <w:p>
      <w:pPr>
        <w:spacing w:after="0" w:line="184" w:lineRule="exact"/>
        <w:rPr>
          <w:sz w:val="20"/>
          <w:szCs w:val="20"/>
          <w:color w:val="auto"/>
        </w:rPr>
      </w:pPr>
    </w:p>
    <w:p>
      <w:pPr>
        <w:ind w:right="480"/>
        <w:spacing w:after="0" w:line="246" w:lineRule="auto"/>
        <w:rPr>
          <w:sz w:val="20"/>
          <w:szCs w:val="20"/>
          <w:color w:val="auto"/>
        </w:rPr>
      </w:pPr>
      <w:r>
        <w:rPr>
          <w:rFonts w:ascii="Times New Roman" w:cs="Times New Roman" w:eastAsia="Times New Roman" w:hAnsi="Times New Roman"/>
          <w:sz w:val="18"/>
          <w:szCs w:val="18"/>
          <w:color w:val="auto"/>
        </w:rPr>
        <w:t>Debt issuance costs include third-party costs incurred in connection with the original Credit Agreement. Debt discount includes fees paid to the lender, warrants issued to the lender and the embedded derivative liability as described below.</w:t>
      </w:r>
    </w:p>
    <w:p>
      <w:pPr>
        <w:spacing w:after="0" w:line="150"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Prior to the refinancing of the 2021 Credit Agreement with the 2024 Term Loan (the “2024 Term Loan Refinancing”), certain prepayment features of the Term Loan, default put option and default interest adjustment features were determined to be embedded derivatives requiring bifurcation and separate accounting for at fair value as a single compound derivative. The fair value of the derivative liability was $2.1 million, as of the issuance date in January 2021, and was remeasured to fair value at each reporting period. In connection with the 2024 Term Loan Refinancing, the associated current fair value of the derivative liability of $1.1 million was remeasured at the date of refinancing and was derecognized and recorded as a debt discount to the 2024 Term Loan. Refer to Note 13 for additional information.</w:t>
      </w:r>
    </w:p>
    <w:p>
      <w:pPr>
        <w:spacing w:after="0" w:line="159"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8"/>
          <w:szCs w:val="18"/>
          <w:color w:val="auto"/>
        </w:rPr>
        <w:t>In connection with the conversion of $23.0 million of principal under the 2024 Term Loan to 2025 Convertible Notes under Amendment No.1 to the 2024 Credit Agreement in January 2025, $239,000 of pro-rata debt discount under the 2024 Term Loan was reclassified as a debt discount under the 2025 Convertible Notes.</w:t>
      </w:r>
    </w:p>
    <w:p>
      <w:pPr>
        <w:spacing w:after="0" w:line="15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Prior to the term loan repayment in August 2025, the debt issuance costs and debt discount were classified as an offset to the Term Loan on the consolidated balance sheets, and was accreted over the loan term using the effective interest method.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 Convertible Notes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184"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During the period from September 2022 through December 2022, the Company issued convertible promissory notes to certain investors (the “Note Investors”), with an aggregate principal amount of $40.0 million (the “Convertible Notes”). The Convertible Notes bore interest at a rate of 8% per annum, compounded monthly. The aggregate principal amount and interest accrued on the Convertible Notes was due September 30, 2026, and could not be prepaid by the Company without the consent of a majority of the Note Investors.</w:t>
      </w:r>
    </w:p>
    <w:p>
      <w:pPr>
        <w:spacing w:after="0" w:line="15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In March 2023, the Company completed the IPO, which constituted a Qualified Financing (as defined in the indenture governing the Convertible Notes), and all of the Convertible Notes, including principal and interest, were converted into 21,465,064 shares of Series F-1 redeemable convertible preferred stock and the Company derecognized the Convertible Notes from its consolidated balance sheets. The Company remeasured the fair value of the Convertible Notes immediately before the conversion and recognized a loss of $5.1 million from the change in fair value within the consolidated statements of operations and comprehensive loss for the year ended December 31,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w:t>
      </w:r>
    </w:p>
    <w:p>
      <w:pPr>
        <w:spacing w:after="0" w:line="184"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8"/>
          <w:szCs w:val="18"/>
          <w:color w:val="auto"/>
        </w:rPr>
        <w:t>In January and March 2025, the Company issued convertible promissory notes to Requisite Holders in the aggregate amount of $98.3 million, which was comprised of $74.0 million in principal amount of notes issued for cash</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both"/>
        <w:ind w:right="140"/>
        <w:spacing w:after="0" w:line="231" w:lineRule="auto"/>
        <w:rPr>
          <w:sz w:val="20"/>
          <w:szCs w:val="20"/>
          <w:color w:val="auto"/>
        </w:rPr>
      </w:pPr>
      <w:r>
        <w:rPr>
          <w:rFonts w:ascii="Times New Roman" w:cs="Times New Roman" w:eastAsia="Times New Roman" w:hAnsi="Times New Roman"/>
          <w:sz w:val="18"/>
          <w:szCs w:val="18"/>
          <w:color w:val="auto"/>
        </w:rPr>
        <w:t>consideration, $1.3 million in principal amount of notes issued in lieu of cash compensation to certain employees and $23.0 million in principal amount of notes issued from the conversion of principal under the 2024 Term Loan. Net cash proceeds was $72.8 million after deducting $1.2 million of debt issuance costs.</w:t>
      </w:r>
    </w:p>
    <w:p>
      <w:pPr>
        <w:spacing w:after="0" w:line="10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Prior to its conversion upon the Company’s IPO, the 2025 Convertible Notes were due and payable in full 48 months from the issue date and did not accrue interest for one year following the date of issuance. Upon completion of the Company’s IPO in August 2025, the 2025 Convertible Notes automatically converted into 6,470,743 shares of the Company’s common stock at $15.20 per share, which was a 20% discount to the IPO price.</w:t>
      </w:r>
    </w:p>
    <w:p>
      <w:pPr>
        <w:spacing w:after="0" w:line="10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Prior to its conversion upon the Company’s IPO, the 2025 Convertible Notes contained embedded derivative features, including conversion upon a change in control and automatic conversion upon completion of a qualified IPO, that were required to be bifurcated and accounted for separately as a single derivative instrument. The issuance date estimated fair values of the derivative liability was $11.1 million and $20.8 million in January and March 2025, respectively, which was accounted for as a debt discount. See Note 13 for additional information. The debt issuance costs and debt discount were classified as an offset to the 2025 Convertible Notes on the consolidated balance sheets, and were accreted over the loan term using the effective interest method. Upon the closing of the Company’s IPO, the remaining unamortized debt discount and debt issuance costs of $28.8 million were reclassified to additional paid-in capital.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Redeemable Convertible Preferred Stock</w:t>
      </w:r>
    </w:p>
    <w:p>
      <w:pPr>
        <w:spacing w:after="0" w:line="17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In March 2023, the Company issued 61,344,029 shares of Series F redeemable convertible preferred stock to existing and new investors at a price per share of $2.8505 for an aggregate cash consideration of $174.9 million, net of $5.9 million issuance costs. Contemporaneously with the issuance of the Series F redeemable convertible preferred stock, the Company converted all of the outstanding Convertible Notes issued by the Company from September 30, 2022 to December 16, 2022, in the aggregate principal amount of $40.0 million plus accrued, unpaid interest of $994,000 into 21,465,064 shares of Series F-1 redeemable convertible preferred stock at a price per share of $1.9098, which represents a discount of 33% from the cash purchase price per share. Additionally, in connection with the Series F redeemable convertible preferred stock financing, the cumulative dividends payable to holders of Series C redeemable convertible preferred stock upon a liquidation event were capped from $6.66 to $8.25 per share depending on the time of issuance, with an aggregate total of $88.5 million.</w:t>
      </w:r>
    </w:p>
    <w:p>
      <w:pPr>
        <w:spacing w:after="0" w:line="15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The issuance of the Series F redeemable convertible preferred stock triggered the anti-dilution protection provision for Series B-1, Series B-2, Series C, Series D and Series E stockholders. As a result, the Company recorded a $26.8 million deemed dividend in the amount equal to the change in fair value of the abovementioned series of convertible preferred stock before and after the anti-dilution adjustment.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convertible preferred stock consisted of the following as of December 31, 2024 (in thousands, except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38"/>
        </w:trPr>
        <w:tc>
          <w:tcPr>
            <w:tcW w:w="3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gridSpan w:val="2"/>
          </w:tcPr>
          <w:p>
            <w:pPr>
              <w:jc w:val="center"/>
              <w:ind w:right="420"/>
              <w:spacing w:after="0" w:line="138"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74"/>
        </w:trPr>
        <w:tc>
          <w:tcPr>
            <w:tcW w:w="3400" w:type="dxa"/>
            <w:vAlign w:val="bottom"/>
          </w:tcPr>
          <w:p>
            <w:pPr>
              <w:spacing w:after="0"/>
              <w:rPr>
                <w:sz w:val="15"/>
                <w:szCs w:val="15"/>
                <w:color w:val="auto"/>
              </w:rPr>
            </w:pPr>
          </w:p>
        </w:tc>
        <w:tc>
          <w:tcPr>
            <w:tcW w:w="1960" w:type="dxa"/>
            <w:vAlign w:val="bottom"/>
            <w:gridSpan w:val="2"/>
          </w:tcPr>
          <w:p>
            <w:pPr>
              <w:jc w:val="center"/>
              <w:ind w:right="4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960" w:type="dxa"/>
            <w:vAlign w:val="bottom"/>
            <w:gridSpan w:val="2"/>
          </w:tcPr>
          <w:p>
            <w:pPr>
              <w:jc w:val="center"/>
              <w:ind w:right="420"/>
              <w:spacing w:after="0" w:line="174" w:lineRule="exact"/>
              <w:rPr>
                <w:sz w:val="20"/>
                <w:szCs w:val="20"/>
                <w:color w:val="auto"/>
              </w:rPr>
            </w:pPr>
            <w:r>
              <w:rPr>
                <w:rFonts w:ascii="Times New Roman" w:cs="Times New Roman" w:eastAsia="Times New Roman" w:hAnsi="Times New Roman"/>
                <w:sz w:val="16"/>
                <w:szCs w:val="16"/>
                <w:b w:val="1"/>
                <w:bCs w:val="1"/>
                <w:color w:val="auto"/>
              </w:rPr>
              <w:t>Shares Issued</w:t>
            </w: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4"/>
        </w:trPr>
        <w:tc>
          <w:tcPr>
            <w:tcW w:w="3400" w:type="dxa"/>
            <w:vAlign w:val="bottom"/>
          </w:tcPr>
          <w:p>
            <w:pPr>
              <w:spacing w:after="0"/>
              <w:rPr>
                <w:sz w:val="15"/>
                <w:szCs w:val="15"/>
                <w:color w:val="auto"/>
              </w:rPr>
            </w:pPr>
          </w:p>
        </w:tc>
        <w:tc>
          <w:tcPr>
            <w:tcW w:w="1960" w:type="dxa"/>
            <w:vAlign w:val="bottom"/>
            <w:gridSpan w:val="2"/>
          </w:tcPr>
          <w:p>
            <w:pPr>
              <w:jc w:val="center"/>
              <w:ind w:right="4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960" w:type="dxa"/>
            <w:vAlign w:val="bottom"/>
            <w:gridSpan w:val="2"/>
          </w:tcPr>
          <w:p>
            <w:pPr>
              <w:jc w:val="center"/>
              <w:ind w:right="420"/>
              <w:spacing w:after="0" w:line="174" w:lineRule="exact"/>
              <w:rPr>
                <w:sz w:val="20"/>
                <w:szCs w:val="20"/>
                <w:color w:val="auto"/>
              </w:rPr>
            </w:pPr>
            <w:r>
              <w:rPr>
                <w:rFonts w:ascii="Times New Roman" w:cs="Times New Roman" w:eastAsia="Times New Roman" w:hAnsi="Times New Roman"/>
                <w:sz w:val="16"/>
                <w:szCs w:val="16"/>
                <w:b w:val="1"/>
                <w:bCs w:val="1"/>
                <w:color w:val="auto"/>
              </w:rPr>
              <w:t>and</w:t>
            </w:r>
          </w:p>
        </w:tc>
        <w:tc>
          <w:tcPr>
            <w:tcW w:w="340" w:type="dxa"/>
            <w:vAlign w:val="bottom"/>
          </w:tcPr>
          <w:p>
            <w:pPr>
              <w:spacing w:after="0"/>
              <w:rPr>
                <w:sz w:val="15"/>
                <w:szCs w:val="15"/>
                <w:color w:val="auto"/>
              </w:rPr>
            </w:pPr>
          </w:p>
        </w:tc>
        <w:tc>
          <w:tcPr>
            <w:tcW w:w="1840" w:type="dxa"/>
            <w:vAlign w:val="bottom"/>
            <w:gridSpan w:val="2"/>
          </w:tcPr>
          <w:p>
            <w:pPr>
              <w:jc w:val="center"/>
              <w:ind w:right="740"/>
              <w:spacing w:after="0" w:line="174"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80" w:type="dxa"/>
            <w:vAlign w:val="bottom"/>
          </w:tcPr>
          <w:p>
            <w:pPr>
              <w:spacing w:after="0"/>
              <w:rPr>
                <w:sz w:val="15"/>
                <w:szCs w:val="15"/>
                <w:color w:val="auto"/>
              </w:rPr>
            </w:pPr>
          </w:p>
        </w:tc>
        <w:tc>
          <w:tcPr>
            <w:tcW w:w="1460" w:type="dxa"/>
            <w:vAlign w:val="bottom"/>
          </w:tcPr>
          <w:p>
            <w:pPr>
              <w:jc w:val="right"/>
              <w:ind w:right="380"/>
              <w:spacing w:after="0" w:line="174" w:lineRule="exact"/>
              <w:rPr>
                <w:sz w:val="20"/>
                <w:szCs w:val="20"/>
                <w:color w:val="auto"/>
              </w:rPr>
            </w:pPr>
            <w:r>
              <w:rPr>
                <w:rFonts w:ascii="Times New Roman" w:cs="Times New Roman" w:eastAsia="Times New Roman" w:hAnsi="Times New Roman"/>
                <w:sz w:val="16"/>
                <w:szCs w:val="16"/>
                <w:b w:val="1"/>
                <w:bCs w:val="1"/>
                <w:color w:val="auto"/>
              </w:rPr>
              <w:t>Liquidation</w:t>
            </w:r>
          </w:p>
        </w:tc>
      </w:tr>
      <w:tr>
        <w:trPr>
          <w:trHeight w:val="203"/>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Series</w:t>
            </w:r>
          </w:p>
        </w:tc>
        <w:tc>
          <w:tcPr>
            <w:tcW w:w="19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9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67"/>
        </w:trPr>
        <w:tc>
          <w:tcPr>
            <w:tcW w:w="3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Series A</w:t>
            </w:r>
          </w:p>
        </w:tc>
        <w:tc>
          <w:tcPr>
            <w:tcW w:w="15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4,082,965</w:t>
            </w:r>
          </w:p>
        </w:tc>
        <w:tc>
          <w:tcPr>
            <w:tcW w:w="4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4,082,965</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2,041</w:t>
            </w: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2,041</w:t>
            </w:r>
          </w:p>
        </w:tc>
      </w:tr>
      <w:tr>
        <w:trPr>
          <w:trHeight w:val="174"/>
        </w:trPr>
        <w:tc>
          <w:tcPr>
            <w:tcW w:w="34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Series B-1</w:t>
            </w:r>
          </w:p>
        </w:tc>
        <w:tc>
          <w:tcPr>
            <w:tcW w:w="15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1,954,846</w:t>
            </w:r>
          </w:p>
        </w:tc>
        <w:tc>
          <w:tcPr>
            <w:tcW w:w="420" w:type="dxa"/>
            <w:vAlign w:val="bottom"/>
          </w:tcPr>
          <w:p>
            <w:pPr>
              <w:spacing w:after="0"/>
              <w:rPr>
                <w:sz w:val="15"/>
                <w:szCs w:val="15"/>
                <w:color w:val="auto"/>
              </w:rPr>
            </w:pPr>
          </w:p>
        </w:tc>
        <w:tc>
          <w:tcPr>
            <w:tcW w:w="15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1,954,846</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6,940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6,940</w:t>
            </w:r>
          </w:p>
        </w:tc>
      </w:tr>
      <w:tr>
        <w:trPr>
          <w:trHeight w:val="174"/>
        </w:trPr>
        <w:tc>
          <w:tcPr>
            <w:tcW w:w="34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Series B-2</w:t>
            </w:r>
          </w:p>
        </w:tc>
        <w:tc>
          <w:tcPr>
            <w:tcW w:w="15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2,848,263</w:t>
            </w:r>
          </w:p>
        </w:tc>
        <w:tc>
          <w:tcPr>
            <w:tcW w:w="4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2,848,263</w:t>
            </w: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10,111</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10,111</w:t>
            </w:r>
          </w:p>
        </w:tc>
      </w:tr>
      <w:tr>
        <w:trPr>
          <w:trHeight w:val="174"/>
        </w:trPr>
        <w:tc>
          <w:tcPr>
            <w:tcW w:w="34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Series C</w:t>
            </w:r>
          </w:p>
        </w:tc>
        <w:tc>
          <w:tcPr>
            <w:tcW w:w="15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11,343,434</w:t>
            </w:r>
          </w:p>
        </w:tc>
        <w:tc>
          <w:tcPr>
            <w:tcW w:w="420" w:type="dxa"/>
            <w:vAlign w:val="bottom"/>
          </w:tcPr>
          <w:p>
            <w:pPr>
              <w:spacing w:after="0"/>
              <w:rPr>
                <w:sz w:val="15"/>
                <w:szCs w:val="15"/>
                <w:color w:val="auto"/>
              </w:rPr>
            </w:pPr>
          </w:p>
        </w:tc>
        <w:tc>
          <w:tcPr>
            <w:tcW w:w="15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11,343,434</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104,378</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193,167</w:t>
            </w:r>
          </w:p>
        </w:tc>
      </w:tr>
      <w:tr>
        <w:trPr>
          <w:trHeight w:val="174"/>
        </w:trPr>
        <w:tc>
          <w:tcPr>
            <w:tcW w:w="34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Series D</w:t>
            </w:r>
          </w:p>
        </w:tc>
        <w:tc>
          <w:tcPr>
            <w:tcW w:w="15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7,151,873</w:t>
            </w:r>
          </w:p>
        </w:tc>
        <w:tc>
          <w:tcPr>
            <w:tcW w:w="4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7,151,873</w:t>
            </w: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110,756</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110,854</w:t>
            </w:r>
          </w:p>
        </w:tc>
      </w:tr>
      <w:tr>
        <w:trPr>
          <w:trHeight w:val="174"/>
        </w:trPr>
        <w:tc>
          <w:tcPr>
            <w:tcW w:w="34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Series E</w:t>
            </w:r>
          </w:p>
        </w:tc>
        <w:tc>
          <w:tcPr>
            <w:tcW w:w="15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12,040,980</w:t>
            </w:r>
          </w:p>
        </w:tc>
        <w:tc>
          <w:tcPr>
            <w:tcW w:w="420" w:type="dxa"/>
            <w:vAlign w:val="bottom"/>
          </w:tcPr>
          <w:p>
            <w:pPr>
              <w:spacing w:after="0"/>
              <w:rPr>
                <w:sz w:val="15"/>
                <w:szCs w:val="15"/>
                <w:color w:val="auto"/>
              </w:rPr>
            </w:pPr>
          </w:p>
        </w:tc>
        <w:tc>
          <w:tcPr>
            <w:tcW w:w="15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12,040,980</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304,197</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305,018</w:t>
            </w:r>
          </w:p>
        </w:tc>
      </w:tr>
      <w:tr>
        <w:trPr>
          <w:trHeight w:val="174"/>
        </w:trPr>
        <w:tc>
          <w:tcPr>
            <w:tcW w:w="34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Series F</w:t>
            </w:r>
          </w:p>
        </w:tc>
        <w:tc>
          <w:tcPr>
            <w:tcW w:w="15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61,344,029</w:t>
            </w:r>
          </w:p>
        </w:tc>
        <w:tc>
          <w:tcPr>
            <w:tcW w:w="4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61,344,029</w:t>
            </w: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168,957</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262,295</w:t>
            </w:r>
          </w:p>
        </w:tc>
      </w:tr>
      <w:tr>
        <w:trPr>
          <w:trHeight w:val="174"/>
        </w:trPr>
        <w:tc>
          <w:tcPr>
            <w:tcW w:w="340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Series F-1</w:t>
            </w:r>
          </w:p>
        </w:tc>
        <w:tc>
          <w:tcPr>
            <w:tcW w:w="15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21,465,064</w:t>
            </w:r>
          </w:p>
        </w:tc>
        <w:tc>
          <w:tcPr>
            <w:tcW w:w="4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21,465,064</w:t>
            </w:r>
          </w:p>
        </w:tc>
        <w:tc>
          <w:tcPr>
            <w:tcW w:w="4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61,186</w:t>
            </w:r>
          </w:p>
        </w:tc>
        <w:tc>
          <w:tcPr>
            <w:tcW w:w="4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61,491</w:t>
            </w:r>
          </w:p>
        </w:tc>
      </w:tr>
      <w:tr>
        <w:trPr>
          <w:trHeight w:val="167"/>
        </w:trPr>
        <w:tc>
          <w:tcPr>
            <w:tcW w:w="340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Total</w:t>
            </w:r>
          </w:p>
        </w:tc>
        <w:tc>
          <w:tcPr>
            <w:tcW w:w="15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122,231,454</w:t>
            </w:r>
          </w:p>
        </w:tc>
        <w:tc>
          <w:tcPr>
            <w:tcW w:w="4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122,231,454</w:t>
            </w: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768,566</w:t>
            </w:r>
          </w:p>
        </w:tc>
        <w:tc>
          <w:tcPr>
            <w:tcW w:w="4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951,917</w:t>
            </w:r>
          </w:p>
        </w:tc>
      </w:tr>
      <w:tr>
        <w:trPr>
          <w:trHeight w:val="20"/>
        </w:trPr>
        <w:tc>
          <w:tcPr>
            <w:tcW w:w="34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right="180"/>
        <w:spacing w:after="0" w:line="229" w:lineRule="auto"/>
        <w:rPr>
          <w:sz w:val="20"/>
          <w:szCs w:val="20"/>
          <w:color w:val="auto"/>
        </w:rPr>
      </w:pPr>
      <w:r>
        <w:rPr>
          <w:rFonts w:ascii="Times New Roman" w:cs="Times New Roman" w:eastAsia="Times New Roman" w:hAnsi="Times New Roman"/>
          <w:sz w:val="18"/>
          <w:szCs w:val="18"/>
          <w:color w:val="auto"/>
        </w:rPr>
        <w:t>Upon the closing of the IPO, all shares of convertible preferred stock then outstanding converted into 51,226,348 shares of common stock. Shares of Series A, Series B-1, Series B-2, Series C, Series D, Series E, Series F and Series F-1 outstanding redeemable convertible preferred stock converted into shares of common stock on a 0.342466:1,</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100"/>
        <w:spacing w:after="0" w:line="239" w:lineRule="auto"/>
        <w:rPr>
          <w:sz w:val="20"/>
          <w:szCs w:val="20"/>
          <w:color w:val="auto"/>
        </w:rPr>
      </w:pPr>
      <w:r>
        <w:rPr>
          <w:rFonts w:ascii="Times New Roman" w:cs="Times New Roman" w:eastAsia="Times New Roman" w:hAnsi="Times New Roman"/>
          <w:sz w:val="18"/>
          <w:szCs w:val="18"/>
          <w:color w:val="auto"/>
        </w:rPr>
        <w:t>0.403088:1, 0.403088:1, 0.576386:1, 0.646673:1, 0.695098:1, 0.342466:1, and 0.342466:1 basis, as adjusted for the Reverse Stock Split, respectively. As of December 31, 2025, the Company does not have any convertible preferred stock issued or outstanding.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Stockholders’ Equity (Deficit)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98"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At December 31, 2025, the Company’s certificate of incorporation, as amended and restated, authorizes the Company to issue up to 50,000,000 shares of preferred stock with $0.001 par value per share, of which no shares were issued and outstanding.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1"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At December 31, 2025, under the Company’s Amended and Restated Certificate of Incorporation, the Company is authorized to issue 250,000,000 shares of $0.001 par value common stock, of which 85,280,597 shares were issued and outstanding. The holders of common stock are also entitled to receive dividends whenever funds are legally available, when and if declared by the Board of Directors. As of December 31, 2025, no dividends have been declared to date. Each share of common stock is entitled to one vote.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reserved for future issuance, on an as-converted basis, consisted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14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167"/>
        </w:trPr>
        <w:tc>
          <w:tcPr>
            <w:tcW w:w="8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167"/>
        </w:trPr>
        <w:tc>
          <w:tcPr>
            <w:tcW w:w="8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Redeemable convertible preferred stock</w:t>
            </w:r>
          </w:p>
        </w:tc>
        <w:tc>
          <w:tcPr>
            <w:tcW w:w="13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51,226,348</w:t>
            </w:r>
          </w:p>
        </w:tc>
      </w:tr>
      <w:tr>
        <w:trPr>
          <w:trHeight w:val="174"/>
        </w:trPr>
        <w:tc>
          <w:tcPr>
            <w:tcW w:w="81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Options to purchase common stock</w:t>
            </w:r>
          </w:p>
        </w:tc>
        <w:tc>
          <w:tcPr>
            <w:tcW w:w="13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10,003,254</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8,537,203</w:t>
            </w:r>
          </w:p>
        </w:tc>
      </w:tr>
      <w:tr>
        <w:trPr>
          <w:trHeight w:val="174"/>
        </w:trPr>
        <w:tc>
          <w:tcPr>
            <w:tcW w:w="8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Restricted stock units</w:t>
            </w:r>
          </w:p>
        </w:tc>
        <w:tc>
          <w:tcPr>
            <w:tcW w:w="13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907,703</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81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Shares reserved for issuance under the Company's equity plans</w:t>
            </w:r>
          </w:p>
        </w:tc>
        <w:tc>
          <w:tcPr>
            <w:tcW w:w="13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14,085,870</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1,079,492</w:t>
            </w:r>
          </w:p>
        </w:tc>
      </w:tr>
      <w:tr>
        <w:trPr>
          <w:trHeight w:val="174"/>
        </w:trPr>
        <w:tc>
          <w:tcPr>
            <w:tcW w:w="8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Common stock warrants</w:t>
            </w:r>
          </w:p>
        </w:tc>
        <w:tc>
          <w:tcPr>
            <w:tcW w:w="2140" w:type="dxa"/>
            <w:vAlign w:val="bottom"/>
            <w:gridSpan w:val="3"/>
            <w:shd w:val="clear" w:color="auto" w:fill="CCEEFF"/>
          </w:tcPr>
          <w:p>
            <w:pPr>
              <w:jc w:val="right"/>
              <w:ind w:right="7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1,647,667</w:t>
            </w:r>
          </w:p>
        </w:tc>
      </w:tr>
      <w:tr>
        <w:trPr>
          <w:trHeight w:val="167"/>
        </w:trPr>
        <w:tc>
          <w:tcPr>
            <w:tcW w:w="81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24,996,827</w:t>
            </w:r>
          </w:p>
        </w:tc>
        <w:tc>
          <w:tcPr>
            <w:tcW w:w="4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62,490,710</w:t>
            </w:r>
          </w:p>
        </w:tc>
      </w:tr>
      <w:tr>
        <w:trPr>
          <w:trHeight w:val="20"/>
        </w:trPr>
        <w:tc>
          <w:tcPr>
            <w:tcW w:w="8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Common Stock Warrant Liability</w:t>
      </w:r>
    </w:p>
    <w:p>
      <w:pPr>
        <w:spacing w:after="0" w:line="172"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On January 19, 2021, in connection with entering into the Credit Agreement, the Company issued Hayfin a warrant to purchase 108,154 shares of common stock at an exercise price of $0.03 per share. On March 17, 2022, upon amendment to the Credit Agreement, the Company issued Hayfin a warrant to purchase 77,253 shares of common stock at an exercise price of $0.03 per share. On March 3, 2023, upon Amendment No. 4 to the Credit Agreement and as a result of antidilution adjustment provisions in connection with the Series F redeemable convertible preferred stock financing, the Company issued Hayfin a warrant to purchase 1,462,260 shares of common stock at an exercise price of $0.03 per share (collectively, the “Warrants”).</w:t>
      </w:r>
    </w:p>
    <w:p>
      <w:pPr>
        <w:spacing w:after="0" w:line="1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 aggregate fair value of the Warrants issued in connection with the 2021 Credit Agreement and the amended 2021 Credit Agreement was $4.3 million and $3.5 million, respectively, at issuance and was recognized as a debt discount and recorded as a warrant liability. The warrant liabilities were remeasured to fair value as of December 31, 2024, resulting in a loss of $16.4 million within the consolidated statements of operations and comprehensive loss.</w:t>
      </w:r>
    </w:p>
    <w:p>
      <w:pPr>
        <w:spacing w:after="0" w:line="146"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On October 22, 2025, Hayfin net exercised all common stock warrants outstanding for 1,646,317 shares of common stock. The common stock warrant liability was remeasured to fair value through the date of exercise, resulting in a loss of $43.9 million within the consolidated statements of operations and comprehensive loss for the year ended December 31, 2025. The final fair value of $64.7 million was reclassified to stockholders equity (deficit) on the date of exercise. As of December 31, 2025 and 2024, there were 0 and 1,647,667 warrants to purchase common stock outstanding.</w:t>
      </w:r>
    </w:p>
    <w:p>
      <w:pPr>
        <w:spacing w:after="0" w:line="15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fair value of the common stock warrant liability was determined using the Black-Scholes option pricing model based on the following weighted average assumptions: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October 22,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5100" w:type="dxa"/>
            <w:vAlign w:val="bottom"/>
            <w:tcBorders>
              <w:bottom w:val="single" w:sz="8" w:color="CCEEFF"/>
            </w:tcBorders>
          </w:tcPr>
          <w:p>
            <w:pPr>
              <w:spacing w:after="0"/>
              <w:rPr>
                <w:sz w:val="17"/>
                <w:szCs w:val="17"/>
                <w:color w:val="auto"/>
              </w:rPr>
            </w:pPr>
          </w:p>
        </w:tc>
        <w:tc>
          <w:tcPr>
            <w:tcW w:w="25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67"/>
        </w:trPr>
        <w:tc>
          <w:tcPr>
            <w:tcW w:w="5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Stock price</w:t>
            </w:r>
          </w:p>
        </w:tc>
        <w:tc>
          <w:tcPr>
            <w:tcW w:w="25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39.31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12.68</w:t>
            </w:r>
          </w:p>
        </w:tc>
      </w:tr>
      <w:tr>
        <w:trPr>
          <w:trHeight w:val="174"/>
        </w:trPr>
        <w:tc>
          <w:tcPr>
            <w:tcW w:w="51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Exercise price</w:t>
            </w:r>
          </w:p>
        </w:tc>
        <w:tc>
          <w:tcPr>
            <w:tcW w:w="2800" w:type="dxa"/>
            <w:vAlign w:val="bottom"/>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0.03</w:t>
            </w:r>
          </w:p>
        </w:tc>
        <w:tc>
          <w:tcPr>
            <w:tcW w:w="200" w:type="dxa"/>
            <w:vAlign w:val="bottom"/>
          </w:tcPr>
          <w:p>
            <w:pPr>
              <w:spacing w:after="0"/>
              <w:rPr>
                <w:sz w:val="15"/>
                <w:szCs w:val="15"/>
                <w:color w:val="auto"/>
              </w:rPr>
            </w:pPr>
          </w:p>
        </w:tc>
        <w:tc>
          <w:tcPr>
            <w:tcW w:w="420" w:type="dxa"/>
            <w:vAlign w:val="bottom"/>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0.03</w:t>
            </w:r>
          </w:p>
        </w:tc>
      </w:tr>
      <w:tr>
        <w:trPr>
          <w:trHeight w:val="174"/>
        </w:trPr>
        <w:tc>
          <w:tcPr>
            <w:tcW w:w="5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Expected term (in years)</w:t>
            </w:r>
          </w:p>
        </w:tc>
        <w:tc>
          <w:tcPr>
            <w:tcW w:w="2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6.6</w:t>
            </w:r>
          </w:p>
        </w:tc>
      </w:tr>
      <w:tr>
        <w:trPr>
          <w:trHeight w:val="174"/>
        </w:trPr>
        <w:tc>
          <w:tcPr>
            <w:tcW w:w="51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Expected volatility</w:t>
            </w:r>
          </w:p>
        </w:tc>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200"/>
              <w:spacing w:after="0" w:line="174" w:lineRule="exact"/>
              <w:rPr>
                <w:sz w:val="20"/>
                <w:szCs w:val="20"/>
                <w:color w:val="auto"/>
              </w:rPr>
            </w:pPr>
            <w:r>
              <w:rPr>
                <w:rFonts w:ascii="Times New Roman" w:cs="Times New Roman" w:eastAsia="Times New Roman" w:hAnsi="Times New Roman"/>
                <w:sz w:val="16"/>
                <w:szCs w:val="16"/>
                <w:color w:val="auto"/>
              </w:rPr>
              <w:t>55.7%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72.1%</w:t>
            </w:r>
          </w:p>
        </w:tc>
      </w:tr>
      <w:tr>
        <w:trPr>
          <w:trHeight w:val="174"/>
        </w:trPr>
        <w:tc>
          <w:tcPr>
            <w:tcW w:w="5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Weighted average risk-free interest rate</w:t>
            </w:r>
          </w:p>
        </w:tc>
        <w:tc>
          <w:tcPr>
            <w:tcW w:w="2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line="174" w:lineRule="exact"/>
              <w:rPr>
                <w:sz w:val="20"/>
                <w:szCs w:val="20"/>
                <w:color w:val="auto"/>
              </w:rPr>
            </w:pPr>
            <w:r>
              <w:rPr>
                <w:rFonts w:ascii="Times New Roman" w:cs="Times New Roman" w:eastAsia="Times New Roman" w:hAnsi="Times New Roman"/>
                <w:sz w:val="16"/>
                <w:szCs w:val="16"/>
                <w:color w:val="auto"/>
              </w:rPr>
              <w:t>3.63%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4.44%</w:t>
            </w: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Derivative Liability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8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Prior to the 2024 Term Loan Refinancing in June 2024, the Term Loan contained certain prepayment features, default put option and default interest adjustment features that were determined to be embedded derivatives requiring bifurcation and separate accounting as a single compound derivative, as discussed in Note 8. The fair value of the derivative liability was recorded at the issuance date as debt discounts and reductions to the carrying value of long-term debt on the consolidated balance sheets. The derivative liability is remeasured to fair value at each reporting period and the related changes in fair value are recorded on the consolidated statements of operations and comprehensive loss. Through the time of the 2024 Term Loan Refinancing in June 2024, the Company continued to adjust the derivative liability for changes in fair value of the Term Loan.</w:t>
      </w:r>
    </w:p>
    <w:p>
      <w:pPr>
        <w:spacing w:after="0" w:line="159" w:lineRule="exact"/>
        <w:rPr>
          <w:sz w:val="20"/>
          <w:szCs w:val="20"/>
          <w:color w:val="auto"/>
        </w:rPr>
      </w:pPr>
    </w:p>
    <w:p>
      <w:pPr>
        <w:jc w:val="both"/>
        <w:ind w:right="100"/>
        <w:spacing w:after="0" w:line="234" w:lineRule="auto"/>
        <w:rPr>
          <w:sz w:val="20"/>
          <w:szCs w:val="20"/>
          <w:color w:val="auto"/>
        </w:rPr>
      </w:pPr>
      <w:r>
        <w:rPr>
          <w:rFonts w:ascii="Times New Roman" w:cs="Times New Roman" w:eastAsia="Times New Roman" w:hAnsi="Times New Roman"/>
          <w:sz w:val="18"/>
          <w:szCs w:val="18"/>
          <w:color w:val="auto"/>
        </w:rPr>
        <w:t>Estimating fair values of the derivative liability requires the development of significant and subjective estimates that may, and are likely to, change over the duration of the instrument with related changes in internal and external market factors. Since the derivative financial instrument is initially and subsequently carried at fair value, the Company’s income will reflect the volatility in these estimate and assumption changes.</w:t>
      </w:r>
    </w:p>
    <w:p>
      <w:pPr>
        <w:spacing w:after="0" w:line="156"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The derivative liability was remeasured to fair value as of June 14, 2024 and December 31, 2023, resulting in a loss of $222,000 and a gain of $4.2 million, respectively, within the consolidated statements of operations and comprehensive loss. In connection with the 2024 Term Loan Refinancing on June 14, 2024, the associated current fair value of the derivative liability of $1.1 million as remeasured at the date of refinancing was derecognized and recorded as a debt discount to the 2024 Term Loan.</w:t>
      </w:r>
    </w:p>
    <w:p>
      <w:pPr>
        <w:spacing w:after="0" w:line="15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fair value of the derivative liability was estimated using a scenario-based analysis comparing the probability-weighted present value of the Term Loan payoff at maturity with and without the bifurcated features. The Company used both the Black-Scholes-Merton and option pricing method to estimate the fair value of the derivative liability because it believes these techniques are reflective of all significant assumption types and ranges of assumption inputs that market participants would likely consider in transactions involving compound embedded derivatives. The option pricing method was employed as part of a back-solve analysis to the Company’s Series F Preferred round of financing. The Company’s assumptions used in determining the fair value of the derivative liability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14, 2024</w:t>
            </w:r>
          </w:p>
        </w:tc>
      </w:tr>
      <w:tr>
        <w:trPr>
          <w:trHeight w:val="167"/>
        </w:trPr>
        <w:tc>
          <w:tcPr>
            <w:tcW w:w="9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Debt yield</w:t>
            </w:r>
          </w:p>
        </w:tc>
        <w:tc>
          <w:tcPr>
            <w:tcW w:w="16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18.50%</w:t>
            </w:r>
          </w:p>
        </w:tc>
      </w:tr>
      <w:tr>
        <w:trPr>
          <w:trHeight w:val="174"/>
        </w:trPr>
        <w:tc>
          <w:tcPr>
            <w:tcW w:w="9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Probability of business combination or IPO (with feature)</w:t>
            </w:r>
          </w:p>
        </w:tc>
        <w:tc>
          <w:tcPr>
            <w:tcW w:w="16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w w:val="97"/>
              </w:rPr>
              <w:t>80.00%</w:t>
            </w:r>
          </w:p>
        </w:tc>
      </w:tr>
      <w:tr>
        <w:trPr>
          <w:trHeight w:val="174"/>
        </w:trPr>
        <w:tc>
          <w:tcPr>
            <w:tcW w:w="9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Event date of business combination or IPO (with feature)</w:t>
            </w:r>
          </w:p>
        </w:tc>
        <w:tc>
          <w:tcPr>
            <w:tcW w:w="16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8"/>
              </w:rPr>
              <w:t>6/30/2025</w:t>
            </w:r>
          </w:p>
        </w:tc>
      </w:tr>
      <w:tr>
        <w:trPr>
          <w:trHeight w:val="174"/>
        </w:trPr>
        <w:tc>
          <w:tcPr>
            <w:tcW w:w="9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Probability to incur new debt</w:t>
            </w:r>
          </w:p>
        </w:tc>
        <w:tc>
          <w:tcPr>
            <w:tcW w:w="16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w w:val="96"/>
              </w:rPr>
              <w:t>0.00%</w:t>
            </w:r>
          </w:p>
        </w:tc>
      </w:tr>
      <w:tr>
        <w:trPr>
          <w:trHeight w:val="174"/>
        </w:trPr>
        <w:tc>
          <w:tcPr>
            <w:tcW w:w="9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Event date to incur new debt</w:t>
            </w:r>
          </w:p>
        </w:tc>
        <w:tc>
          <w:tcPr>
            <w:tcW w:w="16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rPr>
              <w:t>n/a</w:t>
            </w:r>
          </w:p>
        </w:tc>
      </w:tr>
      <w:tr>
        <w:trPr>
          <w:trHeight w:val="174"/>
        </w:trPr>
        <w:tc>
          <w:tcPr>
            <w:tcW w:w="9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Probability of change of control</w:t>
            </w:r>
          </w:p>
        </w:tc>
        <w:tc>
          <w:tcPr>
            <w:tcW w:w="16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w w:val="97"/>
              </w:rPr>
              <w:t>10.00%</w:t>
            </w:r>
          </w:p>
        </w:tc>
      </w:tr>
      <w:tr>
        <w:trPr>
          <w:trHeight w:val="174"/>
        </w:trPr>
        <w:tc>
          <w:tcPr>
            <w:tcW w:w="9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Event date of change of control</w:t>
            </w:r>
          </w:p>
        </w:tc>
        <w:tc>
          <w:tcPr>
            <w:tcW w:w="16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8"/>
              </w:rPr>
              <w:t>6/30/2025</w:t>
            </w:r>
          </w:p>
        </w:tc>
      </w:tr>
      <w:tr>
        <w:trPr>
          <w:trHeight w:val="209"/>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Event date (without feature)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1/19/2026</w:t>
            </w:r>
          </w:p>
        </w:tc>
      </w:tr>
    </w:tbl>
    <w:p>
      <w:pPr>
        <w:spacing w:after="0" w:line="133"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Debt yield — Discount rate that reconciles the total fair value of the Warrants and 2021 Credit Agreement with the transaction value. Debt yield reflects a change in the credit benchmark for a “CCC” rated obligation.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w:t>
      </w:r>
    </w:p>
    <w:p>
      <w:pPr>
        <w:spacing w:after="0" w:line="18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color w:val="auto"/>
        </w:rPr>
        <w:t>The 2025 Convertible Notes were determined to contain certain settlement features and conversion put options which require bifurcation and separate accounting as a single compound embedded derivative, as discussed in Note 9. The fair value of the derivative liability was recorded at the issuance dates as a debt discount and reduction to the carrying value of the 2025 Convertible Notes on the consolidated balance sheets. The derivative liability is remeasured to fair value at each reporting period and the related changes in fair value are recorded on the consolidated statements of operations and comprehensive loss.</w:t>
      </w:r>
    </w:p>
    <w:p>
      <w:pPr>
        <w:spacing w:after="0" w:line="94"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8"/>
          <w:szCs w:val="18"/>
          <w:color w:val="auto"/>
        </w:rPr>
        <w:t>The fair value of the derivative liability was estimated using a scenario-based analysis comparing the probability-weighted present value of the 2025 Convertible Notes with and without the bifurcated features. The Company used the Monte Carlo Simulation method to estimate the fair value of the derivative liability because it believes this technique is reflective of all significant assumption types and ranges of assumption inputs that market participants would likely consider in transactions involving compound embedded derivatives. The option pricing method was employed as part of a back-solve analysis for scenarios in which the Company was expected to raise another financing round. The Company also employed a waterfall analysis that allocated certain exit proceeds to its outstanding share classes for scenarios in which the Company was assumed to exit via change of control or IPO. The Company’s assumptions used in determining the issuance date fair value of the derivative liability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26, 2025</w:t>
            </w:r>
          </w:p>
        </w:tc>
        <w:tc>
          <w:tcPr>
            <w:tcW w:w="13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167"/>
        </w:trPr>
        <w:tc>
          <w:tcPr>
            <w:tcW w:w="81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Debt yield</w:t>
            </w:r>
          </w:p>
        </w:tc>
        <w:tc>
          <w:tcPr>
            <w:tcW w:w="136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rPr>
              <w:t>7.0%</w:t>
            </w:r>
          </w:p>
        </w:tc>
        <w:tc>
          <w:tcPr>
            <w:tcW w:w="4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rPr>
              <w:t>7.0%</w:t>
            </w:r>
          </w:p>
        </w:tc>
      </w:tr>
      <w:tr>
        <w:trPr>
          <w:trHeight w:val="174"/>
        </w:trPr>
        <w:tc>
          <w:tcPr>
            <w:tcW w:w="81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Probability of IPO</w:t>
            </w:r>
          </w:p>
        </w:tc>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75.0%</w:t>
            </w:r>
          </w:p>
        </w:tc>
        <w:tc>
          <w:tcPr>
            <w:tcW w:w="420" w:type="dxa"/>
            <w:vAlign w:val="bottom"/>
          </w:tcPr>
          <w:p>
            <w:pPr>
              <w:spacing w:after="0"/>
              <w:rPr>
                <w:sz w:val="15"/>
                <w:szCs w:val="15"/>
                <w:color w:val="auto"/>
              </w:rPr>
            </w:pPr>
          </w:p>
        </w:tc>
        <w:tc>
          <w:tcPr>
            <w:tcW w:w="134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60.0%</w:t>
            </w:r>
          </w:p>
        </w:tc>
      </w:tr>
      <w:tr>
        <w:trPr>
          <w:trHeight w:val="174"/>
        </w:trPr>
        <w:tc>
          <w:tcPr>
            <w:tcW w:w="8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Event Date of IPO</w:t>
            </w:r>
          </w:p>
        </w:tc>
        <w:tc>
          <w:tcPr>
            <w:tcW w:w="13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8"/>
              </w:rPr>
              <w:t>5/9/2025</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rPr>
              <w:t>5/5/2025</w:t>
            </w:r>
          </w:p>
        </w:tc>
      </w:tr>
      <w:tr>
        <w:trPr>
          <w:trHeight w:val="174"/>
        </w:trPr>
        <w:tc>
          <w:tcPr>
            <w:tcW w:w="81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Probability of change of control</w:t>
            </w:r>
          </w:p>
        </w:tc>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10.0%</w:t>
            </w:r>
          </w:p>
        </w:tc>
        <w:tc>
          <w:tcPr>
            <w:tcW w:w="420" w:type="dxa"/>
            <w:vAlign w:val="bottom"/>
          </w:tcPr>
          <w:p>
            <w:pPr>
              <w:spacing w:after="0"/>
              <w:rPr>
                <w:sz w:val="15"/>
                <w:szCs w:val="15"/>
                <w:color w:val="auto"/>
              </w:rPr>
            </w:pPr>
          </w:p>
        </w:tc>
        <w:tc>
          <w:tcPr>
            <w:tcW w:w="134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20.0%</w:t>
            </w:r>
          </w:p>
        </w:tc>
      </w:tr>
      <w:tr>
        <w:trPr>
          <w:trHeight w:val="174"/>
        </w:trPr>
        <w:tc>
          <w:tcPr>
            <w:tcW w:w="8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Event date of change of control</w:t>
            </w:r>
          </w:p>
        </w:tc>
        <w:tc>
          <w:tcPr>
            <w:tcW w:w="13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8"/>
              </w:rPr>
              <w:t>3/26/2026</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rPr>
              <w:t>1/31/2026</w:t>
            </w:r>
          </w:p>
        </w:tc>
      </w:tr>
      <w:tr>
        <w:trPr>
          <w:trHeight w:val="209"/>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63.7%</w:t>
            </w:r>
          </w:p>
        </w:tc>
        <w:tc>
          <w:tcPr>
            <w:tcW w:w="4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31.3%</w:t>
            </w:r>
          </w:p>
        </w:tc>
      </w:tr>
    </w:tbl>
    <w:p>
      <w:pPr>
        <w:spacing w:after="0" w:line="267" w:lineRule="exact"/>
        <w:rPr>
          <w:sz w:val="20"/>
          <w:szCs w:val="20"/>
          <w:color w:val="auto"/>
        </w:rPr>
      </w:pPr>
    </w:p>
    <w:p>
      <w:pPr>
        <w:jc w:val="both"/>
        <w:ind w:right="120"/>
        <w:spacing w:after="0" w:line="233" w:lineRule="auto"/>
        <w:rPr>
          <w:sz w:val="20"/>
          <w:szCs w:val="20"/>
          <w:color w:val="auto"/>
        </w:rPr>
      </w:pPr>
      <w:r>
        <w:rPr>
          <w:rFonts w:ascii="Times New Roman" w:cs="Times New Roman" w:eastAsia="Times New Roman" w:hAnsi="Times New Roman"/>
          <w:sz w:val="18"/>
          <w:szCs w:val="18"/>
          <w:color w:val="auto"/>
        </w:rPr>
        <w:t>The issuance date estimated fair values of the derivative liability was $11.1 million and $20.8 million in January and March 2025, respectively, which were recorded as debt discounts. The derivative liability was remeasured to fair value at the end of each reporting period and through the date of its conversion to common stock upon the Company’s IPO. The aggregate estimated fair value of the derivative liability at the time of conversion was $24.6 million, based on the 20% discount from the IPO price, which was reclassified to additional paid-in capital.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 Stock-Based Compensation Plans</w:t>
      </w:r>
    </w:p>
    <w:p>
      <w:pPr>
        <w:spacing w:after="0" w:line="186"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8"/>
          <w:szCs w:val="18"/>
          <w:color w:val="auto"/>
        </w:rPr>
        <w:t>In 2009, the Company adopted its 2009 Equity Incentive Plan which provided for the grant of stock options to the Company’s employees, members of the Board of Directors and consultants. Effective upon the Company’s IPO in August 2025, the Company’s Board of Directors approved the termination of the 2009 Equity Incentive Plan and the adoption of the 2025 Performance Incentive Plan (“2025 Plan”). Options granted under the 2025 Plan may be either incentive stock options (“ISOs”) or nonqualified stock options (“NSOs”). ISOs may be granted only to employees. NSOs, Stock Appreciation Rights, Restricted Stock, and Restricted Stock Units (“RSUs”) may be granted to employees, members of the Board of Directors and consultants. A total of 17,346,193 shares of common stock were initially reserved for issuance pursuant to the 2025 Plan. In addition, the shares reserved for issuance under the 2025 Plan will also include shares reserved but not issued under the 2009 Equity Incentive Plan, plus any share awards granted under the 2009 Equity Incentive Plan that expire or terminate without having been exercised in full or that are forfeited or repurchased. In addition, the number of shares available for issuance under the 2025 Plan will also include an annual increase on the first day of each fiscal year beginning in fiscal 2026, equal to or greater than (i) 5% of the outstanding shares of common stock as of the last day of the immediately preceding fiscal year less any Board of Directors-approved increase(s) during the preceding fiscal year; or (ii) an amount as determined by the Board of Directors.</w:t>
      </w:r>
    </w:p>
    <w:p>
      <w:pPr>
        <w:spacing w:after="0" w:line="104" w:lineRule="exact"/>
        <w:rPr>
          <w:sz w:val="20"/>
          <w:szCs w:val="20"/>
          <w:color w:val="auto"/>
        </w:rPr>
      </w:pPr>
    </w:p>
    <w:p>
      <w:pPr>
        <w:jc w:val="both"/>
        <w:ind w:right="180"/>
        <w:spacing w:after="0" w:line="234" w:lineRule="auto"/>
        <w:rPr>
          <w:sz w:val="20"/>
          <w:szCs w:val="20"/>
          <w:color w:val="auto"/>
        </w:rPr>
      </w:pPr>
      <w:r>
        <w:rPr>
          <w:rFonts w:ascii="Times New Roman" w:cs="Times New Roman" w:eastAsia="Times New Roman" w:hAnsi="Times New Roman"/>
          <w:sz w:val="18"/>
          <w:szCs w:val="18"/>
          <w:color w:val="auto"/>
        </w:rPr>
        <w:t>Options under the 2009 Equity Incentive Plan and 2025 Plan have a term of ten years from the grant date. The option exercise price will be determined by the Board of Directors, but will be no less than 100% of the fair market value per share on the date of grant. In addition, in the case of an ISO granted to an employee who owns stock</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1" w:lineRule="auto"/>
        <w:rPr>
          <w:sz w:val="20"/>
          <w:szCs w:val="20"/>
          <w:color w:val="auto"/>
        </w:rPr>
      </w:pPr>
      <w:r>
        <w:rPr>
          <w:rFonts w:ascii="Times New Roman" w:cs="Times New Roman" w:eastAsia="Times New Roman" w:hAnsi="Times New Roman"/>
          <w:sz w:val="18"/>
          <w:szCs w:val="18"/>
          <w:color w:val="auto"/>
        </w:rPr>
        <w:t>representing more than 10% of the voting power of all classes of stock of the Company, the per share exercise price will be no less than 110% of the fair market value per share on the date of grant. Through December 31, 2025 and 2024, options granted generally vest over (i) four years with 25% vesting on the first anniversary of the issuance date and 1/48th per month thereafter or (ii) vesting monthly in equal installments over four years.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Company’s 2009 Equity Incentive Plan and 2025 Plan is set forth below (in thousands, except share and per share amounts):</w:t>
      </w: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500"/>
              <w:spacing w:after="0" w:line="170" w:lineRule="exact"/>
              <w:rPr>
                <w:sz w:val="20"/>
                <w:szCs w:val="20"/>
                <w:color w:val="auto"/>
              </w:rPr>
            </w:pPr>
            <w:r>
              <w:rPr>
                <w:rFonts w:ascii="Times New Roman" w:cs="Times New Roman" w:eastAsia="Times New Roman" w:hAnsi="Times New Roman"/>
                <w:sz w:val="16"/>
                <w:szCs w:val="16"/>
                <w:b w:val="1"/>
                <w:bCs w:val="1"/>
                <w:color w:val="auto"/>
                <w:w w:val="98"/>
              </w:rPr>
              <w:t>Awards Weighted-</w:t>
            </w:r>
          </w:p>
        </w:tc>
        <w:tc>
          <w:tcPr>
            <w:tcW w:w="1620" w:type="dxa"/>
            <w:vAlign w:val="bottom"/>
          </w:tcPr>
          <w:p>
            <w:pPr>
              <w:jc w:val="right"/>
              <w:ind w:right="120"/>
              <w:spacing w:after="0" w:line="170"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4"/>
        </w:trPr>
        <w:tc>
          <w:tcPr>
            <w:tcW w:w="4100" w:type="dxa"/>
            <w:vAlign w:val="bottom"/>
          </w:tcPr>
          <w:p>
            <w:pPr>
              <w:spacing w:after="0"/>
              <w:rPr>
                <w:sz w:val="15"/>
                <w:szCs w:val="15"/>
                <w:color w:val="auto"/>
              </w:rPr>
            </w:pPr>
          </w:p>
        </w:tc>
        <w:tc>
          <w:tcPr>
            <w:tcW w:w="152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5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6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w w:val="99"/>
              </w:rPr>
              <w:t>Remaining Contractual</w:t>
            </w:r>
          </w:p>
        </w:tc>
        <w:tc>
          <w:tcPr>
            <w:tcW w:w="380" w:type="dxa"/>
            <w:vAlign w:val="bottom"/>
          </w:tcPr>
          <w:p>
            <w:pPr>
              <w:spacing w:after="0"/>
              <w:rPr>
                <w:sz w:val="15"/>
                <w:szCs w:val="15"/>
                <w:color w:val="auto"/>
              </w:rPr>
            </w:pPr>
          </w:p>
        </w:tc>
        <w:tc>
          <w:tcPr>
            <w:tcW w:w="1520" w:type="dxa"/>
            <w:vAlign w:val="bottom"/>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03"/>
        </w:trPr>
        <w:tc>
          <w:tcPr>
            <w:tcW w:w="410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2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67"/>
        </w:trPr>
        <w:tc>
          <w:tcPr>
            <w:tcW w:w="41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3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8,537,210</w:t>
            </w: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4.72</w:t>
            </w:r>
          </w:p>
        </w:tc>
        <w:tc>
          <w:tcPr>
            <w:tcW w:w="4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7.96</w:t>
            </w:r>
          </w:p>
        </w:tc>
        <w:tc>
          <w:tcPr>
            <w:tcW w:w="3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68,256</w:t>
            </w:r>
          </w:p>
        </w:tc>
      </w:tr>
      <w:tr>
        <w:trPr>
          <w:trHeight w:val="174"/>
        </w:trPr>
        <w:tc>
          <w:tcPr>
            <w:tcW w:w="41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Options granted</w:t>
            </w:r>
          </w:p>
        </w:tc>
        <w:tc>
          <w:tcPr>
            <w:tcW w:w="13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2,552,686</w:t>
            </w:r>
          </w:p>
        </w:tc>
        <w:tc>
          <w:tcPr>
            <w:tcW w:w="180" w:type="dxa"/>
            <w:vAlign w:val="bottom"/>
          </w:tcPr>
          <w:p>
            <w:pPr>
              <w:spacing w:after="0"/>
              <w:rPr>
                <w:sz w:val="15"/>
                <w:szCs w:val="15"/>
                <w:color w:val="auto"/>
              </w:rPr>
            </w:pPr>
          </w:p>
        </w:tc>
        <w:tc>
          <w:tcPr>
            <w:tcW w:w="3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18.51</w:t>
            </w:r>
          </w:p>
        </w:tc>
        <w:tc>
          <w:tcPr>
            <w:tcW w:w="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4"/>
        </w:trPr>
        <w:tc>
          <w:tcPr>
            <w:tcW w:w="4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Options exercised</w:t>
            </w:r>
          </w:p>
        </w:tc>
        <w:tc>
          <w:tcPr>
            <w:tcW w:w="1520" w:type="dxa"/>
            <w:vAlign w:val="bottom"/>
            <w:gridSpan w:val="2"/>
            <w:shd w:val="clear" w:color="auto" w:fill="CCEEFF"/>
          </w:tcPr>
          <w:p>
            <w:pPr>
              <w:jc w:val="right"/>
              <w:ind w:right="180"/>
              <w:spacing w:after="0" w:line="174" w:lineRule="exact"/>
              <w:rPr>
                <w:sz w:val="20"/>
                <w:szCs w:val="20"/>
                <w:color w:val="auto"/>
              </w:rPr>
            </w:pPr>
            <w:r>
              <w:rPr>
                <w:rFonts w:ascii="Times New Roman" w:cs="Times New Roman" w:eastAsia="Times New Roman" w:hAnsi="Times New Roman"/>
                <w:sz w:val="16"/>
                <w:szCs w:val="16"/>
                <w:color w:val="auto"/>
              </w:rPr>
              <w:t>(617,134)</w:t>
            </w:r>
          </w:p>
        </w:tc>
        <w:tc>
          <w:tcPr>
            <w:tcW w:w="30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5.33</w:t>
            </w: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4"/>
        </w:trPr>
        <w:tc>
          <w:tcPr>
            <w:tcW w:w="41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Options forfeited</w:t>
            </w:r>
          </w:p>
        </w:tc>
        <w:tc>
          <w:tcPr>
            <w:tcW w:w="1520" w:type="dxa"/>
            <w:vAlign w:val="bottom"/>
            <w:gridSpan w:val="2"/>
          </w:tcPr>
          <w:p>
            <w:pPr>
              <w:jc w:val="right"/>
              <w:ind w:right="180"/>
              <w:spacing w:after="0" w:line="174" w:lineRule="exact"/>
              <w:rPr>
                <w:sz w:val="20"/>
                <w:szCs w:val="20"/>
                <w:color w:val="auto"/>
              </w:rPr>
            </w:pPr>
            <w:r>
              <w:rPr>
                <w:rFonts w:ascii="Times New Roman" w:cs="Times New Roman" w:eastAsia="Times New Roman" w:hAnsi="Times New Roman"/>
                <w:sz w:val="16"/>
                <w:szCs w:val="16"/>
                <w:color w:val="auto"/>
              </w:rPr>
              <w:t>(469,508)</w:t>
            </w:r>
          </w:p>
        </w:tc>
        <w:tc>
          <w:tcPr>
            <w:tcW w:w="3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7.97</w:t>
            </w:r>
          </w:p>
        </w:tc>
        <w:tc>
          <w:tcPr>
            <w:tcW w:w="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7"/>
        </w:trPr>
        <w:tc>
          <w:tcPr>
            <w:tcW w:w="410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Balance at December 31, 2025</w:t>
            </w:r>
          </w:p>
        </w:tc>
        <w:tc>
          <w:tcPr>
            <w:tcW w:w="13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10,003,254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CCEEFF"/>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8.05</w:t>
            </w: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CCEEFF"/>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7.83</w:t>
            </w:r>
          </w:p>
        </w:tc>
        <w:tc>
          <w:tcPr>
            <w:tcW w:w="700" w:type="dxa"/>
            <w:vAlign w:val="bottom"/>
            <w:tcBorders>
              <w:top w:val="single" w:sz="8" w:color="CCEEFF"/>
              <w:bottom w:val="single" w:sz="8" w:color="CCEEFF"/>
            </w:tcBorders>
            <w:gridSpan w:val="2"/>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CCEEFF"/>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211,109</w:t>
            </w:r>
          </w:p>
        </w:tc>
      </w:tr>
      <w:tr>
        <w:trPr>
          <w:trHeight w:val="160"/>
        </w:trPr>
        <w:tc>
          <w:tcPr>
            <w:tcW w:w="41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Vested and exercisable, December 31, 2025</w:t>
            </w:r>
          </w:p>
        </w:tc>
        <w:tc>
          <w:tcPr>
            <w:tcW w:w="13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4,371,128</w:t>
            </w:r>
          </w:p>
        </w:tc>
        <w:tc>
          <w:tcPr>
            <w:tcW w:w="180" w:type="dxa"/>
            <w:vAlign w:val="bottom"/>
          </w:tcPr>
          <w:p>
            <w:pPr>
              <w:spacing w:after="0"/>
              <w:rPr>
                <w:sz w:val="13"/>
                <w:szCs w:val="13"/>
                <w:color w:val="auto"/>
              </w:rPr>
            </w:pPr>
          </w:p>
        </w:tc>
        <w:tc>
          <w:tcPr>
            <w:tcW w:w="3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5.33</w:t>
            </w:r>
          </w:p>
        </w:tc>
        <w:tc>
          <w:tcPr>
            <w:tcW w:w="400" w:type="dxa"/>
            <w:vAlign w:val="bottom"/>
          </w:tcPr>
          <w:p>
            <w:pPr>
              <w:spacing w:after="0"/>
              <w:rPr>
                <w:sz w:val="13"/>
                <w:szCs w:val="13"/>
                <w:color w:val="auto"/>
              </w:rPr>
            </w:pPr>
          </w:p>
        </w:tc>
        <w:tc>
          <w:tcPr>
            <w:tcW w:w="16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6.72</w:t>
            </w:r>
          </w:p>
        </w:tc>
        <w:tc>
          <w:tcPr>
            <w:tcW w:w="700" w:type="dxa"/>
            <w:vAlign w:val="bottom"/>
            <w:gridSpan w:val="2"/>
          </w:tcPr>
          <w:p>
            <w:pPr>
              <w:jc w:val="right"/>
              <w:ind w:right="1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104,102</w:t>
            </w:r>
          </w:p>
        </w:tc>
      </w:tr>
      <w:tr>
        <w:trPr>
          <w:trHeight w:val="174"/>
        </w:trPr>
        <w:tc>
          <w:tcPr>
            <w:tcW w:w="4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Vested and expected to vest, December 31, 2025</w:t>
            </w:r>
          </w:p>
        </w:tc>
        <w:tc>
          <w:tcPr>
            <w:tcW w:w="13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10,003,254</w:t>
            </w:r>
          </w:p>
        </w:tc>
        <w:tc>
          <w:tcPr>
            <w:tcW w:w="1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8.05</w:t>
            </w:r>
          </w:p>
        </w:tc>
        <w:tc>
          <w:tcPr>
            <w:tcW w:w="4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7.83</w:t>
            </w:r>
          </w:p>
        </w:tc>
        <w:tc>
          <w:tcPr>
            <w:tcW w:w="700" w:type="dxa"/>
            <w:vAlign w:val="bottom"/>
            <w:gridSpan w:val="2"/>
            <w:shd w:val="clear" w:color="auto" w:fill="CCEEFF"/>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211,109</w:t>
            </w:r>
          </w:p>
        </w:tc>
      </w:tr>
    </w:tbl>
    <w:p>
      <w:pPr>
        <w:spacing w:after="0" w:line="18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years ended December 31, 2025, 2024 and 2023 was $10.54, $3.59 and $1.26 per share, respectively. The total grant date fair value of options vested was $8.6 million, $2.0 million and $3.2 million during the years ended December 31, 2025, 2024 and 2023, respectively.</w:t>
      </w:r>
    </w:p>
    <w:p>
      <w:pPr>
        <w:spacing w:after="0" w:line="183"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options and the fair value of the Company’s common stock for stock options that were in-the-money at each reporting period. The aggregate intrinsic value of stock options exercised for the years ended December 31, 2025, 2024 and 2023 was $10.1 million. $1.7 million and $4,000,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44"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In August 2025, the Company began granting RSUs under the 2025 Plan. RSUs generally vest over four years in equal quarterly increments. The fair value of RSUs is based on the Company’s closing stock price on the date of grant. A summary of RSUs activity is set forth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Awards Weighted-</w:t>
            </w:r>
          </w:p>
        </w:tc>
      </w:tr>
      <w:tr>
        <w:trPr>
          <w:trHeight w:val="174"/>
        </w:trPr>
        <w:tc>
          <w:tcPr>
            <w:tcW w:w="7320" w:type="dxa"/>
            <w:vAlign w:val="bottom"/>
          </w:tcPr>
          <w:p>
            <w:pPr>
              <w:spacing w:after="0"/>
              <w:rPr>
                <w:sz w:val="15"/>
                <w:szCs w:val="15"/>
                <w:color w:val="auto"/>
              </w:rPr>
            </w:pPr>
          </w:p>
        </w:tc>
        <w:tc>
          <w:tcPr>
            <w:tcW w:w="21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6"/>
                <w:szCs w:val="16"/>
                <w:b w:val="1"/>
                <w:bCs w:val="1"/>
                <w:color w:val="auto"/>
              </w:rPr>
              <w:t>Number of Restricted</w:t>
            </w:r>
          </w:p>
        </w:tc>
        <w:tc>
          <w:tcPr>
            <w:tcW w:w="17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auto"/>
                <w:w w:val="99"/>
              </w:rPr>
              <w:t>Average Grant Date Fair</w:t>
            </w:r>
          </w:p>
        </w:tc>
      </w:tr>
      <w:tr>
        <w:trPr>
          <w:trHeight w:val="203"/>
        </w:trPr>
        <w:tc>
          <w:tcPr>
            <w:tcW w:w="732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160" w:type="dxa"/>
            <w:vAlign w:val="bottom"/>
          </w:tcPr>
          <w:p>
            <w:pPr>
              <w:spacing w:after="0"/>
              <w:rPr>
                <w:sz w:val="17"/>
                <w:szCs w:val="17"/>
                <w:color w:val="auto"/>
              </w:rPr>
            </w:pPr>
          </w:p>
        </w:tc>
        <w:tc>
          <w:tcPr>
            <w:tcW w:w="1580" w:type="dxa"/>
            <w:vAlign w:val="bottom"/>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67"/>
        </w:trPr>
        <w:tc>
          <w:tcPr>
            <w:tcW w:w="73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Unvested balance at December 31, 2024</w:t>
            </w:r>
          </w:p>
        </w:tc>
        <w:tc>
          <w:tcPr>
            <w:tcW w:w="17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73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Awards granted</w:t>
            </w:r>
          </w:p>
        </w:tc>
        <w:tc>
          <w:tcPr>
            <w:tcW w:w="17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987,025</w:t>
            </w:r>
          </w:p>
        </w:tc>
        <w:tc>
          <w:tcPr>
            <w:tcW w:w="400" w:type="dxa"/>
            <w:vAlign w:val="bottom"/>
          </w:tcPr>
          <w:p>
            <w:pPr>
              <w:spacing w:after="0"/>
              <w:rPr>
                <w:sz w:val="15"/>
                <w:szCs w:val="15"/>
                <w:color w:val="auto"/>
              </w:rPr>
            </w:pPr>
          </w:p>
        </w:tc>
        <w:tc>
          <w:tcPr>
            <w:tcW w:w="1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20.22</w:t>
            </w:r>
          </w:p>
        </w:tc>
      </w:tr>
      <w:tr>
        <w:trPr>
          <w:trHeight w:val="174"/>
        </w:trPr>
        <w:tc>
          <w:tcPr>
            <w:tcW w:w="73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Awards vested</w:t>
            </w:r>
          </w:p>
        </w:tc>
        <w:tc>
          <w:tcPr>
            <w:tcW w:w="2180" w:type="dxa"/>
            <w:vAlign w:val="bottom"/>
            <w:gridSpan w:val="2"/>
            <w:shd w:val="clear" w:color="auto" w:fill="CCEEFF"/>
          </w:tcPr>
          <w:p>
            <w:pPr>
              <w:jc w:val="right"/>
              <w:ind w:right="400"/>
              <w:spacing w:after="0" w:line="174" w:lineRule="exact"/>
              <w:rPr>
                <w:sz w:val="20"/>
                <w:szCs w:val="20"/>
                <w:color w:val="auto"/>
              </w:rPr>
            </w:pPr>
            <w:r>
              <w:rPr>
                <w:rFonts w:ascii="Times New Roman" w:cs="Times New Roman" w:eastAsia="Times New Roman" w:hAnsi="Times New Roman"/>
                <w:sz w:val="16"/>
                <w:szCs w:val="16"/>
                <w:color w:val="auto"/>
              </w:rPr>
              <w:t>(47,018)</w:t>
            </w:r>
          </w:p>
        </w:tc>
        <w:tc>
          <w:tcPr>
            <w:tcW w:w="1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19.00</w:t>
            </w:r>
          </w:p>
        </w:tc>
      </w:tr>
      <w:tr>
        <w:trPr>
          <w:trHeight w:val="174"/>
        </w:trPr>
        <w:tc>
          <w:tcPr>
            <w:tcW w:w="73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Awards canceled</w:t>
            </w:r>
          </w:p>
        </w:tc>
        <w:tc>
          <w:tcPr>
            <w:tcW w:w="2180" w:type="dxa"/>
            <w:vAlign w:val="bottom"/>
            <w:gridSpan w:val="2"/>
          </w:tcPr>
          <w:p>
            <w:pPr>
              <w:jc w:val="right"/>
              <w:ind w:right="400"/>
              <w:spacing w:after="0" w:line="174" w:lineRule="exact"/>
              <w:rPr>
                <w:sz w:val="20"/>
                <w:szCs w:val="20"/>
                <w:color w:val="auto"/>
              </w:rPr>
            </w:pPr>
            <w:r>
              <w:rPr>
                <w:rFonts w:ascii="Times New Roman" w:cs="Times New Roman" w:eastAsia="Times New Roman" w:hAnsi="Times New Roman"/>
                <w:sz w:val="16"/>
                <w:szCs w:val="16"/>
                <w:color w:val="auto"/>
              </w:rPr>
              <w:t>(32,304)</w:t>
            </w:r>
          </w:p>
        </w:tc>
        <w:tc>
          <w:tcPr>
            <w:tcW w:w="1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19.00</w:t>
            </w:r>
          </w:p>
        </w:tc>
      </w:tr>
      <w:tr>
        <w:trPr>
          <w:trHeight w:val="174"/>
        </w:trPr>
        <w:tc>
          <w:tcPr>
            <w:tcW w:w="732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Unvested balance at December 31, 2025</w:t>
            </w:r>
          </w:p>
        </w:tc>
        <w:tc>
          <w:tcPr>
            <w:tcW w:w="17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907,703</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top w:val="single" w:sz="8" w:color="CCEEFF"/>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20.33</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Employee Stock Purchase Plan</w:t>
      </w:r>
    </w:p>
    <w:p>
      <w:pPr>
        <w:spacing w:after="0" w:line="144"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Effective upon the Company’s IPO, in August 2025, the Company’s Board of Directors adopted the 2025 Employee Stock Purchase Plan (“2025 ESPP”), under which eligible employees are permitted to purchase common stock at a discount through payroll deductions. A total of 1,233,964 shares of common stock are reserved for issuance and will be increased on the first day of each fiscal year, beginning in 2026, by an amount equal to the lesser of (i) 1.0% of the issued and outstanding shares of common stock as of the last day of the immediately preceding fiscal year; or (ii) an amount as determined by the Board of Directors. The price of the common stock purchased will be the lower of 85% of the fair market value of the common stock at the beginning of an offering period or at the end of a purchase period. The 2025 ESPP is intended to qualify as an “employee stock purchase plan” within the meaning of Section 423 of the Internal Revenue Code of 1986, as amended (the “IRC”).</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option-pricing model based on the following assumptions: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500" w:type="dxa"/>
            <w:vAlign w:val="bottom"/>
            <w:tcBorders>
              <w:bottom w:val="single" w:sz="8" w:color="auto"/>
            </w:tcBorders>
          </w:tcPr>
          <w:p>
            <w:pPr>
              <w:spacing w:after="0"/>
              <w:rPr>
                <w:sz w:val="16"/>
                <w:szCs w:val="16"/>
                <w:color w:val="auto"/>
              </w:rPr>
            </w:pPr>
          </w:p>
        </w:tc>
      </w:tr>
      <w:tr>
        <w:trPr>
          <w:trHeight w:val="167"/>
        </w:trPr>
        <w:tc>
          <w:tcPr>
            <w:tcW w:w="6280" w:type="dxa"/>
            <w:vAlign w:val="bottom"/>
          </w:tcPr>
          <w:p>
            <w:pPr>
              <w:spacing w:after="0"/>
              <w:rPr>
                <w:sz w:val="14"/>
                <w:szCs w:val="14"/>
                <w:color w:val="auto"/>
              </w:rPr>
            </w:pPr>
          </w:p>
        </w:tc>
        <w:tc>
          <w:tcPr>
            <w:tcW w:w="1480" w:type="dxa"/>
            <w:vAlign w:val="bottom"/>
          </w:tcPr>
          <w:p>
            <w:pPr>
              <w:jc w:val="right"/>
              <w:ind w:right="50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4"/>
                <w:szCs w:val="14"/>
                <w:color w:val="auto"/>
              </w:rPr>
            </w:pPr>
          </w:p>
        </w:tc>
        <w:tc>
          <w:tcPr>
            <w:tcW w:w="1680" w:type="dxa"/>
            <w:vAlign w:val="bottom"/>
            <w:gridSpan w:val="2"/>
          </w:tcPr>
          <w:p>
            <w:pPr>
              <w:jc w:val="right"/>
              <w:ind w:right="52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4"/>
                <w:szCs w:val="14"/>
                <w:color w:val="auto"/>
              </w:rPr>
            </w:pPr>
          </w:p>
        </w:tc>
        <w:tc>
          <w:tcPr>
            <w:tcW w:w="1500" w:type="dxa"/>
            <w:vAlign w:val="bottom"/>
          </w:tcPr>
          <w:p>
            <w:pPr>
              <w:jc w:val="right"/>
              <w:ind w:right="52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62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Expected life (in years)</w:t>
            </w:r>
          </w:p>
        </w:tc>
        <w:tc>
          <w:tcPr>
            <w:tcW w:w="14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6.00</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6.00</w:t>
            </w:r>
          </w:p>
        </w:tc>
        <w:tc>
          <w:tcPr>
            <w:tcW w:w="2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6.00</w:t>
            </w:r>
          </w:p>
        </w:tc>
      </w:tr>
      <w:tr>
        <w:trPr>
          <w:trHeight w:val="174"/>
        </w:trPr>
        <w:tc>
          <w:tcPr>
            <w:tcW w:w="62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Expected volatility</w:t>
            </w:r>
          </w:p>
        </w:tc>
        <w:tc>
          <w:tcPr>
            <w:tcW w:w="1540" w:type="dxa"/>
            <w:vAlign w:val="bottom"/>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55.0%-57.9%</w:t>
            </w:r>
          </w:p>
        </w:tc>
        <w:tc>
          <w:tcPr>
            <w:tcW w:w="1920" w:type="dxa"/>
            <w:vAlign w:val="bottom"/>
            <w:gridSpan w:val="3"/>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53.7%-55.0%</w:t>
            </w:r>
          </w:p>
        </w:tc>
        <w:tc>
          <w:tcPr>
            <w:tcW w:w="15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54.7%-55.7%</w:t>
            </w:r>
          </w:p>
        </w:tc>
      </w:tr>
      <w:tr>
        <w:trPr>
          <w:trHeight w:val="174"/>
        </w:trPr>
        <w:tc>
          <w:tcPr>
            <w:tcW w:w="62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Risk-free interest rate</w:t>
            </w:r>
          </w:p>
        </w:tc>
        <w:tc>
          <w:tcPr>
            <w:tcW w:w="1540" w:type="dxa"/>
            <w:vAlign w:val="bottom"/>
            <w:gridSpan w:val="2"/>
            <w:shd w:val="clear" w:color="auto" w:fill="CCEEFF"/>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3.7%-4.2%</w:t>
            </w:r>
          </w:p>
        </w:tc>
        <w:tc>
          <w:tcPr>
            <w:tcW w:w="1920" w:type="dxa"/>
            <w:vAlign w:val="bottom"/>
            <w:gridSpan w:val="3"/>
            <w:shd w:val="clear" w:color="auto" w:fill="CCEEFF"/>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3.5%-4.5%</w:t>
            </w:r>
          </w:p>
        </w:tc>
        <w:tc>
          <w:tcPr>
            <w:tcW w:w="15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4.2%</w:t>
            </w: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estimated the fair value of the shares to be issued under the Company’s 2025 ESPP using the Black-Scholes option-pricing model based on the following assumptions: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3"/>
        </w:trPr>
        <w:tc>
          <w:tcPr>
            <w:tcW w:w="934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67"/>
        </w:trPr>
        <w:tc>
          <w:tcPr>
            <w:tcW w:w="9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Expected life (in years)</w:t>
            </w:r>
          </w:p>
        </w:tc>
        <w:tc>
          <w:tcPr>
            <w:tcW w:w="19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0.6</w:t>
            </w:r>
          </w:p>
        </w:tc>
      </w:tr>
      <w:tr>
        <w:trPr>
          <w:trHeight w:val="174"/>
        </w:trPr>
        <w:tc>
          <w:tcPr>
            <w:tcW w:w="93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Expected volatility</w:t>
            </w:r>
          </w:p>
        </w:tc>
        <w:tc>
          <w:tcPr>
            <w:tcW w:w="19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58.1%</w:t>
            </w:r>
          </w:p>
        </w:tc>
      </w:tr>
      <w:tr>
        <w:trPr>
          <w:trHeight w:val="174"/>
        </w:trPr>
        <w:tc>
          <w:tcPr>
            <w:tcW w:w="9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Risk-free interest rate</w:t>
            </w:r>
          </w:p>
        </w:tc>
        <w:tc>
          <w:tcPr>
            <w:tcW w:w="1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4.1%</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in these calculations are summarized as follows:</w:t>
      </w:r>
    </w:p>
    <w:p>
      <w:pPr>
        <w:spacing w:after="0" w:line="178"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Because there had been no public market for the Company’s common stock prior to the IPO, the fair value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underlying stock options has historically been determined by the Board of Directors at the time of option grant by considering an independent valuation performed by a third-party valuation firm as well as a number of objective and subjective factors, including a valuation of comparable companies, sales of convertible preferred stock to unrelated third parties, operating and financial performance,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its IPO, the fair value of the underlying common stock is based on the closing price of the Company’s common stock on the Nasdaq Stock Market on the date of grant.</w:t>
      </w:r>
    </w:p>
    <w:p>
      <w:pPr>
        <w:spacing w:after="0" w:line="103" w:lineRule="exact"/>
        <w:rPr>
          <w:sz w:val="20"/>
          <w:szCs w:val="20"/>
          <w:color w:val="auto"/>
        </w:rPr>
      </w:pPr>
    </w:p>
    <w:p>
      <w:pPr>
        <w:ind w:right="520"/>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stock options represents the weighted-average period the stock options are expected to remain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55"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As the Company was not publicly traded prior to the IPO and does not have sufficient trading history after the IPO,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for the Company’s stock options was determined by using an average of historical volatilities of selected industry peers deemed to be comparable to the Company’s business corresponding to the expected term of the awards.</w:t>
      </w:r>
    </w:p>
    <w:p>
      <w:pPr>
        <w:spacing w:after="0" w:line="14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curve in effect at the time of grant for zero-coupon U.S. Treasury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maturities corresponding to the expected term of the awards.</w:t>
      </w:r>
    </w:p>
    <w:p>
      <w:pPr>
        <w:spacing w:after="0" w:line="132"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expected dividend rate is zero as the Company currently has no history or expectation of declaring dividends on its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p>
    <w:p>
      <w:pPr>
        <w:spacing w:after="0" w:line="149" w:lineRule="exact"/>
        <w:rPr>
          <w:sz w:val="20"/>
          <w:szCs w:val="20"/>
          <w:color w:val="auto"/>
        </w:rPr>
      </w:pPr>
    </w:p>
    <w:p>
      <w:pPr>
        <w:jc w:val="both"/>
        <w:ind w:right="380"/>
        <w:spacing w:after="0" w:line="234" w:lineRule="auto"/>
        <w:rPr>
          <w:sz w:val="20"/>
          <w:szCs w:val="20"/>
          <w:color w:val="auto"/>
        </w:rPr>
      </w:pPr>
      <w:r>
        <w:rPr>
          <w:rFonts w:ascii="Times New Roman" w:cs="Times New Roman" w:eastAsia="Times New Roman" w:hAnsi="Times New Roman"/>
          <w:sz w:val="18"/>
          <w:szCs w:val="18"/>
          <w:color w:val="auto"/>
        </w:rPr>
        <w:t>The Company also issues stock options with vesting based upon completion of performance goals. The fair value for these performance-based awards is recognized over the period during which the goals are to be achieved. Stock-based compensation expense recognized at fair value includes the impact of estimated probability that the goals would be achieved, which is assessed prior to the requisite service period for the specific goals.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67"/>
        </w:trPr>
        <w:tc>
          <w:tcPr>
            <w:tcW w:w="426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42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Cost of revenue</w:t>
            </w:r>
          </w:p>
        </w:tc>
        <w:tc>
          <w:tcPr>
            <w:tcW w:w="20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413</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307</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440</w:t>
            </w:r>
          </w:p>
        </w:tc>
      </w:tr>
      <w:tr>
        <w:trPr>
          <w:trHeight w:val="227"/>
        </w:trPr>
        <w:tc>
          <w:tcPr>
            <w:tcW w:w="426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6"/>
                <w:szCs w:val="26"/>
                <w:color w:val="auto"/>
                <w:vertAlign w:val="superscript"/>
              </w:rPr>
              <w:t>(1)</w:t>
            </w:r>
          </w:p>
        </w:tc>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w:t>
            </w:r>
          </w:p>
        </w:tc>
      </w:tr>
      <w:tr>
        <w:trPr>
          <w:trHeight w:val="174"/>
        </w:trPr>
        <w:tc>
          <w:tcPr>
            <w:tcW w:w="42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20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10,118</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7,755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8,722</w:t>
            </w:r>
          </w:p>
        </w:tc>
      </w:tr>
      <w:tr>
        <w:trPr>
          <w:trHeight w:val="167"/>
        </w:trPr>
        <w:tc>
          <w:tcPr>
            <w:tcW w:w="426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rPr>
              <w:t>Total stock-based compensation</w:t>
            </w:r>
          </w:p>
        </w:tc>
        <w:tc>
          <w:tcPr>
            <w:tcW w:w="2020" w:type="dxa"/>
            <w:vAlign w:val="bottom"/>
          </w:tcPr>
          <w:p>
            <w:pPr>
              <w:spacing w:after="0"/>
              <w:rPr>
                <w:sz w:val="14"/>
                <w:szCs w:val="14"/>
                <w:color w:val="auto"/>
              </w:rPr>
            </w:pPr>
          </w:p>
        </w:tc>
        <w:tc>
          <w:tcPr>
            <w:tcW w:w="940" w:type="dxa"/>
            <w:vAlign w:val="bottom"/>
            <w:tcBorders>
              <w:bottom w:val="single" w:sz="8" w:color="auto"/>
            </w:tcBorders>
          </w:tcPr>
          <w:p>
            <w:pPr>
              <w:jc w:val="right"/>
              <w:ind w:right="7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13,965</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10,213</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12,501</w:t>
            </w:r>
          </w:p>
        </w:tc>
      </w:tr>
      <w:tr>
        <w:trPr>
          <w:trHeight w:val="20"/>
        </w:trPr>
        <w:tc>
          <w:tcPr>
            <w:tcW w:w="4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3"/>
        <w:spacing w:after="0"/>
        <w:tabs>
          <w:tab w:leader="none" w:pos="32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stock-based compensation expense of $627,000 during the year ended December 31, 2023 related to a repurchase of common shares from one employee, as described below.</w:t>
      </w:r>
    </w:p>
    <w:p>
      <w:pPr>
        <w:spacing w:after="0" w:line="17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As of December 31, 2025, total unrecognized stock-based compensation costs related to unvested stock options was $30.5 million, which is expected to be recognized over a remaining weighted-average period of 3.17 years, a total of $17.7 million of unrecognized compensation costs related to unvested RSUs is expected to be recognized over a period of approximately 3.72 years, and $762,000 of unrecognized compensation costs related to the ESPP is expected to be recognized over 0.18 years.</w:t>
      </w:r>
    </w:p>
    <w:p>
      <w:pPr>
        <w:spacing w:after="0" w:line="158"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In January 2023, the fair value of the Company’s common stock declined from $41.67 to $2.22 per share, prompting the Company to reduce the exercise price of certain stock options to $2.22, effective July 10, 2023. No other changes to the stock options’ terms were made. The Company calculated the incremental fair value by calculating the fair value of the award immediately before and immediately after the modification. The fair value of the award immediately before the repricing is based on assumptions (including volatility, expected term and risk free interest rate) that reflect the facts and circumstances on the modification date and therefore, differ from the fair value calculated on the grant date. The average additional compensation per award from the modification was $0.09 and the aggregate incremental expense was $649,000, of which $340,000 was immediately recognized on the modification date and the remaining amount is recognized over the options’ remaining requisite service period.</w:t>
      </w:r>
    </w:p>
    <w:p>
      <w:pPr>
        <w:spacing w:after="0" w:line="160"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In March 2023, the Board of Directors approved a repurchase of 102,739 common shares from an employee of the Company at a purchase price of $8.32 per share for total consideration of $855,000. The fair value of the repurchased common shares was $228,000, and the difference between the repurchase price and fair value of the common shares of $627,000 was recorded as stock-based compensation expense within research and development expense in the consolidated statements of operations and comprehensive loss during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Employee Retirement Plan</w:t>
      </w:r>
    </w:p>
    <w:p>
      <w:pPr>
        <w:spacing w:after="0" w:line="172"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18"/>
          <w:szCs w:val="18"/>
          <w:color w:val="auto"/>
        </w:rPr>
        <w:t>The Company has a qualified retirement plan under section 401(k) of the IRC under which participants may contribute up to 100% of their eligible compensation, subject to maximum deferral limits specified by the IRC. The Company may make matching contributions of up to 4.0% of an employee’s eligible compensation, subject to conditions specified by the IRC. During the years ended December 31, 2025, 2024 and 2023, the Company’s matching contributions totaled $2.0 million, $1.5 million and $1.4 million, respectively.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Net Loss Per Share Attributable to Common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7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67"/>
        </w:trPr>
        <w:tc>
          <w:tcPr>
            <w:tcW w:w="57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Numerator:</w:t>
            </w: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(116,791)</w:t>
            </w:r>
          </w:p>
        </w:tc>
        <w:tc>
          <w:tcPr>
            <w:tcW w:w="500" w:type="dxa"/>
            <w:vAlign w:val="bottom"/>
            <w:gridSpan w:val="2"/>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(96,426)</w:t>
            </w:r>
          </w:p>
        </w:tc>
        <w:tc>
          <w:tcPr>
            <w:tcW w:w="320" w:type="dxa"/>
            <w:vAlign w:val="bottom"/>
            <w:gridSpan w:val="2"/>
          </w:tcPr>
          <w:p>
            <w:pPr>
              <w:jc w:val="right"/>
              <w:ind w:right="185"/>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(95,655)</w:t>
            </w:r>
          </w:p>
        </w:tc>
        <w:tc>
          <w:tcPr>
            <w:tcW w:w="0" w:type="dxa"/>
            <w:vAlign w:val="bottom"/>
          </w:tcPr>
          <w:p>
            <w:pPr>
              <w:spacing w:after="0"/>
              <w:rPr>
                <w:sz w:val="1"/>
                <w:szCs w:val="1"/>
                <w:color w:val="auto"/>
              </w:rPr>
            </w:pPr>
          </w:p>
        </w:tc>
      </w:tr>
      <w:tr>
        <w:trPr>
          <w:trHeight w:val="174"/>
        </w:trPr>
        <w:tc>
          <w:tcPr>
            <w:tcW w:w="57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Cumulative dividends on Series C redeemable convertible preferred stock</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174"/>
        </w:trPr>
        <w:tc>
          <w:tcPr>
            <w:tcW w:w="57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Deemed dividend upon down round of redeemable convertible preferred stock</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(26,794)</w:t>
            </w:r>
          </w:p>
        </w:tc>
        <w:tc>
          <w:tcPr>
            <w:tcW w:w="0" w:type="dxa"/>
            <w:vAlign w:val="bottom"/>
          </w:tcPr>
          <w:p>
            <w:pPr>
              <w:spacing w:after="0"/>
              <w:rPr>
                <w:sz w:val="1"/>
                <w:szCs w:val="1"/>
                <w:color w:val="auto"/>
              </w:rPr>
            </w:pPr>
          </w:p>
        </w:tc>
      </w:tr>
      <w:tr>
        <w:trPr>
          <w:trHeight w:val="167"/>
        </w:trPr>
        <w:tc>
          <w:tcPr>
            <w:tcW w:w="578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(116,791)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(96,426)</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(123,688)</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Denominator:</w:t>
            </w: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7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7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Weighted-average shares used to compute net loss per share, basic and diluted</w:t>
            </w:r>
          </w:p>
        </w:tc>
        <w:tc>
          <w:tcPr>
            <w:tcW w:w="7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36,853,867</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5,363,435</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4,885,231</w:t>
            </w:r>
          </w:p>
        </w:tc>
        <w:tc>
          <w:tcPr>
            <w:tcW w:w="0" w:type="dxa"/>
            <w:vAlign w:val="bottom"/>
          </w:tcPr>
          <w:p>
            <w:pPr>
              <w:spacing w:after="0"/>
              <w:rPr>
                <w:sz w:val="1"/>
                <w:szCs w:val="1"/>
                <w:color w:val="auto"/>
              </w:rPr>
            </w:pPr>
          </w:p>
        </w:tc>
      </w:tr>
      <w:tr>
        <w:trPr>
          <w:trHeight w:val="167"/>
        </w:trPr>
        <w:tc>
          <w:tcPr>
            <w:tcW w:w="57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740" w:type="dxa"/>
            <w:vAlign w:val="bottom"/>
          </w:tcPr>
          <w:p>
            <w:pPr>
              <w:spacing w:after="0"/>
              <w:rPr>
                <w:sz w:val="14"/>
                <w:szCs w:val="14"/>
                <w:color w:val="auto"/>
              </w:rPr>
            </w:pPr>
          </w:p>
        </w:tc>
        <w:tc>
          <w:tcPr>
            <w:tcW w:w="320" w:type="dxa"/>
            <w:vAlign w:val="bottom"/>
            <w:tcBorders>
              <w:bottom w:val="single" w:sz="8" w:color="auto"/>
            </w:tcBorders>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(3.17)</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(17.98)</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(25.32)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for the periods presented because including them would have been antidilutive: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60" w:type="dxa"/>
            <w:vAlign w:val="bottom"/>
            <w:tcBorders>
              <w:bottom w:val="single" w:sz="8" w:color="auto"/>
            </w:tcBorders>
          </w:tcPr>
          <w:p>
            <w:pPr>
              <w:spacing w:after="0"/>
              <w:rPr>
                <w:sz w:val="17"/>
                <w:szCs w:val="17"/>
                <w:color w:val="auto"/>
              </w:rPr>
            </w:pPr>
          </w:p>
        </w:tc>
      </w:tr>
      <w:tr>
        <w:trPr>
          <w:trHeight w:val="167"/>
        </w:trPr>
        <w:tc>
          <w:tcPr>
            <w:tcW w:w="65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4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48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48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65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Redeemable convertible preferred stock</w:t>
            </w:r>
          </w:p>
        </w:tc>
        <w:tc>
          <w:tcPr>
            <w:tcW w:w="1380" w:type="dxa"/>
            <w:vAlign w:val="bottom"/>
            <w:shd w:val="clear" w:color="auto" w:fill="CCEEFF"/>
          </w:tcPr>
          <w:p>
            <w:pPr>
              <w:ind w:left="1220"/>
              <w:spacing w:after="0" w:line="167" w:lineRule="exact"/>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122,231,454</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122,231,454</w:t>
            </w:r>
          </w:p>
        </w:tc>
      </w:tr>
      <w:tr>
        <w:trPr>
          <w:trHeight w:val="174"/>
        </w:trPr>
        <w:tc>
          <w:tcPr>
            <w:tcW w:w="65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Outstanding options to purchase common stock</w:t>
            </w:r>
          </w:p>
        </w:tc>
        <w:tc>
          <w:tcPr>
            <w:tcW w:w="13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10,003,254</w:t>
            </w:r>
          </w:p>
        </w:tc>
        <w:tc>
          <w:tcPr>
            <w:tcW w:w="200" w:type="dxa"/>
            <w:vAlign w:val="bottom"/>
          </w:tcPr>
          <w:p>
            <w:pPr>
              <w:spacing w:after="0"/>
              <w:rPr>
                <w:sz w:val="15"/>
                <w:szCs w:val="15"/>
                <w:color w:val="auto"/>
              </w:rPr>
            </w:pPr>
          </w:p>
        </w:tc>
        <w:tc>
          <w:tcPr>
            <w:tcW w:w="14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8,537,203</w:t>
            </w:r>
          </w:p>
        </w:tc>
        <w:tc>
          <w:tcPr>
            <w:tcW w:w="220" w:type="dxa"/>
            <w:vAlign w:val="bottom"/>
          </w:tcPr>
          <w:p>
            <w:pPr>
              <w:spacing w:after="0"/>
              <w:rPr>
                <w:sz w:val="15"/>
                <w:szCs w:val="15"/>
                <w:color w:val="auto"/>
              </w:rPr>
            </w:pPr>
          </w:p>
        </w:tc>
        <w:tc>
          <w:tcPr>
            <w:tcW w:w="14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8,268,314</w:t>
            </w:r>
          </w:p>
        </w:tc>
      </w:tr>
      <w:tr>
        <w:trPr>
          <w:trHeight w:val="174"/>
        </w:trPr>
        <w:tc>
          <w:tcPr>
            <w:tcW w:w="65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Restricted stock units</w:t>
            </w:r>
          </w:p>
        </w:tc>
        <w:tc>
          <w:tcPr>
            <w:tcW w:w="13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907,703</w:t>
            </w:r>
          </w:p>
        </w:tc>
        <w:tc>
          <w:tcPr>
            <w:tcW w:w="2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2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65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Estimated ESPP</w:t>
            </w:r>
          </w:p>
        </w:tc>
        <w:tc>
          <w:tcPr>
            <w:tcW w:w="13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231,558</w:t>
            </w:r>
          </w:p>
        </w:tc>
        <w:tc>
          <w:tcPr>
            <w:tcW w:w="200" w:type="dxa"/>
            <w:vAlign w:val="bottom"/>
          </w:tcPr>
          <w:p>
            <w:pPr>
              <w:spacing w:after="0"/>
              <w:rPr>
                <w:sz w:val="15"/>
                <w:szCs w:val="15"/>
                <w:color w:val="auto"/>
              </w:rPr>
            </w:pPr>
          </w:p>
        </w:tc>
        <w:tc>
          <w:tcPr>
            <w:tcW w:w="1660" w:type="dxa"/>
            <w:vAlign w:val="bottom"/>
            <w:gridSpan w:val="2"/>
          </w:tcPr>
          <w:p>
            <w:pPr>
              <w:ind w:left="12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65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Common stock warrants</w:t>
            </w:r>
          </w:p>
        </w:tc>
        <w:tc>
          <w:tcPr>
            <w:tcW w:w="1580" w:type="dxa"/>
            <w:vAlign w:val="bottom"/>
            <w:gridSpan w:val="2"/>
            <w:shd w:val="clear" w:color="auto" w:fill="CCEEFF"/>
          </w:tcPr>
          <w:p>
            <w:pPr>
              <w:ind w:left="1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1,647,667</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1,647,667</w:t>
            </w:r>
          </w:p>
        </w:tc>
      </w:tr>
      <w:tr>
        <w:trPr>
          <w:trHeight w:val="167"/>
        </w:trPr>
        <w:tc>
          <w:tcPr>
            <w:tcW w:w="654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11,142,515</w:t>
            </w:r>
          </w:p>
        </w:tc>
        <w:tc>
          <w:tcPr>
            <w:tcW w:w="20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132,416,324</w:t>
            </w:r>
          </w:p>
        </w:tc>
        <w:tc>
          <w:tcPr>
            <w:tcW w:w="22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132,147,435</w:t>
            </w:r>
          </w:p>
        </w:tc>
      </w:tr>
      <w:tr>
        <w:trPr>
          <w:trHeight w:val="20"/>
        </w:trPr>
        <w:tc>
          <w:tcPr>
            <w:tcW w:w="6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17.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loss before income taxes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67"/>
        </w:trPr>
        <w:tc>
          <w:tcPr>
            <w:tcW w:w="69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0"/>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69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United States</w:t>
            </w:r>
          </w:p>
        </w:tc>
        <w:tc>
          <w:tcPr>
            <w:tcW w:w="320" w:type="dxa"/>
            <w:vAlign w:val="bottom"/>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(110,784)</w:t>
            </w: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(96,422)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(95,634)</w:t>
            </w:r>
          </w:p>
        </w:tc>
      </w:tr>
      <w:tr>
        <w:trPr>
          <w:trHeight w:val="174"/>
        </w:trPr>
        <w:tc>
          <w:tcPr>
            <w:tcW w:w="69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Foreign</w:t>
            </w:r>
          </w:p>
        </w:tc>
        <w:tc>
          <w:tcPr>
            <w:tcW w:w="320" w:type="dxa"/>
            <w:vAlign w:val="bottom"/>
          </w:tcPr>
          <w:p>
            <w:pPr>
              <w:spacing w:after="0"/>
              <w:rPr>
                <w:sz w:val="15"/>
                <w:szCs w:val="15"/>
                <w:color w:val="auto"/>
              </w:rPr>
            </w:pPr>
          </w:p>
        </w:tc>
        <w:tc>
          <w:tcPr>
            <w:tcW w:w="1440" w:type="dxa"/>
            <w:vAlign w:val="bottom"/>
            <w:gridSpan w:val="2"/>
          </w:tcPr>
          <w:p>
            <w:pPr>
              <w:jc w:val="right"/>
              <w:ind w:right="300"/>
              <w:spacing w:after="0" w:line="174" w:lineRule="exact"/>
              <w:rPr>
                <w:sz w:val="20"/>
                <w:szCs w:val="20"/>
                <w:color w:val="auto"/>
              </w:rPr>
            </w:pPr>
            <w:r>
              <w:rPr>
                <w:rFonts w:ascii="Times New Roman" w:cs="Times New Roman" w:eastAsia="Times New Roman" w:hAnsi="Times New Roman"/>
                <w:sz w:val="16"/>
                <w:szCs w:val="16"/>
                <w:color w:val="auto"/>
              </w:rPr>
              <w:t>(6,083)</w:t>
            </w:r>
          </w:p>
        </w:tc>
        <w:tc>
          <w:tcPr>
            <w:tcW w:w="320" w:type="dxa"/>
            <w:vAlign w:val="bottom"/>
          </w:tcPr>
          <w:p>
            <w:pPr>
              <w:spacing w:after="0"/>
              <w:rPr>
                <w:sz w:val="15"/>
                <w:szCs w:val="15"/>
                <w:color w:val="auto"/>
              </w:rPr>
            </w:pPr>
          </w:p>
        </w:tc>
        <w:tc>
          <w:tcPr>
            <w:tcW w:w="11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526</w:t>
            </w:r>
          </w:p>
        </w:tc>
      </w:tr>
      <w:tr>
        <w:trPr>
          <w:trHeight w:val="167"/>
        </w:trPr>
        <w:tc>
          <w:tcPr>
            <w:tcW w:w="692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Net loss before income taxes</w:t>
            </w:r>
          </w:p>
        </w:tc>
        <w:tc>
          <w:tcPr>
            <w:tcW w:w="320" w:type="dxa"/>
            <w:vAlign w:val="bottom"/>
            <w:tcBorders>
              <w:top w:val="single" w:sz="8" w:color="auto"/>
              <w:bottom w:val="single" w:sz="8" w:color="auto"/>
            </w:tcBorders>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(116,867)</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(96,373)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(95,108)</w:t>
            </w: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320"/>
        <w:spacing w:after="0" w:line="239"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did not record any federal or state provision for income tax expense. For the years ended December 31, 2025, 2024 and 2023, the Company recorded an income tax (provision) benefit of $76,000, $(53,000) and $(547,000), respectively, from foreign jurisdictions.</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described in Note 2, Summary of Significant Accounting Policies, the Company has elected to prospectively adopt ASU 2023-09. The following table is a reconciliation of the total income tax expense computed at the U.S. federal statutory rate of 21% to the Company’s total income tax expense for the year ended December 31, 2025, in accordance with ASU 2023-09 (in thousands):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r>
      <w:tr>
        <w:trPr>
          <w:trHeight w:val="194"/>
        </w:trPr>
        <w:tc>
          <w:tcPr>
            <w:tcW w:w="74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0" w:type="dxa"/>
            <w:vAlign w:val="bottom"/>
          </w:tcPr>
          <w:p>
            <w:pPr>
              <w:spacing w:after="0"/>
              <w:rPr>
                <w:sz w:val="16"/>
                <w:szCs w:val="16"/>
                <w:color w:val="auto"/>
              </w:rPr>
            </w:pPr>
          </w:p>
        </w:tc>
      </w:tr>
      <w:tr>
        <w:trPr>
          <w:trHeight w:val="194"/>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 statutory rate</w:t>
            </w:r>
          </w:p>
        </w:tc>
        <w:tc>
          <w:tcPr>
            <w:tcW w:w="40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(24,542)</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tcPr>
          <w:p>
            <w:pPr>
              <w:spacing w:after="0"/>
              <w:rPr>
                <w:sz w:val="16"/>
                <w:szCs w:val="16"/>
                <w:color w:val="auto"/>
              </w:rPr>
            </w:pPr>
          </w:p>
        </w:tc>
      </w:tr>
      <w:tr>
        <w:trPr>
          <w:trHeight w:val="214"/>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26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1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credits: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7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R&amp;D credits</w:t>
            </w:r>
          </w:p>
        </w:tc>
        <w:tc>
          <w:tcPr>
            <w:tcW w:w="4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(382)</w:t>
            </w: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r>
      <w:tr>
        <w:trPr>
          <w:trHeight w:val="21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8"/>
                <w:szCs w:val="18"/>
                <w:color w:val="auto"/>
              </w:rPr>
            </w:pPr>
          </w:p>
        </w:tc>
      </w:tr>
      <w:tr>
        <w:trPr>
          <w:trHeight w:val="214"/>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Write-off of intercompany payable</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8"/>
                <w:szCs w:val="18"/>
                <w:color w:val="auto"/>
              </w:rPr>
            </w:pPr>
          </w:p>
        </w:tc>
      </w:tr>
      <w:tr>
        <w:trPr>
          <w:trHeight w:val="214"/>
        </w:trPr>
        <w:tc>
          <w:tcPr>
            <w:tcW w:w="7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Mark-to-market on warrant and derivative</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26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r>
      <w:tr>
        <w:trPr>
          <w:trHeight w:val="214"/>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Nondeductible executive compensation</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r>
      <w:tr>
        <w:trPr>
          <w:trHeight w:val="214"/>
        </w:trPr>
        <w:tc>
          <w:tcPr>
            <w:tcW w:w="7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nondeductible items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26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r>
      <w:tr>
        <w:trPr>
          <w:trHeight w:val="21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260" w:type="dxa"/>
            <w:vAlign w:val="bottom"/>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tcPr>
          <w:p>
            <w:pPr>
              <w:spacing w:after="0"/>
              <w:rPr>
                <w:sz w:val="18"/>
                <w:szCs w:val="18"/>
                <w:color w:val="auto"/>
              </w:rPr>
            </w:pPr>
          </w:p>
        </w:tc>
      </w:tr>
      <w:tr>
        <w:trPr>
          <w:trHeight w:val="180"/>
        </w:trPr>
        <w:tc>
          <w:tcPr>
            <w:tcW w:w="74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Provision for income taxes</w:t>
            </w:r>
          </w:p>
        </w:tc>
        <w:tc>
          <w:tcPr>
            <w:tcW w:w="400" w:type="dxa"/>
            <w:vAlign w:val="bottom"/>
            <w:tcBorders>
              <w:bottom w:val="single" w:sz="8" w:color="auto"/>
            </w:tcBorders>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(76)</w:t>
            </w:r>
          </w:p>
        </w:tc>
        <w:tc>
          <w:tcPr>
            <w:tcW w:w="260" w:type="dxa"/>
            <w:vAlign w:val="bottom"/>
          </w:tcPr>
          <w:p>
            <w:pPr>
              <w:spacing w:after="0"/>
              <w:rPr>
                <w:sz w:val="15"/>
                <w:szCs w:val="15"/>
                <w:color w:val="auto"/>
              </w:rPr>
            </w:pPr>
          </w:p>
        </w:tc>
        <w:tc>
          <w:tcPr>
            <w:tcW w:w="1760" w:type="dxa"/>
            <w:vAlign w:val="bottom"/>
            <w:tcBorders>
              <w:bottom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0.1%</w:t>
            </w:r>
          </w:p>
        </w:tc>
        <w:tc>
          <w:tcPr>
            <w:tcW w:w="20" w:type="dxa"/>
            <w:vAlign w:val="bottom"/>
            <w:tcBorders>
              <w:bottom w:val="single" w:sz="8" w:color="auto"/>
            </w:tcBorders>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9"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The following table presents a reconciliation of the statutory federal rate and the Company’s effective tax rate for the years ended December 31, 2024 and 2023 in accordance with the guidance prior to ASU 2023-09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16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7"/>
                <w:szCs w:val="17"/>
                <w:color w:val="auto"/>
              </w:rPr>
            </w:pPr>
          </w:p>
        </w:tc>
      </w:tr>
      <w:tr>
        <w:trPr>
          <w:trHeight w:val="167"/>
        </w:trPr>
        <w:tc>
          <w:tcPr>
            <w:tcW w:w="50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40" w:type="dxa"/>
            <w:vAlign w:val="bottom"/>
          </w:tcPr>
          <w:p>
            <w:pPr>
              <w:jc w:val="right"/>
              <w:ind w:right="2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Pr>
          <w:p>
            <w:pPr>
              <w:spacing w:after="0"/>
              <w:rPr>
                <w:sz w:val="14"/>
                <w:szCs w:val="14"/>
                <w:color w:val="auto"/>
              </w:rPr>
            </w:pPr>
          </w:p>
        </w:tc>
      </w:tr>
      <w:tr>
        <w:trPr>
          <w:trHeight w:val="167"/>
        </w:trPr>
        <w:tc>
          <w:tcPr>
            <w:tcW w:w="50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Tax at federal statutory rate</w:t>
            </w:r>
          </w:p>
        </w:tc>
        <w:tc>
          <w:tcPr>
            <w:tcW w:w="23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(20,027)</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9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(20,003)</w:t>
            </w:r>
          </w:p>
        </w:tc>
      </w:tr>
      <w:tr>
        <w:trPr>
          <w:trHeight w:val="174"/>
        </w:trPr>
        <w:tc>
          <w:tcPr>
            <w:tcW w:w="50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State taxes, net of federal benefit</w:t>
            </w:r>
          </w:p>
        </w:tc>
        <w:tc>
          <w:tcPr>
            <w:tcW w:w="2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(2,247)</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(4,032)</w:t>
            </w:r>
          </w:p>
        </w:tc>
      </w:tr>
      <w:tr>
        <w:trPr>
          <w:trHeight w:val="174"/>
        </w:trPr>
        <w:tc>
          <w:tcPr>
            <w:tcW w:w="50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Change in valuation allowance</w:t>
            </w:r>
          </w:p>
        </w:tc>
        <w:tc>
          <w:tcPr>
            <w:tcW w:w="2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16,563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20,418</w:t>
            </w:r>
          </w:p>
        </w:tc>
      </w:tr>
      <w:tr>
        <w:trPr>
          <w:trHeight w:val="174"/>
        </w:trPr>
        <w:tc>
          <w:tcPr>
            <w:tcW w:w="50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Stock-based compensation</w:t>
            </w:r>
          </w:p>
        </w:tc>
        <w:tc>
          <w:tcPr>
            <w:tcW w:w="2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1,706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3,722</w:t>
            </w:r>
          </w:p>
        </w:tc>
      </w:tr>
      <w:tr>
        <w:trPr>
          <w:trHeight w:val="174"/>
        </w:trPr>
        <w:tc>
          <w:tcPr>
            <w:tcW w:w="50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Mark-to-market on warrant and derivative</w:t>
            </w:r>
          </w:p>
        </w:tc>
        <w:tc>
          <w:tcPr>
            <w:tcW w:w="2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3,482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1,075</w:t>
            </w:r>
          </w:p>
        </w:tc>
      </w:tr>
      <w:tr>
        <w:trPr>
          <w:trHeight w:val="174"/>
        </w:trPr>
        <w:tc>
          <w:tcPr>
            <w:tcW w:w="50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R&amp;D credits</w:t>
            </w:r>
          </w:p>
        </w:tc>
        <w:tc>
          <w:tcPr>
            <w:tcW w:w="2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(391)</w:t>
            </w:r>
          </w:p>
        </w:tc>
      </w:tr>
      <w:tr>
        <w:trPr>
          <w:trHeight w:val="174"/>
        </w:trPr>
        <w:tc>
          <w:tcPr>
            <w:tcW w:w="50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Foreign rate differential</w:t>
            </w:r>
          </w:p>
        </w:tc>
        <w:tc>
          <w:tcPr>
            <w:tcW w:w="2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(50)</w:t>
            </w:r>
          </w:p>
        </w:tc>
      </w:tr>
      <w:tr>
        <w:trPr>
          <w:trHeight w:val="174"/>
        </w:trPr>
        <w:tc>
          <w:tcPr>
            <w:tcW w:w="508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Other</w:t>
            </w:r>
          </w:p>
        </w:tc>
        <w:tc>
          <w:tcPr>
            <w:tcW w:w="23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816</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(192)</w:t>
            </w:r>
          </w:p>
        </w:tc>
      </w:tr>
      <w:tr>
        <w:trPr>
          <w:trHeight w:val="167"/>
        </w:trPr>
        <w:tc>
          <w:tcPr>
            <w:tcW w:w="508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Provision for income taxes</w:t>
            </w:r>
          </w:p>
        </w:tc>
        <w:tc>
          <w:tcPr>
            <w:tcW w:w="2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547</w:t>
            </w:r>
          </w:p>
        </w:tc>
      </w:tr>
      <w:tr>
        <w:trPr>
          <w:trHeight w:val="20"/>
        </w:trPr>
        <w:tc>
          <w:tcPr>
            <w:tcW w:w="5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net deferred tax assets for federal and state income taxes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Deferred tax assets:</w:t>
            </w:r>
          </w:p>
        </w:tc>
        <w:tc>
          <w:tcPr>
            <w:tcW w:w="23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80"/>
              <w:spacing w:after="0" w:line="174" w:lineRule="exact"/>
              <w:rPr>
                <w:sz w:val="20"/>
                <w:szCs w:val="20"/>
                <w:color w:val="auto"/>
              </w:rPr>
            </w:pPr>
            <w:r>
              <w:rPr>
                <w:rFonts w:ascii="Times New Roman" w:cs="Times New Roman" w:eastAsia="Times New Roman" w:hAnsi="Times New Roman"/>
                <w:sz w:val="16"/>
                <w:szCs w:val="16"/>
                <w:color w:val="auto"/>
              </w:rPr>
              <w:t>Net operating loss carryforwards</w:t>
            </w:r>
          </w:p>
        </w:tc>
        <w:tc>
          <w:tcPr>
            <w:tcW w:w="3460" w:type="dxa"/>
            <w:vAlign w:val="bottom"/>
            <w:gridSpan w:val="2"/>
          </w:tcPr>
          <w:p>
            <w:pPr>
              <w:jc w:val="right"/>
              <w:ind w:right="9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154,356</w:t>
            </w:r>
          </w:p>
        </w:tc>
        <w:tc>
          <w:tcPr>
            <w:tcW w:w="140" w:type="dxa"/>
            <w:vAlign w:val="bottom"/>
          </w:tcPr>
          <w:p>
            <w:pPr>
              <w:spacing w:after="0"/>
              <w:rPr>
                <w:sz w:val="15"/>
                <w:szCs w:val="15"/>
                <w:color w:val="auto"/>
              </w:rPr>
            </w:pPr>
          </w:p>
        </w:tc>
        <w:tc>
          <w:tcPr>
            <w:tcW w:w="1200" w:type="dxa"/>
            <w:vAlign w:val="bottom"/>
            <w:gridSpan w:val="2"/>
          </w:tcPr>
          <w:p>
            <w:pPr>
              <w:jc w:val="right"/>
              <w:ind w:right="9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143,066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6"/>
                <w:szCs w:val="16"/>
                <w:color w:val="auto"/>
              </w:rPr>
              <w:t>Research and development credits</w:t>
            </w:r>
          </w:p>
        </w:tc>
        <w:tc>
          <w:tcPr>
            <w:tcW w:w="2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7,628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7,111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80"/>
              <w:spacing w:after="0" w:line="174" w:lineRule="exact"/>
              <w:rPr>
                <w:sz w:val="20"/>
                <w:szCs w:val="20"/>
                <w:color w:val="auto"/>
              </w:rPr>
            </w:pPr>
            <w:r>
              <w:rPr>
                <w:rFonts w:ascii="Times New Roman" w:cs="Times New Roman" w:eastAsia="Times New Roman" w:hAnsi="Times New Roman"/>
                <w:sz w:val="16"/>
                <w:szCs w:val="16"/>
                <w:color w:val="auto"/>
              </w:rPr>
              <w:t>Stock-based compensation</w:t>
            </w:r>
          </w:p>
        </w:tc>
        <w:tc>
          <w:tcPr>
            <w:tcW w:w="2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1,586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1,611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6"/>
                <w:szCs w:val="16"/>
                <w:color w:val="auto"/>
              </w:rPr>
              <w:t>Interest limitation</w:t>
            </w:r>
          </w:p>
        </w:tc>
        <w:tc>
          <w:tcPr>
            <w:tcW w:w="2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10,651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8,964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80"/>
              <w:spacing w:after="0" w:line="174" w:lineRule="exact"/>
              <w:rPr>
                <w:sz w:val="20"/>
                <w:szCs w:val="20"/>
                <w:color w:val="auto"/>
              </w:rPr>
            </w:pPr>
            <w:r>
              <w:rPr>
                <w:rFonts w:ascii="Times New Roman" w:cs="Times New Roman" w:eastAsia="Times New Roman" w:hAnsi="Times New Roman"/>
                <w:sz w:val="16"/>
                <w:szCs w:val="16"/>
                <w:color w:val="auto"/>
              </w:rPr>
              <w:t>Accruals and reserves</w:t>
            </w:r>
          </w:p>
        </w:tc>
        <w:tc>
          <w:tcPr>
            <w:tcW w:w="2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5,370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9,502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6"/>
                <w:szCs w:val="16"/>
                <w:color w:val="auto"/>
              </w:rPr>
              <w:t>Fixed asset and intangible asset basis</w:t>
            </w:r>
          </w:p>
        </w:tc>
        <w:tc>
          <w:tcPr>
            <w:tcW w:w="2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3,654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4,615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80"/>
              <w:spacing w:after="0" w:line="174"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5,386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5,955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6"/>
                <w:szCs w:val="16"/>
                <w:color w:val="auto"/>
              </w:rPr>
              <w:t>Research and development capitalization</w:t>
            </w:r>
          </w:p>
        </w:tc>
        <w:tc>
          <w:tcPr>
            <w:tcW w:w="236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15,408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20,675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6"/>
                <w:szCs w:val="16"/>
                <w:color w:val="auto"/>
              </w:rPr>
              <w:t>Total deferred tax assets</w:t>
            </w:r>
          </w:p>
        </w:tc>
        <w:tc>
          <w:tcPr>
            <w:tcW w:w="23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204,039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201,499</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0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0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Deferred tax liabilities:</w:t>
            </w:r>
          </w:p>
        </w:tc>
        <w:tc>
          <w:tcPr>
            <w:tcW w:w="2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6"/>
                <w:szCs w:val="16"/>
                <w:color w:val="auto"/>
              </w:rPr>
              <w:t>Capitalized contract costs</w:t>
            </w:r>
          </w:p>
        </w:tc>
        <w:tc>
          <w:tcPr>
            <w:tcW w:w="2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(2,704)</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80"/>
              <w:spacing w:after="0" w:line="174"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(4,256)</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(4,653)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6"/>
                <w:szCs w:val="16"/>
                <w:color w:val="auto"/>
              </w:rPr>
              <w:t>Other</w:t>
            </w:r>
          </w:p>
        </w:tc>
        <w:tc>
          <w:tcPr>
            <w:tcW w:w="2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6"/>
                <w:szCs w:val="16"/>
                <w:color w:val="auto"/>
              </w:rPr>
              <w:t>Total deferred tax liabilities</w:t>
            </w:r>
          </w:p>
        </w:tc>
        <w:tc>
          <w:tcPr>
            <w:tcW w:w="236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(7,069)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(6,275)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Deferred tax assets, net</w:t>
            </w:r>
          </w:p>
        </w:tc>
        <w:tc>
          <w:tcPr>
            <w:tcW w:w="236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196,970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195,224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6"/>
                <w:szCs w:val="16"/>
                <w:color w:val="auto"/>
              </w:rPr>
              <w:t>Valuation allowance</w:t>
            </w:r>
          </w:p>
        </w:tc>
        <w:tc>
          <w:tcPr>
            <w:tcW w:w="23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(196,784)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(195,224)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Net deferred taxes</w:t>
            </w:r>
          </w:p>
        </w:tc>
        <w:tc>
          <w:tcPr>
            <w:tcW w:w="23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186</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8"/>
          <w:szCs w:val="18"/>
          <w:color w:val="auto"/>
        </w:rPr>
        <w:t>As the Company has incurred annual net operating losses since inception, a full valuation allowance is provided against U.S. net deferred tax assets due to uncertainties regarding the Company’s ability to realize these assets. The</w:t>
      </w: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rPr>
          <w:sz w:val="20"/>
          <w:szCs w:val="20"/>
          <w:color w:val="auto"/>
        </w:rPr>
      </w:pPr>
      <w:r>
        <w:rPr>
          <w:rFonts w:ascii="Times New Roman" w:cs="Times New Roman" w:eastAsia="Times New Roman" w:hAnsi="Times New Roman"/>
          <w:sz w:val="18"/>
          <w:szCs w:val="18"/>
          <w:color w:val="auto"/>
        </w:rPr>
        <w:t>U.S. valuation allowance increased by $1.6 million, $16.8 million and $20.4 million for the years ended December 31, 2025,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valuation allowance for deferred tax assets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67"/>
        </w:trPr>
        <w:tc>
          <w:tcPr>
            <w:tcW w:w="412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4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21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99"/>
              </w:rPr>
              <w:t>195,224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178,406</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157,982</w:t>
            </w:r>
          </w:p>
        </w:tc>
      </w:tr>
      <w:tr>
        <w:trPr>
          <w:trHeight w:val="174"/>
        </w:trPr>
        <w:tc>
          <w:tcPr>
            <w:tcW w:w="41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Additions</w:t>
            </w:r>
          </w:p>
        </w:tc>
        <w:tc>
          <w:tcPr>
            <w:tcW w:w="2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5,346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16,818</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20,424</w:t>
            </w:r>
          </w:p>
        </w:tc>
      </w:tr>
      <w:tr>
        <w:trPr>
          <w:trHeight w:val="174"/>
        </w:trPr>
        <w:tc>
          <w:tcPr>
            <w:tcW w:w="4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Deductions</w:t>
            </w:r>
          </w:p>
        </w:tc>
        <w:tc>
          <w:tcPr>
            <w:tcW w:w="2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(3,786)</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1000"/>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r>
      <w:tr>
        <w:trPr>
          <w:trHeight w:val="167"/>
        </w:trPr>
        <w:tc>
          <w:tcPr>
            <w:tcW w:w="41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Balance at end of period</w:t>
            </w:r>
          </w:p>
        </w:tc>
        <w:tc>
          <w:tcPr>
            <w:tcW w:w="21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w w:val="99"/>
              </w:rPr>
              <w:t>196,784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195,224</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178,406</w:t>
            </w:r>
          </w:p>
        </w:tc>
      </w:tr>
      <w:tr>
        <w:trPr>
          <w:trHeight w:val="20"/>
        </w:trPr>
        <w:tc>
          <w:tcPr>
            <w:tcW w:w="4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As of December 31, 2025, the Company had net operating loss carryforwards of approximately $609.9 million and $467.4 million available to reduce future taxable income, if any, for federal and state income tax purposes, respectively. Of these amounts, $422.9 million of federal net operating losses are carried forward indefinitely, and are limited to offset 80% of future taxable income. The remaining federal net operating losses will expire starting in 2030. State net operating losses will expire starting in 2026. Utilization of net operating loss carryforwards may be subject to an annual limitation in certain situations where changes occur in the stock ownership of a company. A Section 382 study of the Company’s historic ownership changes through December 31, 2025 was completed, and the Company determined that certain loss and credit carryforwards are subject to annual limitations under Section 382. The majority of the Company’s tax attributes are expected to be fully available and no longer subject to these annual limitations by 2029, and no tax attributes were identified as being permanently disallowed as a result of Section 382.</w:t>
      </w:r>
    </w:p>
    <w:p>
      <w:pPr>
        <w:spacing w:after="0" w:line="15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Company also had federal and California research and development credit carryforwards of approximately $10.2 million and $7.4 million, respectively, as of December 31, 2025. The federal credits will expire starting in 2030, if not utilized. The California credits have no expiration date.</w:t>
      </w:r>
    </w:p>
    <w:p>
      <w:pPr>
        <w:spacing w:after="0" w:line="150"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Deferred income taxes have not been provided for undistributed earnings of the Company’s consolidated foreign subsidiaries because of the Company’s intent to reinvest such earnings indefinitely in active foreign operations. The Company believes that future domestic cash generation will be sufficient to meet future domestic cash needs. The Company has not recorded a deferred tax liability on the undistributed earnings of non-U.S. subsidiaries. The foreign withholding taxes would not have a material impact on the Company’s financial position and results of operation. As of December 31, 2025, 2024 and 2023, the Company had $1.1 million. $1.1 million and $0.6 million, respectively, in unremitted earnings that were indefinitely reinvested related to its consolidated foreign subsidiaries.</w:t>
      </w:r>
    </w:p>
    <w:p>
      <w:pPr>
        <w:spacing w:after="0" w:line="15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The Company’s gross unrecognized tax benefits as of December 31, 2025, 2024 and 2023 was $9.2 million, $8.6 million and $8.2 million, respectively, all of which would affect the Company’s income tax expense if recognized before consideration of the Company’s valuation allowance. The Company recognizes interest and penalties accrued on any unrecognized tax benefits as a component of provision for income taxes, in which none was incurred during the years ended December 31, 2025,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unrecognized tax benefits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67"/>
        </w:trPr>
        <w:tc>
          <w:tcPr>
            <w:tcW w:w="456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0"/>
              <w:spacing w:after="0" w:line="167" w:lineRule="exact"/>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0"/>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67"/>
        </w:trPr>
        <w:tc>
          <w:tcPr>
            <w:tcW w:w="45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17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8,597</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8,188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7,371</w:t>
            </w:r>
          </w:p>
        </w:tc>
      </w:tr>
      <w:tr>
        <w:trPr>
          <w:trHeight w:val="174"/>
        </w:trPr>
        <w:tc>
          <w:tcPr>
            <w:tcW w:w="45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Increase related to current year tax positions</w:t>
            </w:r>
          </w:p>
        </w:tc>
        <w:tc>
          <w:tcPr>
            <w:tcW w:w="1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552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558</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817</w:t>
            </w:r>
          </w:p>
        </w:tc>
      </w:tr>
      <w:tr>
        <w:trPr>
          <w:trHeight w:val="174"/>
        </w:trPr>
        <w:tc>
          <w:tcPr>
            <w:tcW w:w="45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Changes related to prior tax positions</w:t>
            </w:r>
          </w:p>
        </w:tc>
        <w:tc>
          <w:tcPr>
            <w:tcW w:w="1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75</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80"/>
              <w:spacing w:after="0" w:line="174" w:lineRule="exact"/>
              <w:rPr>
                <w:sz w:val="20"/>
                <w:szCs w:val="20"/>
                <w:color w:val="auto"/>
              </w:rPr>
            </w:pPr>
            <w:r>
              <w:rPr>
                <w:rFonts w:ascii="Times New Roman" w:cs="Times New Roman" w:eastAsia="Times New Roman" w:hAnsi="Times New Roman"/>
                <w:sz w:val="16"/>
                <w:szCs w:val="16"/>
                <w:color w:val="auto"/>
              </w:rPr>
              <w:t>(149)</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r>
      <w:tr>
        <w:trPr>
          <w:trHeight w:val="167"/>
        </w:trPr>
        <w:tc>
          <w:tcPr>
            <w:tcW w:w="4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Balance at end of period</w:t>
            </w:r>
          </w:p>
        </w:tc>
        <w:tc>
          <w:tcPr>
            <w:tcW w:w="17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9,224</w:t>
            </w:r>
          </w:p>
        </w:tc>
        <w:tc>
          <w:tcPr>
            <w:tcW w:w="2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8,597</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8,188</w:t>
            </w:r>
          </w:p>
        </w:tc>
      </w:tr>
      <w:tr>
        <w:trPr>
          <w:trHeight w:val="20"/>
        </w:trPr>
        <w:tc>
          <w:tcPr>
            <w:tcW w:w="4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Company did not pay any income taxes during the year ended December 31, 2025. The cash paid (refunded) for income taxes during the years ended December 31, 2024 and 2023 was $(72,000) and $405,000, respectively.</w:t>
      </w:r>
    </w:p>
    <w:p>
      <w:pPr>
        <w:spacing w:after="0" w:line="136" w:lineRule="exact"/>
        <w:rPr>
          <w:sz w:val="20"/>
          <w:szCs w:val="20"/>
          <w:color w:val="auto"/>
        </w:rPr>
      </w:pPr>
    </w:p>
    <w:p>
      <w:pPr>
        <w:jc w:val="both"/>
        <w:ind w:right="220"/>
        <w:spacing w:after="0" w:line="229"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 and certain foreign jurisdictions. In the normal course of business, the Company is subject to examination by their respective taxing authorities. The Company had been selected for audit by the Internal Revenue Service for its 2022 tax year. The examination was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20"/>
        <w:spacing w:after="0" w:line="231" w:lineRule="auto"/>
        <w:rPr>
          <w:sz w:val="20"/>
          <w:szCs w:val="20"/>
          <w:color w:val="auto"/>
        </w:rPr>
      </w:pPr>
      <w:r>
        <w:rPr>
          <w:rFonts w:ascii="Times New Roman" w:cs="Times New Roman" w:eastAsia="Times New Roman" w:hAnsi="Times New Roman"/>
          <w:sz w:val="18"/>
          <w:szCs w:val="18"/>
          <w:color w:val="auto"/>
        </w:rPr>
        <w:t>closed during 2025 with no tax adjustments. The statute of limitations remains effectively open for the U.S. federal and state tax jurisdictions for all tax years from 2010 through 2025. Tax years outside the normal statute of limitations remain open to examination by tax authorities due to tax attributes generated in earlier years which have been carried forward and may be examined and adjusted in subsequent years when utilized.</w:t>
      </w:r>
    </w:p>
    <w:p>
      <w:pPr>
        <w:spacing w:after="0" w:line="15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United States which contains a broad range of tax reform provisions affecting businesses. The provisions of the OBBBA did not have a material impact on the Company’s consolidated financial statements for the year ended December 31,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18. Subsequent Events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Facility Lease Amendment</w:t>
      </w:r>
    </w:p>
    <w:p>
      <w:pPr>
        <w:spacing w:after="0" w:line="18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On January 5, 2026, the Company amended the lease for its Austin, Texas facility to extend the lease term an additional 51 months through March 2027, with the option to extend for two additional three-year periods. The monthly lease payments are approximately $61,000 per month during the amended extension period and provides for a tenant improvement allowance of $71,000.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Mountain View, California Facility Sublease</w:t>
      </w:r>
    </w:p>
    <w:p>
      <w:pPr>
        <w:spacing w:after="0" w:line="169"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On March 10, 2026, the Company entered into a sublease agreement (the “Sublease”) with a third-party subtenant to sublease its Mountain View, California facility. The initial term of the Sublease will commence in April 2026 and continues until August 2030, consistent with the remaining term of the Company’s Master Lease, with 52% occupancy of the facility beginning April 2026 and full occupancy by March 2027. The Sublease provides for an initial annual base rent of approximately $1.2 million, which increases annually up to a maximum annual base rent of approximately $2.4 million. The subtenant is obligated to pay its ratable portion of operating costs, annual tax costs and all utility costs attributable to the facility during the term of the Sublease. The subtenant will provide the Company with a letter of credit in the amount of $0.8 million in place of a security deposit. The Company is currently evaluating the impact of this Sublease on the carrying value of the associated ROU asset and leasehold improvements.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of Equity Awards</w:t>
      </w:r>
    </w:p>
    <w:p>
      <w:pPr>
        <w:spacing w:after="0" w:line="18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Subsequent to December 31, 2025, the Company granted options for 913,696 shares of common stock, subject to service-based vesting conditions, with an exercise price of $27.74 per share to employees and 1,019,499 shares of restricted stock units subject to service-based vesting conditions.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have evaluated the effectiveness of our disclosure controls and procedures (as defined in Rules 13a-15(e) and 15d-15(e) under the Securities Exchange Act of 1934, as amended) as of the end of the period covered by this Annual Report on Form 10-K. Based on that evaluation, our Chief Executive Officer and our Chief Financial Officer have concluded that, as of December 31, 2025, our disclosure controls and procedures were effective at the reasonable assurance level.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3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our internal control over financial reporting (as defined in Rules 13a-15(f) and 15d-15(f) under the Exchange Act) due to a transition period established by rules of the SEC for newly public companies.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31" w:lineRule="exact"/>
        <w:rPr>
          <w:sz w:val="20"/>
          <w:szCs w:val="20"/>
          <w:color w:val="auto"/>
        </w:rPr>
      </w:pPr>
    </w:p>
    <w:p>
      <w:pPr>
        <w:ind w:right="720"/>
        <w:spacing w:after="0" w:line="24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an exemption established by the JOBS Act for “emerging growth companies.”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2025. As a result, this Annual Report on Form 10-K does not address whether there have been any changes in our internal control over financial reporting.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12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(as defined in Rule 16a-1(f) under the Securities Exchange Act of 1934, as amended) adopted, modified or terminated a “Rule 10b5-1 (c) trading arrangement” or a “non-Rule 10b5-1 trading arrangement”, as each term is defined in Item 408(a) of Regulation S-K.</w:t>
      </w:r>
    </w:p>
    <w:p>
      <w:pPr>
        <w:spacing w:after="0" w:line="166" w:lineRule="exact"/>
        <w:rPr>
          <w:sz w:val="20"/>
          <w:szCs w:val="20"/>
          <w:color w:val="auto"/>
        </w:rPr>
      </w:pPr>
    </w:p>
    <w:p>
      <w:pPr>
        <w:ind w:right="526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to our definitive Proxy Statement to be filed with the SEC in connection with our 2026 Annual Meeting of Stockholders within 120 days after the end of the fiscal year ended December 31, 2025.</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We have adopted a Code of Business Conduct and Ethics that applies to all of our directors, officers and employees, including our principal executive officer and principal financial officer. A current copy of the code is posted on the Investors-Corporate Governance section of our website, which is located at</w:t>
      </w:r>
    </w:p>
    <w:p>
      <w:pPr>
        <w:spacing w:after="0"/>
        <w:rPr>
          <w:sz w:val="20"/>
          <w:szCs w:val="20"/>
          <w:color w:val="auto"/>
        </w:rPr>
      </w:pPr>
      <w:r>
        <w:rPr>
          <w:rFonts w:ascii="Times New Roman" w:cs="Times New Roman" w:eastAsia="Times New Roman" w:hAnsi="Times New Roman"/>
          <w:sz w:val="18"/>
          <w:szCs w:val="18"/>
          <w:u w:val="single" w:color="auto"/>
          <w:color w:val="0000FF"/>
        </w:rPr>
        <w:t>www.heartflow.com</w:t>
      </w:r>
      <w:r>
        <w:rPr>
          <w:rFonts w:ascii="Times New Roman" w:cs="Times New Roman" w:eastAsia="Times New Roman" w:hAnsi="Times New Roman"/>
          <w:sz w:val="18"/>
          <w:szCs w:val="18"/>
          <w:color w:val="000000"/>
        </w:rPr>
        <w:t>.</w:t>
      </w:r>
    </w:p>
    <w:p>
      <w:pPr>
        <w:spacing w:after="0" w:line="14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Global Market, by filing a Current Report on Form 8-K with the SEC, disclosing such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1"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11"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7" w:lineRule="exact"/>
        <w:rPr>
          <w:sz w:val="20"/>
          <w:szCs w:val="20"/>
          <w:color w:val="auto"/>
        </w:rPr>
      </w:pPr>
    </w:p>
    <w:p>
      <w:pPr>
        <w:ind w:left="320" w:hanging="313"/>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financial statements included in “Index to Consolidated Financial Statements” in Part II, Item 8, are filed as part of this Annual Report on Form 10-K.</w:t>
      </w:r>
    </w:p>
    <w:p>
      <w:pPr>
        <w:spacing w:after="0" w:line="176" w:lineRule="exact"/>
        <w:rPr>
          <w:sz w:val="20"/>
          <w:szCs w:val="20"/>
          <w:color w:val="auto"/>
        </w:rPr>
      </w:pPr>
    </w:p>
    <w:p>
      <w:pPr>
        <w:ind w:left="320" w:hanging="313"/>
        <w:spacing w:after="0"/>
        <w:tabs>
          <w:tab w:leader="none" w:pos="320"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b w:val="1"/>
          <w:bCs w:val="1"/>
          <w:color w:val="212529"/>
        </w:rPr>
        <w:t>Financial Statement Schedules.</w:t>
      </w:r>
    </w:p>
    <w:p>
      <w:pPr>
        <w:spacing w:after="0" w:line="18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applicable or required, or the information required to be set forth therein is included in the consolidated financial statements or notes thereto included in the Index to Consolidated Financial Statements of this Annual Report.</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198120</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7" w:lineRule="exact"/>
        <w:rPr>
          <w:sz w:val="20"/>
          <w:szCs w:val="20"/>
          <w:color w:val="auto"/>
        </w:rPr>
      </w:pPr>
    </w:p>
    <w:p>
      <w:pPr>
        <w:ind w:left="320" w:hanging="313"/>
        <w:spacing w:after="0"/>
        <w:tabs>
          <w:tab w:leader="none" w:pos="320" w:val="left"/>
        </w:tabs>
        <w:numPr>
          <w:ilvl w:val="0"/>
          <w:numId w:val="4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b w:val="1"/>
          <w:bCs w:val="1"/>
          <w:color w:val="212529"/>
        </w:rPr>
        <w:t>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exhibits are incorporated herein by reference or are filed or furnished with this Annual Report on Form 10-K as indicated below:</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12529"/>
        </w:rPr>
        <w:t>Exhibit Index</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80" w:type="dxa"/>
            <w:vAlign w:val="bottom"/>
            <w:gridSpan w:val="20"/>
          </w:tcPr>
          <w:p>
            <w:pPr>
              <w:ind w:left="500"/>
              <w:spacing w:after="0"/>
              <w:rPr>
                <w:sz w:val="20"/>
                <w:szCs w:val="20"/>
                <w:color w:val="auto"/>
              </w:rPr>
            </w:pPr>
            <w:r>
              <w:rPr>
                <w:rFonts w:ascii="Times New Roman" w:cs="Times New Roman" w:eastAsia="Times New Roman" w:hAnsi="Times New Roman"/>
                <w:sz w:val="12"/>
                <w:szCs w:val="12"/>
                <w:b w:val="1"/>
                <w:bCs w:val="1"/>
                <w:color w:val="auto"/>
              </w:rPr>
              <w:t>Exhibit Description</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Form</w:t>
            </w: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File No.</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0" w:type="dxa"/>
            <w:vAlign w:val="bottom"/>
          </w:tcPr>
          <w:p>
            <w:pPr>
              <w:spacing w:after="0"/>
              <w:rPr>
                <w:sz w:val="1"/>
                <w:szCs w:val="1"/>
                <w:color w:val="auto"/>
              </w:rPr>
            </w:pPr>
          </w:p>
        </w:tc>
      </w:tr>
      <w:tr>
        <w:trPr>
          <w:trHeight w:val="127"/>
        </w:trPr>
        <w:tc>
          <w:tcPr>
            <w:tcW w:w="1020" w:type="dxa"/>
            <w:vAlign w:val="bottom"/>
            <w:tcBorders>
              <w:top w:val="single" w:sz="8" w:color="auto"/>
            </w:tcBorders>
          </w:tcPr>
          <w:p>
            <w:pPr>
              <w:ind w:left="20"/>
              <w:spacing w:after="0" w:line="127"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1"/>
                <w:szCs w:val="11"/>
                <w:color w:val="auto"/>
              </w:rPr>
            </w:pPr>
          </w:p>
        </w:tc>
        <w:tc>
          <w:tcPr>
            <w:tcW w:w="5580" w:type="dxa"/>
            <w:vAlign w:val="bottom"/>
            <w:tcBorders>
              <w:top w:val="single" w:sz="8" w:color="auto"/>
            </w:tcBorders>
            <w:gridSpan w:val="21"/>
          </w:tcPr>
          <w:p>
            <w:pPr>
              <w:spacing w:after="0" w:line="127"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Amended and Restated Certificate of Incorporation</w:t>
              </w:r>
            </w:hyperlink>
            <w:r>
              <w:rPr>
                <w:rFonts w:ascii="Times New Roman" w:cs="Times New Roman" w:eastAsia="Times New Roman" w:hAnsi="Times New Roman"/>
                <w:sz w:val="14"/>
                <w:szCs w:val="14"/>
                <w:color w:val="000000"/>
              </w:rPr>
              <w:t>.</w:t>
            </w:r>
          </w:p>
        </w:tc>
        <w:tc>
          <w:tcPr>
            <w:tcW w:w="60" w:type="dxa"/>
            <w:vAlign w:val="bottom"/>
          </w:tcPr>
          <w:p>
            <w:pPr>
              <w:spacing w:after="0"/>
              <w:rPr>
                <w:sz w:val="11"/>
                <w:szCs w:val="11"/>
                <w:color w:val="auto"/>
              </w:rPr>
            </w:pPr>
          </w:p>
        </w:tc>
        <w:tc>
          <w:tcPr>
            <w:tcW w:w="9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8-K</w:t>
            </w:r>
          </w:p>
        </w:tc>
        <w:tc>
          <w:tcPr>
            <w:tcW w:w="80" w:type="dxa"/>
            <w:vAlign w:val="bottom"/>
          </w:tcPr>
          <w:p>
            <w:pPr>
              <w:spacing w:after="0"/>
              <w:rPr>
                <w:sz w:val="11"/>
                <w:szCs w:val="11"/>
                <w:color w:val="auto"/>
              </w:rPr>
            </w:pPr>
          </w:p>
        </w:tc>
        <w:tc>
          <w:tcPr>
            <w:tcW w:w="120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001-42790</w:t>
            </w:r>
          </w:p>
        </w:tc>
        <w:tc>
          <w:tcPr>
            <w:tcW w:w="80" w:type="dxa"/>
            <w:vAlign w:val="bottom"/>
          </w:tcPr>
          <w:p>
            <w:pPr>
              <w:spacing w:after="0"/>
              <w:rPr>
                <w:sz w:val="11"/>
                <w:szCs w:val="11"/>
                <w:color w:val="auto"/>
              </w:rPr>
            </w:pPr>
          </w:p>
        </w:tc>
        <w:tc>
          <w:tcPr>
            <w:tcW w:w="94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1"/>
                <w:szCs w:val="11"/>
                <w:color w:val="auto"/>
              </w:rPr>
            </w:pPr>
          </w:p>
        </w:tc>
        <w:tc>
          <w:tcPr>
            <w:tcW w:w="12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8/11/2025</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001-42790</w:t>
            </w:r>
          </w:p>
        </w:tc>
        <w:tc>
          <w:tcPr>
            <w:tcW w:w="80" w:type="dxa"/>
            <w:vAlign w:val="bottom"/>
          </w:tcPr>
          <w:p>
            <w:pPr>
              <w:spacing w:after="0" w:line="20" w:lineRule="exact"/>
              <w:rPr>
                <w:sz w:val="1"/>
                <w:szCs w:val="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8/11/2025</w:t>
            </w:r>
          </w:p>
        </w:tc>
        <w:tc>
          <w:tcPr>
            <w:tcW w:w="0" w:type="dxa"/>
            <w:vAlign w:val="bottom"/>
          </w:tcPr>
          <w:p>
            <w:pPr>
              <w:spacing w:after="0" w:line="20" w:lineRule="exact"/>
              <w:rPr>
                <w:sz w:val="1"/>
                <w:szCs w:val="1"/>
                <w:color w:val="auto"/>
              </w:rPr>
            </w:pPr>
          </w:p>
        </w:tc>
      </w:tr>
      <w:tr>
        <w:trPr>
          <w:trHeight w:val="154"/>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40" w:type="dxa"/>
            <w:vAlign w:val="bottom"/>
            <w:gridSpan w:val="22"/>
          </w:tcPr>
          <w:p>
            <w:pPr>
              <w:spacing w:after="0" w:line="154"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Amended and Restated Bylaws.</w:t>
              </w:r>
            </w:hyperlink>
          </w:p>
        </w:tc>
        <w:tc>
          <w:tcPr>
            <w:tcW w:w="100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4"/>
                <w:szCs w:val="14"/>
                <w:color w:val="auto"/>
              </w:rPr>
            </w:pPr>
          </w:p>
        </w:tc>
        <w:tc>
          <w:tcPr>
            <w:tcW w:w="56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Description of the Registrant’s Securities Registered Pursuant to Section 12 of the Securities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1"/>
                <w:szCs w:val="11"/>
                <w:color w:val="auto"/>
              </w:rPr>
            </w:pPr>
          </w:p>
        </w:tc>
        <w:tc>
          <w:tcPr>
            <w:tcW w:w="5300" w:type="dxa"/>
            <w:vAlign w:val="bottom"/>
            <w:tcBorders>
              <w:top w:val="single" w:sz="8" w:color="0000FF"/>
            </w:tcBorders>
            <w:gridSpan w:val="16"/>
          </w:tcPr>
          <w:p>
            <w:pPr>
              <w:spacing w:after="0" w:line="127" w:lineRule="exact"/>
              <w:rPr>
                <w:sz w:val="20"/>
                <w:szCs w:val="20"/>
                <w:color w:val="auto"/>
              </w:rPr>
            </w:pPr>
            <w:r>
              <w:rPr>
                <w:rFonts w:ascii="Times New Roman" w:cs="Times New Roman" w:eastAsia="Times New Roman" w:hAnsi="Times New Roman"/>
                <w:sz w:val="14"/>
                <w:szCs w:val="14"/>
                <w:color w:val="0000FF"/>
              </w:rPr>
              <w:t>Exchange Act of 1934.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333-288733</w:t>
            </w:r>
          </w:p>
        </w:tc>
        <w:tc>
          <w:tcPr>
            <w:tcW w:w="8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6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7/17/2025</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4320" w:type="dxa"/>
            <w:vAlign w:val="bottom"/>
            <w:gridSpan w:val="21"/>
            <w:vMerge w:val="restart"/>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Performance Incentive Plan</w:t>
              </w:r>
            </w:hyperlink>
            <w:r>
              <w:rPr>
                <w:rFonts w:ascii="Times New Roman" w:cs="Times New Roman" w:eastAsia="Times New Roman" w:hAnsi="Times New Roman"/>
                <w:sz w:val="14"/>
                <w:szCs w:val="14"/>
                <w:color w:val="000000"/>
              </w:rPr>
              <w:t>.</w:t>
            </w:r>
          </w:p>
        </w:tc>
        <w:tc>
          <w:tcPr>
            <w:tcW w:w="1000" w:type="dxa"/>
            <w:vAlign w:val="bottom"/>
            <w:gridSpan w:val="2"/>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line="141"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Heartflow, Inc. 2025</w:t>
              </w:r>
            </w:hyperlink>
          </w:p>
        </w:tc>
        <w:tc>
          <w:tcPr>
            <w:tcW w:w="4320" w:type="dxa"/>
            <w:vAlign w:val="bottom"/>
            <w:gridSpan w:val="21"/>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4"/>
                <w:szCs w:val="14"/>
                <w:color w:val="auto"/>
              </w:rPr>
            </w:pPr>
          </w:p>
        </w:tc>
        <w:tc>
          <w:tcPr>
            <w:tcW w:w="5640" w:type="dxa"/>
            <w:vAlign w:val="bottom"/>
            <w:gridSpan w:val="22"/>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Heartflow, Inc. 2025 Performance Incentive Plan Form of Option Agreement (Employee)</w:t>
              </w:r>
            </w:hyperlink>
            <w:r>
              <w:rPr>
                <w:rFonts w:ascii="Times New Roman" w:cs="Times New Roman" w:eastAsia="Times New Roman" w:hAnsi="Times New Roman"/>
                <w:sz w:val="14"/>
                <w:szCs w:val="14"/>
                <w:color w:val="0000FF"/>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001-42790</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9/19/2025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4"/>
                <w:szCs w:val="14"/>
                <w:color w:val="auto"/>
              </w:rPr>
            </w:pPr>
          </w:p>
        </w:tc>
        <w:tc>
          <w:tcPr>
            <w:tcW w:w="5640" w:type="dxa"/>
            <w:vAlign w:val="bottom"/>
            <w:gridSpan w:val="22"/>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Heartflow, Inc. 2025 Performance Incentive Plan Form of Option Agreement (Director)</w:t>
              </w:r>
            </w:hyperlink>
            <w:r>
              <w:rPr>
                <w:rFonts w:ascii="Times New Roman" w:cs="Times New Roman" w:eastAsia="Times New Roman" w:hAnsi="Times New Roman"/>
                <w:sz w:val="14"/>
                <w:szCs w:val="14"/>
                <w:color w:val="0000FF"/>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001-42790</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9/19/2025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c>
          <w:tcPr>
            <w:tcW w:w="5640" w:type="dxa"/>
            <w:vAlign w:val="bottom"/>
            <w:gridSpan w:val="22"/>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Heartflow, Inc. 2025 Performance Incentive Plan Form of Restricted Stock Unit Agreement.</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001-42790</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9/19/2025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4"/>
                <w:szCs w:val="14"/>
                <w:color w:val="auto"/>
              </w:rPr>
            </w:pPr>
          </w:p>
        </w:tc>
        <w:tc>
          <w:tcPr>
            <w:tcW w:w="5640" w:type="dxa"/>
            <w:vAlign w:val="bottom"/>
            <w:gridSpan w:val="22"/>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Heartflow, Inc. 2025 Employee Stock Purchase Plan</w:t>
              </w:r>
            </w:hyperlink>
            <w:r>
              <w:rPr>
                <w:rFonts w:ascii="Times New Roman" w:cs="Times New Roman" w:eastAsia="Times New Roman" w:hAnsi="Times New Roman"/>
                <w:sz w:val="14"/>
                <w:szCs w:val="14"/>
                <w:color w:val="000000"/>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333-288733</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7/17/2025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4"/>
                <w:szCs w:val="14"/>
                <w:color w:val="auto"/>
              </w:rPr>
            </w:pPr>
          </w:p>
        </w:tc>
        <w:tc>
          <w:tcPr>
            <w:tcW w:w="5640" w:type="dxa"/>
            <w:vAlign w:val="bottom"/>
            <w:gridSpan w:val="22"/>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Heartflow, Inc. Senior Leadership Severance Policy.</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333-288733</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7/17/2025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4"/>
                <w:szCs w:val="14"/>
                <w:color w:val="auto"/>
              </w:rPr>
            </w:pPr>
          </w:p>
        </w:tc>
        <w:tc>
          <w:tcPr>
            <w:tcW w:w="56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Heartflow, Inc. Director Compensation Policy</w:t>
            </w:r>
            <w:r>
              <w:rPr>
                <w:rFonts w:ascii="Times New Roman" w:cs="Times New Roman" w:eastAsia="Times New Roman" w:hAnsi="Times New Roman"/>
                <w:sz w:val="14"/>
                <w:szCs w:val="14"/>
                <w:color w:val="000000"/>
              </w:rPr>
              <w:t>.</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4"/>
                <w:szCs w:val="14"/>
                <w:color w:val="auto"/>
              </w:rPr>
            </w:pPr>
          </w:p>
        </w:tc>
        <w:tc>
          <w:tcPr>
            <w:tcW w:w="5640" w:type="dxa"/>
            <w:vAlign w:val="bottom"/>
            <w:gridSpan w:val="22"/>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Indemnification Agreement for Directors and Officers.</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333-288733</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10.9</w:t>
            </w:r>
          </w:p>
        </w:tc>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4"/>
                <w:szCs w:val="14"/>
                <w:color w:val="auto"/>
              </w:rPr>
            </w:pPr>
          </w:p>
        </w:tc>
        <w:tc>
          <w:tcPr>
            <w:tcW w:w="5640" w:type="dxa"/>
            <w:vAlign w:val="bottom"/>
            <w:gridSpan w:val="22"/>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Lease, dated August 9, 2021, by and between MV Campus Owner, LLC and HeartFlow, Inc.</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333-288733</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7/17/2025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4"/>
                <w:szCs w:val="14"/>
                <w:color w:val="auto"/>
              </w:rPr>
            </w:pPr>
          </w:p>
        </w:tc>
        <w:tc>
          <w:tcPr>
            <w:tcW w:w="56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Insider Trading Compliance Policy and Procedures</w:t>
            </w:r>
            <w:r>
              <w:rPr>
                <w:rFonts w:ascii="Times New Roman" w:cs="Times New Roman" w:eastAsia="Times New Roman" w:hAnsi="Times New Roman"/>
                <w:sz w:val="14"/>
                <w:szCs w:val="14"/>
                <w:color w:val="000000"/>
              </w:rPr>
              <w:t>.</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4"/>
                <w:szCs w:val="14"/>
                <w:color w:val="auto"/>
              </w:rPr>
            </w:pPr>
          </w:p>
        </w:tc>
        <w:tc>
          <w:tcPr>
            <w:tcW w:w="56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Subsidiaries of Heartflow, Inc.</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4"/>
                <w:szCs w:val="14"/>
                <w:color w:val="auto"/>
              </w:rPr>
            </w:pPr>
          </w:p>
        </w:tc>
        <w:tc>
          <w:tcPr>
            <w:tcW w:w="56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Consent of PricewaterhouseCoopers LLP, independent registered accounting firm</w:t>
            </w:r>
            <w:r>
              <w:rPr>
                <w:rFonts w:ascii="Times New Roman" w:cs="Times New Roman" w:eastAsia="Times New Roman" w:hAnsi="Times New Roman"/>
                <w:sz w:val="14"/>
                <w:szCs w:val="14"/>
                <w:color w:val="000000"/>
              </w:rPr>
              <w:t>.</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4"/>
                <w:szCs w:val="14"/>
                <w:color w:val="auto"/>
              </w:rPr>
            </w:pPr>
          </w:p>
        </w:tc>
        <w:tc>
          <w:tcPr>
            <w:tcW w:w="4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Power of Attorney (included on signature page to this Annual Report on Form 10-K).</w:t>
            </w:r>
          </w:p>
        </w:tc>
        <w:tc>
          <w:tcPr>
            <w:tcW w:w="780" w:type="dxa"/>
            <w:vAlign w:val="bottom"/>
            <w:gridSpan w:val="12"/>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4"/>
                <w:szCs w:val="14"/>
                <w:color w:val="auto"/>
              </w:rPr>
            </w:pPr>
          </w:p>
        </w:tc>
        <w:tc>
          <w:tcPr>
            <w:tcW w:w="56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Security Exchange Act Rules 13a-14(a)</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1"/>
                <w:szCs w:val="11"/>
                <w:color w:val="auto"/>
              </w:rPr>
            </w:pPr>
          </w:p>
        </w:tc>
        <w:tc>
          <w:tcPr>
            <w:tcW w:w="5460" w:type="dxa"/>
            <w:vAlign w:val="bottom"/>
            <w:tcBorders>
              <w:top w:val="single" w:sz="8" w:color="0000FF"/>
            </w:tcBorders>
            <w:gridSpan w:val="18"/>
          </w:tcPr>
          <w:p>
            <w:pPr>
              <w:spacing w:after="0" w:line="127" w:lineRule="exact"/>
              <w:rPr>
                <w:sz w:val="20"/>
                <w:szCs w:val="20"/>
                <w:color w:val="auto"/>
              </w:rPr>
            </w:pPr>
            <w:r>
              <w:rPr>
                <w:rFonts w:ascii="Times New Roman" w:cs="Times New Roman" w:eastAsia="Times New Roman" w:hAnsi="Times New Roman"/>
                <w:sz w:val="14"/>
                <w:szCs w:val="14"/>
                <w:color w:val="0000FF"/>
              </w:rPr>
              <w:t>and 15d-14(a), as adopted pursuant to Section 302 of the Sarbanes-Oxley Act of 2002</w:t>
            </w:r>
            <w:r>
              <w:rPr>
                <w:rFonts w:ascii="Times New Roman" w:cs="Times New Roman" w:eastAsia="Times New Roman" w:hAnsi="Times New Roman"/>
                <w:sz w:val="14"/>
                <w:szCs w:val="14"/>
                <w:color w:val="000000"/>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74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FF"/>
              </w:rPr>
              <w:t>13a-14(a)</w:t>
            </w: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900" w:type="dxa"/>
            <w:vAlign w:val="bottom"/>
            <w:gridSpan w:val="11"/>
          </w:tcPr>
          <w:p>
            <w:pPr>
              <w:spacing w:after="0" w:line="14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Security Exchange Act Rules</w:t>
            </w:r>
          </w:p>
        </w:tc>
        <w:tc>
          <w:tcPr>
            <w:tcW w:w="740" w:type="dxa"/>
            <w:vAlign w:val="bottom"/>
            <w:gridSpan w:val="11"/>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1"/>
                <w:szCs w:val="11"/>
                <w:color w:val="auto"/>
              </w:rPr>
            </w:pPr>
          </w:p>
        </w:tc>
        <w:tc>
          <w:tcPr>
            <w:tcW w:w="5420" w:type="dxa"/>
            <w:vAlign w:val="bottom"/>
            <w:tcBorders>
              <w:top w:val="single" w:sz="8" w:color="0000FF"/>
            </w:tcBorders>
            <w:gridSpan w:val="17"/>
          </w:tcPr>
          <w:p>
            <w:pPr>
              <w:spacing w:after="0" w:line="127" w:lineRule="exact"/>
              <w:rPr>
                <w:sz w:val="20"/>
                <w:szCs w:val="20"/>
                <w:color w:val="auto"/>
              </w:rPr>
            </w:pPr>
            <w:r>
              <w:rPr>
                <w:rFonts w:ascii="Times New Roman" w:cs="Times New Roman" w:eastAsia="Times New Roman" w:hAnsi="Times New Roman"/>
                <w:sz w:val="14"/>
                <w:szCs w:val="14"/>
                <w:color w:val="0000FF"/>
              </w:rPr>
              <w:t>and 15d-14(a), as adopted pursuant to Section 302 of the Sarbanes-Oxley Act of 2002</w:t>
            </w:r>
            <w:r>
              <w:rPr>
                <w:rFonts w:ascii="Times New Roman" w:cs="Times New Roman" w:eastAsia="Times New Roman" w:hAnsi="Times New Roman"/>
                <w:sz w:val="14"/>
                <w:szCs w:val="14"/>
                <w:color w:val="000000"/>
              </w:rPr>
              <w:t>.</w:t>
            </w: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40" w:type="dxa"/>
            <w:vAlign w:val="bottom"/>
            <w:gridSpan w:val="22"/>
          </w:tcPr>
          <w:p>
            <w:pPr>
              <w:spacing w:after="0" w:line="141" w:lineRule="exact"/>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1"/>
                <w:szCs w:val="11"/>
                <w:color w:val="auto"/>
              </w:rPr>
            </w:pPr>
          </w:p>
        </w:tc>
        <w:tc>
          <w:tcPr>
            <w:tcW w:w="5560" w:type="dxa"/>
            <w:vAlign w:val="bottom"/>
            <w:tcBorders>
              <w:top w:val="single" w:sz="8" w:color="0000FF"/>
            </w:tcBorders>
            <w:gridSpan w:val="20"/>
          </w:tcPr>
          <w:p>
            <w:pPr>
              <w:spacing w:after="0" w:line="127" w:lineRule="exact"/>
              <w:rPr>
                <w:sz w:val="20"/>
                <w:szCs w:val="20"/>
                <w:color w:val="auto"/>
              </w:rPr>
            </w:pPr>
            <w:r>
              <w:rPr>
                <w:rFonts w:ascii="Times New Roman" w:cs="Times New Roman" w:eastAsia="Times New Roman" w:hAnsi="Times New Roman"/>
                <w:sz w:val="14"/>
                <w:szCs w:val="14"/>
                <w:color w:val="0000FF"/>
              </w:rPr>
              <w:t>to Section 906 of the Sarbanes-Oxley Act of 2002</w:t>
            </w:r>
            <w:r>
              <w:rPr>
                <w:rFonts w:ascii="Times New Roman" w:cs="Times New Roman" w:eastAsia="Times New Roman" w:hAnsi="Times New Roman"/>
                <w:sz w:val="14"/>
                <w:szCs w:val="14"/>
                <w:color w:val="000000"/>
              </w:rPr>
              <w:t>.</w:t>
            </w:r>
          </w:p>
        </w:tc>
        <w:tc>
          <w:tcPr>
            <w:tcW w:w="8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280" w:type="dxa"/>
            <w:vAlign w:val="bottom"/>
            <w:tcBorders>
              <w:left w:val="single" w:sz="8" w:color="0000FF"/>
            </w:tcBorders>
            <w:gridSpan w:val="4"/>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40" w:type="dxa"/>
            <w:vAlign w:val="bottom"/>
            <w:gridSpan w:val="22"/>
          </w:tcPr>
          <w:p>
            <w:pPr>
              <w:spacing w:after="0" w:line="141" w:lineRule="exact"/>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11"/>
                <w:szCs w:val="11"/>
                <w:color w:val="auto"/>
              </w:rPr>
            </w:pPr>
          </w:p>
        </w:tc>
        <w:tc>
          <w:tcPr>
            <w:tcW w:w="5520" w:type="dxa"/>
            <w:vAlign w:val="bottom"/>
            <w:tcBorders>
              <w:top w:val="single" w:sz="8" w:color="0000FF"/>
            </w:tcBorders>
            <w:gridSpan w:val="19"/>
          </w:tcPr>
          <w:p>
            <w:pPr>
              <w:spacing w:after="0" w:line="127" w:lineRule="exact"/>
              <w:rPr>
                <w:sz w:val="20"/>
                <w:szCs w:val="20"/>
                <w:color w:val="auto"/>
              </w:rPr>
            </w:pPr>
            <w:r>
              <w:rPr>
                <w:rFonts w:ascii="Times New Roman" w:cs="Times New Roman" w:eastAsia="Times New Roman" w:hAnsi="Times New Roman"/>
                <w:sz w:val="14"/>
                <w:szCs w:val="14"/>
                <w:color w:val="0000FF"/>
              </w:rPr>
              <w:t>to Section 906 of the Sarbanes-Oxley Act of 2002</w:t>
            </w:r>
            <w:r>
              <w:rPr>
                <w:rFonts w:ascii="Times New Roman" w:cs="Times New Roman" w:eastAsia="Times New Roman" w:hAnsi="Times New Roman"/>
                <w:sz w:val="14"/>
                <w:szCs w:val="14"/>
                <w:color w:val="000000"/>
              </w:rPr>
              <w:t>.</w:t>
            </w:r>
          </w:p>
        </w:tc>
        <w:tc>
          <w:tcPr>
            <w:tcW w:w="120" w:type="dxa"/>
            <w:vAlign w:val="bottom"/>
            <w:gridSpan w:val="3"/>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280" w:type="dxa"/>
            <w:vAlign w:val="bottom"/>
            <w:tcBorders>
              <w:left w:val="single" w:sz="8" w:color="0000FF"/>
            </w:tcBorders>
            <w:gridSpan w:val="4"/>
          </w:tcPr>
          <w:p>
            <w:pPr>
              <w:spacing w:after="0" w:line="20" w:lineRule="exact"/>
              <w:rPr>
                <w:sz w:val="1"/>
                <w:szCs w:val="1"/>
                <w:color w:val="auto"/>
              </w:rPr>
            </w:pPr>
          </w:p>
        </w:tc>
        <w:tc>
          <w:tcPr>
            <w:tcW w:w="158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40" w:type="dxa"/>
            <w:vAlign w:val="bottom"/>
            <w:gridSpan w:val="22"/>
          </w:tcPr>
          <w:p>
            <w:pPr>
              <w:spacing w:after="0" w:line="141" w:lineRule="exact"/>
              <w:rPr>
                <w:sz w:val="20"/>
                <w:szCs w:val="20"/>
                <w:color w:val="auto"/>
              </w:rPr>
            </w:pPr>
            <w:r>
              <w:rPr>
                <w:rFonts w:ascii="Times New Roman" w:cs="Times New Roman" w:eastAsia="Times New Roman" w:hAnsi="Times New Roman"/>
                <w:sz w:val="14"/>
                <w:szCs w:val="14"/>
                <w:color w:val="0000FF"/>
              </w:rPr>
              <w:t>Policy Regarding the Recoupment of Certain Compensation Payments.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4060" w:type="dxa"/>
            <w:vAlign w:val="bottom"/>
            <w:tcBorders>
              <w:right w:val="single" w:sz="8" w:color="0000EE"/>
            </w:tcBorders>
            <w:gridSpan w:val="8"/>
            <w:shd w:val="clear" w:color="auto" w:fill="0000FF"/>
          </w:tcPr>
          <w:p>
            <w:pPr>
              <w:spacing w:after="0" w:line="20" w:lineRule="exact"/>
              <w:rPr>
                <w:sz w:val="1"/>
                <w:szCs w:val="1"/>
                <w:color w:val="auto"/>
              </w:rPr>
            </w:pPr>
          </w:p>
        </w:tc>
        <w:tc>
          <w:tcPr>
            <w:tcW w:w="158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1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color w:val="auto"/>
              </w:rPr>
              <w:t>101.INS+</w:t>
            </w:r>
          </w:p>
        </w:tc>
        <w:tc>
          <w:tcPr>
            <w:tcW w:w="5640" w:type="dxa"/>
            <w:vAlign w:val="bottom"/>
            <w:gridSpan w:val="22"/>
          </w:tcPr>
          <w:p>
            <w:pPr>
              <w:spacing w:after="0" w:line="158" w:lineRule="exact"/>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File because XBRL tags are embedded within the Inline XBRL document.</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56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56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7840" w:firstLine="7"/>
        <w:spacing w:after="0" w:line="266" w:lineRule="auto"/>
        <w:tabs>
          <w:tab w:leader="none" w:pos="321" w:val="left"/>
        </w:tabs>
        <w:numPr>
          <w:ilvl w:val="0"/>
          <w:numId w:val="48"/>
        </w:numPr>
        <w:rPr>
          <w:rFonts w:ascii="Arial" w:cs="Arial" w:eastAsia="Arial" w:hAnsi="Arial"/>
          <w:sz w:val="13"/>
          <w:szCs w:val="13"/>
          <w:color w:val="auto"/>
        </w:rPr>
      </w:pPr>
      <w:r>
        <w:rPr>
          <w:rFonts w:ascii="Times New Roman" w:cs="Times New Roman" w:eastAsia="Times New Roman" w:hAnsi="Times New Roman"/>
          <w:sz w:val="14"/>
          <w:szCs w:val="14"/>
          <w:color w:val="auto"/>
        </w:rPr>
        <w:t xml:space="preserve">Indicates management contract or compensatory plan. </w:t>
      </w:r>
      <w:r>
        <w:rPr>
          <w:rFonts w:ascii="Arial" w:cs="Arial" w:eastAsia="Arial" w:hAnsi="Arial"/>
          <w:sz w:val="13"/>
          <w:szCs w:val="13"/>
          <w:color w:val="auto"/>
        </w:rPr>
        <w:t xml:space="preserve">+ </w:t>
      </w:r>
      <w:r>
        <w:rPr>
          <w:rFonts w:ascii="Times New Roman" w:cs="Times New Roman" w:eastAsia="Times New Roman" w:hAnsi="Times New Roman"/>
          <w:sz w:val="14"/>
          <w:szCs w:val="14"/>
          <w:color w:val="auto"/>
        </w:rPr>
        <w:t>Filed herewith.</w:t>
      </w:r>
    </w:p>
    <w:p>
      <w:pPr>
        <w:ind w:left="320" w:right="120" w:hanging="321"/>
        <w:spacing w:after="0" w:line="238" w:lineRule="auto"/>
        <w:rPr>
          <w:rFonts w:ascii="Arial" w:cs="Arial" w:eastAsia="Arial" w:hAnsi="Arial"/>
          <w:sz w:val="13"/>
          <w:szCs w:val="13"/>
          <w:color w:val="auto"/>
        </w:rPr>
      </w:pPr>
      <w:r>
        <w:rPr>
          <w:rFonts w:ascii="Times New Roman" w:cs="Times New Roman" w:eastAsia="Times New Roman" w:hAnsi="Times New Roman"/>
          <w:sz w:val="14"/>
          <w:szCs w:val="14"/>
          <w:color w:val="auto"/>
        </w:rPr>
        <w:t>* The certification attached as Exhibit 32.1 and Exhibit 32.2 that accompanies this Annual Report on Form 10-K pursuant to 18 U.S.C. Section 1350, as adopted pursuant to Section 906 of the Sarbanes-Oxley Act of 2002, is not deemed “filed” by the Registrant for purposes of Section 18 of the Securities Exchange Act of 1934, as amended.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212529"/>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HEARTFLOW, INC.</w:t>
      </w:r>
    </w:p>
    <w:p>
      <w:pPr>
        <w:spacing w:after="0" w:line="251" w:lineRule="exact"/>
        <w:rPr>
          <w:sz w:val="20"/>
          <w:szCs w:val="20"/>
          <w:color w:val="auto"/>
        </w:rPr>
      </w:pPr>
    </w:p>
    <w:p>
      <w:pPr>
        <w:ind w:left="5740" w:right="3180" w:hanging="6398"/>
        <w:spacing w:after="0" w:line="294" w:lineRule="auto"/>
        <w:tabs>
          <w:tab w:leader="none" w:pos="5720" w:val="left"/>
        </w:tabs>
        <w:rPr>
          <w:sz w:val="20"/>
          <w:szCs w:val="20"/>
          <w:color w:val="auto"/>
        </w:rPr>
      </w:pPr>
      <w:r>
        <w:rPr>
          <w:rFonts w:ascii="Times New Roman" w:cs="Times New Roman" w:eastAsia="Times New Roman" w:hAnsi="Times New Roman"/>
          <w:sz w:val="18"/>
          <w:szCs w:val="18"/>
          <w:color w:val="auto"/>
        </w:rPr>
        <w:t>Date: March 18, 2026</w:t>
      </w:r>
      <w:r>
        <w:rPr>
          <w:sz w:val="20"/>
          <w:szCs w:val="20"/>
          <w:color w:val="auto"/>
        </w:rPr>
        <w:tab/>
      </w:r>
      <w:r>
        <w:rPr>
          <w:rFonts w:ascii="Times New Roman" w:cs="Times New Roman" w:eastAsia="Times New Roman" w:hAnsi="Times New Roman"/>
          <w:sz w:val="18"/>
          <w:szCs w:val="18"/>
          <w:color w:val="auto"/>
        </w:rPr>
        <w:t>By: /s/ John C.M. Farquhar John C.M. Farquhar</w:t>
      </w:r>
    </w:p>
    <w:p>
      <w:pPr>
        <w:spacing w:after="0" w:line="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96" w:lineRule="exact"/>
        <w:rPr>
          <w:sz w:val="20"/>
          <w:szCs w:val="20"/>
          <w:color w:val="auto"/>
        </w:rPr>
      </w:pPr>
    </w:p>
    <w:p>
      <w:pPr>
        <w:ind w:left="20"/>
        <w:spacing w:after="0"/>
        <w:tabs>
          <w:tab w:leader="none" w:pos="5720" w:val="left"/>
          <w:tab w:leader="none" w:pos="6400" w:val="left"/>
        </w:tabs>
        <w:rPr>
          <w:sz w:val="20"/>
          <w:szCs w:val="20"/>
          <w:color w:val="auto"/>
        </w:rPr>
      </w:pPr>
      <w:r>
        <w:rPr>
          <w:rFonts w:ascii="Times New Roman" w:cs="Times New Roman" w:eastAsia="Times New Roman" w:hAnsi="Times New Roman"/>
          <w:sz w:val="18"/>
          <w:szCs w:val="18"/>
          <w:color w:val="auto"/>
        </w:rPr>
        <w:t>Date: March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Vikram Verghese</w:t>
      </w:r>
    </w:p>
    <w:p>
      <w:pPr>
        <w:spacing w:after="0" w:line="6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Vikram Verghese</w:t>
      </w:r>
    </w:p>
    <w:p>
      <w:pPr>
        <w:spacing w:after="0" w:line="4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1"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231F20"/>
        </w:rPr>
        <w:t xml:space="preserve">KNOW ALL PERSONS BY THESE PRESENTS, that each person whose signature appears below constitutes and appoints </w:t>
      </w:r>
      <w:r>
        <w:rPr>
          <w:rFonts w:ascii="Times New Roman" w:cs="Times New Roman" w:eastAsia="Times New Roman" w:hAnsi="Times New Roman"/>
          <w:sz w:val="18"/>
          <w:szCs w:val="18"/>
          <w:color w:val="000000"/>
        </w:rPr>
        <w:t>John C.M. Farquhar, Vikram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Verghese or Angela Ahmad</w:t>
      </w:r>
      <w:r>
        <w:rPr>
          <w:rFonts w:ascii="Times New Roman" w:cs="Times New Roman" w:eastAsia="Times New Roman" w:hAnsi="Times New Roman"/>
          <w:sz w:val="18"/>
          <w:szCs w:val="18"/>
          <w:color w:val="231F20"/>
        </w:rPr>
        <w:t>, and each of them, his or her true and lawful attorneys-in-fact and agents, with full power of substitution and resubstitution,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him or her and in his or her name, place, and stead, in any and all capacities, to sign any and all amendments to this </w:t>
      </w:r>
      <w:r>
        <w:rPr>
          <w:rFonts w:ascii="Times New Roman" w:cs="Times New Roman" w:eastAsia="Times New Roman" w:hAnsi="Times New Roman"/>
          <w:sz w:val="18"/>
          <w:szCs w:val="18"/>
          <w:color w:val="000000"/>
        </w:rPr>
        <w:t>Annual Report on Form 10-K, and to file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same, with all exhibits thereto</w:t>
      </w:r>
      <w:r>
        <w:rPr>
          <w:rFonts w:ascii="Times New Roman" w:cs="Times New Roman" w:eastAsia="Times New Roman" w:hAnsi="Times New Roman"/>
          <w:sz w:val="18"/>
          <w:szCs w:val="18"/>
          <w:color w:val="231F20"/>
        </w:rPr>
        <w:t>, and all other documents in connection therewith, with the Securities and Exchange Commission, granting unto each said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32" w:lineRule="exact"/>
        <w:rPr>
          <w:sz w:val="20"/>
          <w:szCs w:val="20"/>
          <w:color w:val="auto"/>
        </w:rPr>
      </w:pPr>
    </w:p>
    <w:p>
      <w:pPr>
        <w:ind w:right="520"/>
        <w:spacing w:after="0" w:line="246"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as amended, this Annual Report on Form 10-K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60" w:type="dxa"/>
            <w:vAlign w:val="bottom"/>
          </w:tcPr>
          <w:p>
            <w:pPr>
              <w:spacing w:after="0"/>
              <w:rPr>
                <w:sz w:val="17"/>
                <w:szCs w:val="17"/>
                <w:color w:val="auto"/>
              </w:rPr>
            </w:pP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60" w:type="dxa"/>
            <w:vAlign w:val="bottom"/>
          </w:tcPr>
          <w:p>
            <w:pPr>
              <w:spacing w:after="0"/>
              <w:rPr>
                <w:sz w:val="17"/>
                <w:szCs w:val="17"/>
                <w:color w:val="auto"/>
              </w:rPr>
            </w:pPr>
          </w:p>
        </w:tc>
        <w:tc>
          <w:tcPr>
            <w:tcW w:w="2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187"/>
        </w:trPr>
        <w:tc>
          <w:tcPr>
            <w:tcW w:w="364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/s/ John C.M. Farquhar</w:t>
            </w:r>
          </w:p>
        </w:tc>
        <w:tc>
          <w:tcPr>
            <w:tcW w:w="60" w:type="dxa"/>
            <w:vAlign w:val="bottom"/>
          </w:tcPr>
          <w:p>
            <w:pPr>
              <w:spacing w:after="0"/>
              <w:rPr>
                <w:sz w:val="16"/>
                <w:szCs w:val="16"/>
                <w:color w:val="auto"/>
              </w:rPr>
            </w:pPr>
          </w:p>
        </w:tc>
        <w:tc>
          <w:tcPr>
            <w:tcW w:w="5500" w:type="dxa"/>
            <w:vAlign w:val="bottom"/>
            <w:gridSpan w:val="2"/>
          </w:tcPr>
          <w:p>
            <w:pPr>
              <w:jc w:val="center"/>
              <w:ind w:right="60"/>
              <w:spacing w:after="0" w:line="187" w:lineRule="exact"/>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20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155"/>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John C.M. Farquhar</w:t>
            </w:r>
          </w:p>
        </w:tc>
        <w:tc>
          <w:tcPr>
            <w:tcW w:w="5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700" w:type="dxa"/>
            <w:vAlign w:val="bottom"/>
            <w:gridSpan w:val="2"/>
            <w:vMerge w:val="continue"/>
          </w:tcPr>
          <w:p>
            <w:pPr>
              <w:spacing w:after="0"/>
              <w:rPr>
                <w:sz w:val="8"/>
                <w:szCs w:val="8"/>
                <w:color w:val="auto"/>
              </w:rPr>
            </w:pPr>
          </w:p>
        </w:tc>
        <w:tc>
          <w:tcPr>
            <w:tcW w:w="5500" w:type="dxa"/>
            <w:vAlign w:val="bottom"/>
            <w:gridSpan w:val="2"/>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Vikram Verghese</w:t>
            </w:r>
          </w:p>
        </w:tc>
        <w:tc>
          <w:tcPr>
            <w:tcW w:w="5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20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155"/>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Vikram Verghese</w:t>
            </w:r>
          </w:p>
        </w:tc>
        <w:tc>
          <w:tcPr>
            <w:tcW w:w="5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2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700" w:type="dxa"/>
            <w:vAlign w:val="bottom"/>
            <w:gridSpan w:val="2"/>
            <w:vMerge w:val="continue"/>
          </w:tcPr>
          <w:p>
            <w:pPr>
              <w:spacing w:after="0"/>
              <w:rPr>
                <w:sz w:val="8"/>
                <w:szCs w:val="8"/>
                <w:color w:val="auto"/>
              </w:rPr>
            </w:pPr>
          </w:p>
        </w:tc>
        <w:tc>
          <w:tcPr>
            <w:tcW w:w="5500" w:type="dxa"/>
            <w:vAlign w:val="bottom"/>
            <w:gridSpan w:val="2"/>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Mhairi L. Jones</w:t>
            </w:r>
          </w:p>
        </w:tc>
        <w:tc>
          <w:tcPr>
            <w:tcW w:w="5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0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155"/>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Mhairi L. Jones</w:t>
            </w:r>
          </w:p>
        </w:tc>
        <w:tc>
          <w:tcPr>
            <w:tcW w:w="5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2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700" w:type="dxa"/>
            <w:vAlign w:val="bottom"/>
            <w:gridSpan w:val="2"/>
            <w:vMerge w:val="continue"/>
          </w:tcPr>
          <w:p>
            <w:pPr>
              <w:spacing w:after="0"/>
              <w:rPr>
                <w:sz w:val="8"/>
                <w:szCs w:val="8"/>
                <w:color w:val="auto"/>
              </w:rPr>
            </w:pPr>
          </w:p>
        </w:tc>
        <w:tc>
          <w:tcPr>
            <w:tcW w:w="5500" w:type="dxa"/>
            <w:vAlign w:val="bottom"/>
            <w:gridSpan w:val="2"/>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William C. Weldon</w:t>
            </w:r>
          </w:p>
        </w:tc>
        <w:tc>
          <w:tcPr>
            <w:tcW w:w="5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Chair of the Board of Directors</w:t>
            </w:r>
          </w:p>
        </w:tc>
        <w:tc>
          <w:tcPr>
            <w:tcW w:w="20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13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William C. Weldon</w:t>
            </w:r>
          </w:p>
        </w:tc>
        <w:tc>
          <w:tcPr>
            <w:tcW w:w="5500" w:type="dxa"/>
            <w:vAlign w:val="bottom"/>
            <w:gridSpan w:val="2"/>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00" w:type="dxa"/>
            <w:vAlign w:val="bottom"/>
            <w:gridSpan w:val="2"/>
            <w:vMerge w:val="continue"/>
          </w:tcPr>
          <w:p>
            <w:pPr>
              <w:spacing w:after="0"/>
              <w:rPr>
                <w:sz w:val="8"/>
                <w:szCs w:val="8"/>
                <w:color w:val="auto"/>
              </w:rPr>
            </w:pPr>
          </w:p>
        </w:tc>
        <w:tc>
          <w:tcPr>
            <w:tcW w:w="5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Timothy C. Barabe</w:t>
            </w:r>
          </w:p>
        </w:tc>
        <w:tc>
          <w:tcPr>
            <w:tcW w:w="5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13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Timothy C. Barabe</w:t>
            </w:r>
          </w:p>
        </w:tc>
        <w:tc>
          <w:tcPr>
            <w:tcW w:w="5500" w:type="dxa"/>
            <w:vAlign w:val="bottom"/>
            <w:gridSpan w:val="2"/>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00" w:type="dxa"/>
            <w:vAlign w:val="bottom"/>
            <w:gridSpan w:val="2"/>
            <w:vMerge w:val="continue"/>
          </w:tcPr>
          <w:p>
            <w:pPr>
              <w:spacing w:after="0"/>
              <w:rPr>
                <w:sz w:val="8"/>
                <w:szCs w:val="8"/>
                <w:color w:val="auto"/>
              </w:rPr>
            </w:pPr>
          </w:p>
        </w:tc>
        <w:tc>
          <w:tcPr>
            <w:tcW w:w="5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Julie A. Cullivan</w:t>
            </w:r>
          </w:p>
        </w:tc>
        <w:tc>
          <w:tcPr>
            <w:tcW w:w="5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13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Julie A. Cullivan</w:t>
            </w:r>
          </w:p>
        </w:tc>
        <w:tc>
          <w:tcPr>
            <w:tcW w:w="5500" w:type="dxa"/>
            <w:vAlign w:val="bottom"/>
            <w:gridSpan w:val="2"/>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00" w:type="dxa"/>
            <w:vAlign w:val="bottom"/>
            <w:gridSpan w:val="2"/>
            <w:vMerge w:val="continue"/>
          </w:tcPr>
          <w:p>
            <w:pPr>
              <w:spacing w:after="0"/>
              <w:rPr>
                <w:sz w:val="8"/>
                <w:szCs w:val="8"/>
                <w:color w:val="auto"/>
              </w:rPr>
            </w:pPr>
          </w:p>
        </w:tc>
        <w:tc>
          <w:tcPr>
            <w:tcW w:w="5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Jeffrey C. Lightcap</w:t>
            </w:r>
          </w:p>
        </w:tc>
        <w:tc>
          <w:tcPr>
            <w:tcW w:w="5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13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Jeffrey C. Lightcap</w:t>
            </w:r>
          </w:p>
        </w:tc>
        <w:tc>
          <w:tcPr>
            <w:tcW w:w="5500" w:type="dxa"/>
            <w:vAlign w:val="bottom"/>
            <w:gridSpan w:val="2"/>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00" w:type="dxa"/>
            <w:vAlign w:val="bottom"/>
            <w:gridSpan w:val="2"/>
            <w:vMerge w:val="continue"/>
          </w:tcPr>
          <w:p>
            <w:pPr>
              <w:spacing w:after="0"/>
              <w:rPr>
                <w:sz w:val="8"/>
                <w:szCs w:val="8"/>
                <w:color w:val="auto"/>
              </w:rPr>
            </w:pPr>
          </w:p>
        </w:tc>
        <w:tc>
          <w:tcPr>
            <w:tcW w:w="5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Wayne J. Riley</w:t>
            </w:r>
          </w:p>
        </w:tc>
        <w:tc>
          <w:tcPr>
            <w:tcW w:w="5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13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Wayne J. Riley, M.D.</w:t>
            </w:r>
          </w:p>
        </w:tc>
        <w:tc>
          <w:tcPr>
            <w:tcW w:w="5500" w:type="dxa"/>
            <w:vAlign w:val="bottom"/>
            <w:gridSpan w:val="2"/>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00" w:type="dxa"/>
            <w:vAlign w:val="bottom"/>
            <w:gridSpan w:val="2"/>
            <w:vMerge w:val="continue"/>
          </w:tcPr>
          <w:p>
            <w:pPr>
              <w:spacing w:after="0"/>
              <w:rPr>
                <w:sz w:val="8"/>
                <w:szCs w:val="8"/>
                <w:color w:val="auto"/>
              </w:rPr>
            </w:pPr>
          </w:p>
        </w:tc>
        <w:tc>
          <w:tcPr>
            <w:tcW w:w="5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70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/s/ Casey M. Tansey</w:t>
            </w:r>
          </w:p>
        </w:tc>
        <w:tc>
          <w:tcPr>
            <w:tcW w:w="5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13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Casey M. Tansey</w:t>
            </w:r>
          </w:p>
        </w:tc>
        <w:tc>
          <w:tcPr>
            <w:tcW w:w="5500" w:type="dxa"/>
            <w:vAlign w:val="bottom"/>
            <w:gridSpan w:val="2"/>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00" w:type="dxa"/>
            <w:vAlign w:val="bottom"/>
            <w:gridSpan w:val="2"/>
            <w:vMerge w:val="continue"/>
          </w:tcPr>
          <w:p>
            <w:pPr>
              <w:spacing w:after="0"/>
              <w:rPr>
                <w:sz w:val="8"/>
                <w:szCs w:val="8"/>
                <w:color w:val="auto"/>
              </w:rPr>
            </w:pPr>
          </w:p>
        </w:tc>
        <w:tc>
          <w:tcPr>
            <w:tcW w:w="5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1"/>
        </w:trPr>
        <w:tc>
          <w:tcPr>
            <w:tcW w:w="3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Pr>
          <w:p>
            <w:pPr>
              <w:jc w:val="right"/>
              <w:ind w:right="3292"/>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34" w:name="page135"/>
    <w:bookmarkEnd w:id="134"/>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9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DESCRIPTION OF HEARTFLOW, INC. SECURITIES</w:t>
      </w:r>
    </w:p>
    <w:p>
      <w:pPr>
        <w:ind w:left="2160"/>
        <w:spacing w:after="0" w:line="195" w:lineRule="auto"/>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392" w:lineRule="exact"/>
        <w:rPr>
          <w:sz w:val="20"/>
          <w:szCs w:val="20"/>
          <w:color w:val="auto"/>
        </w:rPr>
      </w:pPr>
    </w:p>
    <w:p>
      <w:pPr>
        <w:ind w:left="160" w:right="359"/>
        <w:spacing w:after="0" w:line="274" w:lineRule="auto"/>
        <w:rPr>
          <w:sz w:val="20"/>
          <w:szCs w:val="20"/>
          <w:color w:val="auto"/>
        </w:rPr>
      </w:pPr>
      <w:r>
        <w:rPr>
          <w:rFonts w:ascii="Times New Roman" w:cs="Times New Roman" w:eastAsia="Times New Roman" w:hAnsi="Times New Roman"/>
          <w:sz w:val="17"/>
          <w:szCs w:val="17"/>
          <w:i w:val="1"/>
          <w:iCs w:val="1"/>
          <w:color w:val="auto"/>
        </w:rPr>
        <w:t>The following descriptions are summaries of Heartflow, Inc.’s (“our”) capital stock and the material terms of our amended and restated certificate of incorporation and our amended and restated bylaws. Because the following descriptions are only summaries, they do not contain all of the information that may be important to you. Reference is made to the more detailed provisions of, and the descriptions are qualified in their entirety by reference to, these documents, copies of which are filed with the SEC as exhibits to our Annual Report on Form 10-K, and applicable law.</w:t>
      </w:r>
    </w:p>
    <w:p>
      <w:pPr>
        <w:spacing w:after="0" w:line="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authorized capital stock consists of 300,000,000 shares of capital stock, par value $0.001 per share, of which:</w:t>
      </w:r>
    </w:p>
    <w:p>
      <w:pPr>
        <w:spacing w:after="0" w:line="154" w:lineRule="exact"/>
        <w:rPr>
          <w:sz w:val="20"/>
          <w:szCs w:val="20"/>
          <w:color w:val="auto"/>
        </w:rPr>
      </w:pPr>
    </w:p>
    <w:p>
      <w:pPr>
        <w:ind w:left="480" w:hanging="311"/>
        <w:spacing w:after="0"/>
        <w:tabs>
          <w:tab w:leader="none" w:pos="480" w:val="left"/>
        </w:tabs>
        <w:numPr>
          <w:ilvl w:val="0"/>
          <w:numId w:val="49"/>
        </w:numPr>
        <w:rPr>
          <w:rFonts w:ascii="Arial" w:cs="Arial" w:eastAsia="Arial" w:hAnsi="Arial"/>
          <w:sz w:val="18"/>
          <w:szCs w:val="18"/>
          <w:color w:val="auto"/>
        </w:rPr>
      </w:pPr>
      <w:r>
        <w:rPr>
          <w:rFonts w:ascii="Times New Roman" w:cs="Times New Roman" w:eastAsia="Times New Roman" w:hAnsi="Times New Roman"/>
          <w:sz w:val="18"/>
          <w:szCs w:val="18"/>
          <w:color w:val="auto"/>
        </w:rPr>
        <w:t>250,000,000 shares are designated as common stock; and</w:t>
      </w:r>
    </w:p>
    <w:p>
      <w:pPr>
        <w:spacing w:after="0" w:line="152" w:lineRule="exact"/>
        <w:rPr>
          <w:rFonts w:ascii="Arial" w:cs="Arial" w:eastAsia="Arial" w:hAnsi="Arial"/>
          <w:sz w:val="18"/>
          <w:szCs w:val="18"/>
          <w:color w:val="auto"/>
        </w:rPr>
      </w:pPr>
    </w:p>
    <w:p>
      <w:pPr>
        <w:ind w:left="480" w:hanging="311"/>
        <w:spacing w:after="0"/>
        <w:tabs>
          <w:tab w:leader="none" w:pos="480" w:val="left"/>
        </w:tabs>
        <w:numPr>
          <w:ilvl w:val="0"/>
          <w:numId w:val="49"/>
        </w:numPr>
        <w:rPr>
          <w:rFonts w:ascii="Arial" w:cs="Arial" w:eastAsia="Arial" w:hAnsi="Arial"/>
          <w:sz w:val="18"/>
          <w:szCs w:val="18"/>
          <w:color w:val="auto"/>
        </w:rPr>
      </w:pPr>
      <w:r>
        <w:rPr>
          <w:rFonts w:ascii="Times New Roman" w:cs="Times New Roman" w:eastAsia="Times New Roman" w:hAnsi="Times New Roman"/>
          <w:sz w:val="18"/>
          <w:szCs w:val="18"/>
          <w:color w:val="auto"/>
        </w:rPr>
        <w:t>50,000,000 shares are designated as preferred stock.</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Holders of our common stock are entitled to one vote per share on all matters submitted to a vote of stockholders.</w:t>
      </w:r>
    </w:p>
    <w:p>
      <w:pPr>
        <w:spacing w:after="0" w:line="154" w:lineRule="exact"/>
        <w:rPr>
          <w:sz w:val="20"/>
          <w:szCs w:val="20"/>
          <w:color w:val="auto"/>
        </w:rPr>
      </w:pPr>
    </w:p>
    <w:p>
      <w:pPr>
        <w:ind w:left="160" w:right="17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cumulative voting for the election of directors. Subject to the rights of the holders of one or more series of preferred stock, director candidates standing for election are elected by a plurality of the votes cast by our stockholders present in person or represented by proxy at the meeting and entitled to vote thereon. Our amended and restated certificate of incorporation retains a classified board of directors, divided into three classes with staggered three-year terms. Only one class of directors is elected at each annual meeting of our stockholders, with the other classes continuing for the remainder of their respective terms.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4" w:lineRule="exact"/>
        <w:rPr>
          <w:sz w:val="20"/>
          <w:szCs w:val="20"/>
          <w:color w:val="auto"/>
        </w:rPr>
      </w:pPr>
    </w:p>
    <w:p>
      <w:pPr>
        <w:jc w:val="both"/>
        <w:ind w:left="160" w:right="559"/>
        <w:spacing w:after="0" w:line="308" w:lineRule="auto"/>
        <w:rPr>
          <w:sz w:val="20"/>
          <w:szCs w:val="20"/>
          <w:color w:val="auto"/>
        </w:rPr>
      </w:pPr>
      <w:r>
        <w:rPr>
          <w:rFonts w:ascii="Times New Roman" w:cs="Times New Roman" w:eastAsia="Times New Roman" w:hAnsi="Times New Roman"/>
          <w:sz w:val="17"/>
          <w:szCs w:val="17"/>
          <w:color w:val="auto"/>
        </w:rPr>
        <w:t>Subject to preferences that may be applicable to any preferred stock, the holders of our common stock are entitled to receive ratably, on a per share basis, any dividends declared by our board of directors out of assets legally available.</w:t>
      </w:r>
    </w:p>
    <w:p>
      <w:pPr>
        <w:spacing w:after="0" w:line="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58" w:lineRule="exact"/>
        <w:rPr>
          <w:sz w:val="20"/>
          <w:szCs w:val="20"/>
          <w:color w:val="auto"/>
        </w:rPr>
      </w:pPr>
    </w:p>
    <w:p>
      <w:pPr>
        <w:ind w:left="160" w:right="379"/>
        <w:spacing w:after="0" w:line="257" w:lineRule="auto"/>
        <w:rPr>
          <w:sz w:val="20"/>
          <w:szCs w:val="20"/>
          <w:color w:val="auto"/>
        </w:rPr>
      </w:pPr>
      <w:r>
        <w:rPr>
          <w:rFonts w:ascii="Times New Roman" w:cs="Times New Roman" w:eastAsia="Times New Roman" w:hAnsi="Times New Roman"/>
          <w:sz w:val="18"/>
          <w:szCs w:val="18"/>
          <w:color w:val="auto"/>
        </w:rPr>
        <w:t>Subject to preferences that may be applicable to any preferred stock, in the event of any voluntary or involuntary liquidation, dissolution or winding up, after payment or provision for payment of our debts and other liabilities, the holders of shares of our common stock are entitled to receive, ratably in proportion to the number of shares held by the holder, all our remaining assets available for distribution to our stockholders.</w:t>
      </w:r>
    </w:p>
    <w:p>
      <w:pPr>
        <w:spacing w:after="0" w:line="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58" w:lineRule="exact"/>
        <w:rPr>
          <w:sz w:val="20"/>
          <w:szCs w:val="20"/>
          <w:color w:val="auto"/>
        </w:rPr>
      </w:pPr>
    </w:p>
    <w:p>
      <w:pPr>
        <w:ind w:left="160" w:right="879"/>
        <w:spacing w:after="0" w:line="277" w:lineRule="auto"/>
        <w:rPr>
          <w:sz w:val="20"/>
          <w:szCs w:val="20"/>
          <w:color w:val="auto"/>
        </w:rPr>
      </w:pPr>
      <w:r>
        <w:rPr>
          <w:rFonts w:ascii="Times New Roman" w:cs="Times New Roman" w:eastAsia="Times New Roman" w:hAnsi="Times New Roman"/>
          <w:sz w:val="18"/>
          <w:szCs w:val="18"/>
          <w:color w:val="auto"/>
        </w:rPr>
        <w:t>The holders of our common stock are not entitled to preemptive, subscription or conversion rights. There are no 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102870</wp:posOffset>
            </wp:positionV>
            <wp:extent cx="5547360"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5" w:name="page136"/>
    <w:bookmarkEnd w:id="135"/>
    <w:p>
      <w:pPr>
        <w:ind w:left="16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52" w:lineRule="exact"/>
        <w:rPr>
          <w:sz w:val="20"/>
          <w:szCs w:val="20"/>
          <w:color w:val="auto"/>
        </w:rPr>
      </w:pPr>
    </w:p>
    <w:p>
      <w:pPr>
        <w:ind w:left="160" w:right="199"/>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50,000,000 shares of preferred stock and provides that preferred stock may be issued from time to time in one or more series. Our board of directors is authorized to fix the voting rights, if any, designations, powers, preferences, the relative, participating, optional, special and other rights and any qualifications, limitations and restrictions thereof, applicable to the shares of each series. These rights, powers and preferences could include dividend rights, conversion rights, voting rights, terms of redemption, liquidation preferences, sinking fund terms, and the number of shares constituting, or the designation of, such series, any or all of which may be greater than the rights of common stock. Our board of directors is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or the removal of existing management.</w:t>
      </w:r>
    </w:p>
    <w:p>
      <w:pPr>
        <w:spacing w:after="0" w:line="118" w:lineRule="exact"/>
        <w:rPr>
          <w:sz w:val="20"/>
          <w:szCs w:val="20"/>
          <w:color w:val="auto"/>
        </w:rPr>
      </w:pPr>
    </w:p>
    <w:p>
      <w:pPr>
        <w:ind w:left="160" w:right="219"/>
        <w:spacing w:after="0" w:line="280" w:lineRule="auto"/>
        <w:rPr>
          <w:sz w:val="20"/>
          <w:szCs w:val="20"/>
          <w:color w:val="auto"/>
        </w:rPr>
      </w:pPr>
      <w:r>
        <w:rPr>
          <w:rFonts w:ascii="Times New Roman" w:cs="Times New Roman" w:eastAsia="Times New Roman" w:hAnsi="Times New Roman"/>
          <w:sz w:val="20"/>
          <w:szCs w:val="20"/>
          <w:b w:val="1"/>
          <w:bCs w:val="1"/>
          <w:color w:val="auto"/>
        </w:rPr>
        <w:t>Anti-takeover Effects of Provisions of the Proposed Amended and Restated Certificate of Incorporation and Bylaws and Applicable Law</w:t>
      </w:r>
    </w:p>
    <w:p>
      <w:pPr>
        <w:spacing w:after="0" w:line="86" w:lineRule="exact"/>
        <w:rPr>
          <w:sz w:val="20"/>
          <w:szCs w:val="20"/>
          <w:color w:val="auto"/>
        </w:rPr>
      </w:pPr>
    </w:p>
    <w:p>
      <w:pPr>
        <w:ind w:left="160" w:right="17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have the effect of delaying, deferring or discouraging another party from acquiring control of us. These provisions and certain provisions of Delaware law, which are summarized below, could discourage takeovers, coercive or otherwise, and as a consequence, they might also inhibit temporary fluctuations in the market price of our common stock that often result from actual or rumored hostile takeover attempts. These provisions are also designed, in part, to encourage persons seeking to acquire control of us to negotiate first with our board of directors. It is also possible that these provisions might have the effect of preventing changes in our management and could make it more difficult to accomplish transactions that stockholders might otherwise deem to be in their best interests.</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58" w:lineRule="exact"/>
        <w:rPr>
          <w:sz w:val="20"/>
          <w:szCs w:val="20"/>
          <w:color w:val="auto"/>
        </w:rPr>
      </w:pPr>
    </w:p>
    <w:p>
      <w:pPr>
        <w:ind w:left="160" w:right="279"/>
        <w:spacing w:after="0" w:line="257"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be classified into three classes of directors, with each class serving a staggered three-year term. As a result, in most circumstances, a person can gain control of our board of directors only by successfully engaging in a proxy contest at two or more annual meetings of our stockholders.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44" w:lineRule="exact"/>
        <w:rPr>
          <w:sz w:val="20"/>
          <w:szCs w:val="20"/>
          <w:color w:val="auto"/>
        </w:rPr>
      </w:pPr>
    </w:p>
    <w:p>
      <w:pPr>
        <w:ind w:left="160" w:right="299"/>
        <w:spacing w:after="0" w:line="255"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Written Consent; Special Meeting of Stockholders</w:t>
      </w:r>
    </w:p>
    <w:p>
      <w:pPr>
        <w:spacing w:after="0" w:line="158" w:lineRule="exact"/>
        <w:rPr>
          <w:sz w:val="20"/>
          <w:szCs w:val="20"/>
          <w:color w:val="auto"/>
        </w:rPr>
      </w:pPr>
    </w:p>
    <w:p>
      <w:pPr>
        <w:ind w:left="160" w:right="439"/>
        <w:spacing w:after="0" w:line="277"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provide that stockholder action may not be taken by written consent, which forces stockholder action to be taken at an annual or special meeting of our stockholders.</w:t>
      </w:r>
    </w:p>
    <w:p>
      <w:pPr>
        <w:spacing w:after="0" w:line="83" w:lineRule="exact"/>
        <w:rPr>
          <w:sz w:val="20"/>
          <w:szCs w:val="20"/>
          <w:color w:val="auto"/>
        </w:rPr>
      </w:pPr>
    </w:p>
    <w:p>
      <w:pPr>
        <w:ind w:left="160" w:right="279"/>
        <w:spacing w:after="0" w:line="257"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provide that, subject to the rights of any holders of preferred stock, special meetings of our stockholders, for any purpose or purposes, may be called only by (i) the chair of the board, (ii) the chief executive officer or (iii) the secretary at the direction of our board of directors pursuant to a resolution adopted by a majority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114300</wp:posOffset>
            </wp:positionV>
            <wp:extent cx="5547360"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6" w:name="page137"/>
    <w:bookmarkEnd w:id="136"/>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58" w:lineRule="exact"/>
        <w:rPr>
          <w:sz w:val="20"/>
          <w:szCs w:val="20"/>
          <w:color w:val="auto"/>
        </w:rPr>
      </w:pPr>
    </w:p>
    <w:p>
      <w:pPr>
        <w:jc w:val="both"/>
        <w:ind w:left="160" w:right="379"/>
        <w:spacing w:after="0" w:line="257" w:lineRule="auto"/>
        <w:rPr>
          <w:sz w:val="20"/>
          <w:szCs w:val="20"/>
          <w:color w:val="auto"/>
        </w:rPr>
      </w:pPr>
      <w:r>
        <w:rPr>
          <w:rFonts w:ascii="Times New Roman" w:cs="Times New Roman" w:eastAsia="Times New Roman" w:hAnsi="Times New Roman"/>
          <w:sz w:val="18"/>
          <w:szCs w:val="18"/>
          <w:color w:val="auto"/>
        </w:rPr>
        <w:t>Our amended and restated bylaws provide that stockholders seeking to bring business before the annual meeting of our stockholders or to nominate candidates for election as directors at the annual meeting of our stockholders or, in certain instances as provided in our bylaws, a special meeting of our stockholders must provide timely notice of their intent in writing.</w:t>
      </w:r>
    </w:p>
    <w:p>
      <w:pPr>
        <w:spacing w:after="0" w:line="102" w:lineRule="exact"/>
        <w:rPr>
          <w:sz w:val="20"/>
          <w:szCs w:val="20"/>
          <w:color w:val="auto"/>
        </w:rPr>
      </w:pPr>
    </w:p>
    <w:p>
      <w:pPr>
        <w:ind w:left="160" w:right="299"/>
        <w:spacing w:after="0" w:line="253" w:lineRule="auto"/>
        <w:rPr>
          <w:sz w:val="20"/>
          <w:szCs w:val="20"/>
          <w:color w:val="auto"/>
        </w:rPr>
      </w:pPr>
      <w:r>
        <w:rPr>
          <w:rFonts w:ascii="Times New Roman" w:cs="Times New Roman" w:eastAsia="Times New Roman" w:hAnsi="Times New Roman"/>
          <w:sz w:val="18"/>
          <w:szCs w:val="18"/>
          <w:color w:val="auto"/>
        </w:rPr>
        <w:t>To give timely notice, the notice must be delivered to the secretary at our principal executive offices not later than the close of business on the 90th day nor earlier than the 120th day prior to the first anniversary of the preceding year’s annual meeting. However, if the date of the annual meeting is more than 30 days before or more than 70 days after such anniversary date, the notice must be delivered not earlier than the 120th day prior to such annual meeting and not later than the close of business on the later of the 90th day prior to such annual meeting or the tenth day following the day on which public announcement of the date of the annual meeting is first made or sent by us.</w:t>
      </w:r>
    </w:p>
    <w:p>
      <w:pPr>
        <w:spacing w:after="0" w:line="120" w:lineRule="exact"/>
        <w:rPr>
          <w:sz w:val="20"/>
          <w:szCs w:val="20"/>
          <w:color w:val="auto"/>
        </w:rPr>
      </w:pPr>
    </w:p>
    <w:p>
      <w:pPr>
        <w:ind w:left="160" w:right="219"/>
        <w:spacing w:after="0" w:line="262" w:lineRule="auto"/>
        <w:rPr>
          <w:sz w:val="20"/>
          <w:szCs w:val="20"/>
          <w:color w:val="auto"/>
        </w:rPr>
      </w:pPr>
      <w:r>
        <w:rPr>
          <w:rFonts w:ascii="Times New Roman" w:cs="Times New Roman" w:eastAsia="Times New Roman" w:hAnsi="Times New Roman"/>
          <w:sz w:val="18"/>
          <w:szCs w:val="18"/>
          <w:color w:val="auto"/>
        </w:rPr>
        <w:t>Our amended and restated bylaws also specify certain informational and other requirements as to the form and content of the notice. These provisions, if not satisfied on a timely basis or at all, may preclude our stockholders from bringing business or director nominations before the meeting of our stockholders.</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144" w:lineRule="exact"/>
        <w:rPr>
          <w:sz w:val="20"/>
          <w:szCs w:val="20"/>
          <w:color w:val="auto"/>
        </w:rPr>
      </w:pPr>
    </w:p>
    <w:p>
      <w:pPr>
        <w:ind w:left="160" w:right="419"/>
        <w:spacing w:after="0" w:line="277"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establish specific procedures for appointing and removing members of the board of directors.</w:t>
      </w:r>
    </w:p>
    <w:p>
      <w:pPr>
        <w:spacing w:after="0" w:line="97" w:lineRule="exact"/>
        <w:rPr>
          <w:sz w:val="20"/>
          <w:szCs w:val="20"/>
          <w:color w:val="auto"/>
        </w:rPr>
      </w:pPr>
    </w:p>
    <w:p>
      <w:pPr>
        <w:ind w:left="160" w:right="339"/>
        <w:spacing w:after="0" w:line="262" w:lineRule="auto"/>
        <w:rPr>
          <w:sz w:val="20"/>
          <w:szCs w:val="20"/>
          <w:color w:val="auto"/>
        </w:rPr>
      </w:pPr>
      <w:r>
        <w:rPr>
          <w:rFonts w:ascii="Times New Roman" w:cs="Times New Roman" w:eastAsia="Times New Roman" w:hAnsi="Times New Roman"/>
          <w:sz w:val="18"/>
          <w:szCs w:val="18"/>
          <w:color w:val="auto"/>
        </w:rPr>
        <w:t>Under the amended and restated certificate of incorporation, our directors may be removed from office, but only for cause, which requires approval by the holders of at least sixty-six and two-thirds percent (66-2/3%) of the voting power of all then-outstanding shares of capital stock entitled to vote generally in the election of directors.</w:t>
      </w:r>
    </w:p>
    <w:p>
      <w:pPr>
        <w:spacing w:after="0" w:line="110" w:lineRule="exact"/>
        <w:rPr>
          <w:sz w:val="20"/>
          <w:szCs w:val="20"/>
          <w:color w:val="auto"/>
        </w:rPr>
      </w:pPr>
    </w:p>
    <w:p>
      <w:pPr>
        <w:ind w:left="160" w:right="199"/>
        <w:spacing w:after="0" w:line="253" w:lineRule="auto"/>
        <w:rPr>
          <w:sz w:val="20"/>
          <w:szCs w:val="20"/>
          <w:color w:val="auto"/>
        </w:rPr>
      </w:pPr>
      <w:r>
        <w:rPr>
          <w:rFonts w:ascii="Times New Roman" w:cs="Times New Roman" w:eastAsia="Times New Roman" w:hAnsi="Times New Roman"/>
          <w:sz w:val="18"/>
          <w:szCs w:val="18"/>
          <w:color w:val="auto"/>
        </w:rPr>
        <w:t>Vacancies and newly created directorships on our board of directors may be filled only by a majority vote of the directors then in office, even if less than a quorum, or by a sole remaining director (and not by stockholders). Any new director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 The treatment of vacancies has the effect of making it more difficult for stockholders to change the composition of the board of directors.</w:t>
      </w:r>
    </w:p>
    <w:p>
      <w:pPr>
        <w:spacing w:after="0" w:line="1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58" w:lineRule="exact"/>
        <w:rPr>
          <w:sz w:val="20"/>
          <w:szCs w:val="20"/>
          <w:color w:val="auto"/>
        </w:rPr>
      </w:pPr>
    </w:p>
    <w:p>
      <w:pPr>
        <w:jc w:val="both"/>
        <w:ind w:left="160" w:right="199"/>
        <w:spacing w:after="0" w:line="26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amended and restated certificate of incorporation does not authorize cumulative voting rights for our stockholders.</w:t>
      </w:r>
    </w:p>
    <w:p>
      <w:pPr>
        <w:spacing w:after="0" w:line="110" w:lineRule="exact"/>
        <w:rPr>
          <w:sz w:val="20"/>
          <w:szCs w:val="20"/>
          <w:color w:val="auto"/>
        </w:rPr>
      </w:pPr>
    </w:p>
    <w:p>
      <w:pPr>
        <w:ind w:left="160" w:right="239"/>
        <w:spacing w:after="0" w:line="262" w:lineRule="auto"/>
        <w:rPr>
          <w:sz w:val="20"/>
          <w:szCs w:val="20"/>
          <w:color w:val="auto"/>
        </w:rPr>
      </w:pPr>
      <w:r>
        <w:rPr>
          <w:rFonts w:ascii="Times New Roman" w:cs="Times New Roman" w:eastAsia="Times New Roman" w:hAnsi="Times New Roman"/>
          <w:sz w:val="18"/>
          <w:szCs w:val="18"/>
          <w:color w:val="auto"/>
        </w:rPr>
        <w:t>The absence of cumulative voting makes it more difficult for a minority stockholder to gain a seat on our board of directors to influence a decision by our board of directors, including regarding any potential merger, tender offer or other potential takeover transaction.</w:t>
      </w:r>
    </w:p>
    <w:p>
      <w:pPr>
        <w:spacing w:after="0" w:line="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 and Bylaws</w:t>
      </w:r>
    </w:p>
    <w:p>
      <w:pPr>
        <w:spacing w:after="0" w:line="158" w:lineRule="exact"/>
        <w:rPr>
          <w:sz w:val="20"/>
          <w:szCs w:val="20"/>
          <w:color w:val="auto"/>
        </w:rPr>
      </w:pPr>
    </w:p>
    <w:p>
      <w:pPr>
        <w:ind w:left="160" w:right="33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provide that the affirmative vote of holders of at least sixty-six and two-thirds percent (66-2/3%) of the voting power of all then-outstanding shares of capital stock entitled to vote generally in the election of directors is required to amend certain provisions of our certificate of incorporation, including provisions relating to the size of the board, removal of directors, special meetings, actions by written consent and cumulative voting. The affirmative vote of holders of at least sixty-six and two-thirds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114935</wp:posOffset>
            </wp:positionV>
            <wp:extent cx="5547360"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7" w:name="page138"/>
    <w:bookmarkEnd w:id="137"/>
    <w:p>
      <w:pPr>
        <w:jc w:val="both"/>
        <w:ind w:left="160" w:right="699"/>
        <w:spacing w:after="0" w:line="262" w:lineRule="auto"/>
        <w:rPr>
          <w:sz w:val="20"/>
          <w:szCs w:val="20"/>
          <w:color w:val="auto"/>
        </w:rPr>
      </w:pPr>
      <w:r>
        <w:rPr>
          <w:rFonts w:ascii="Times New Roman" w:cs="Times New Roman" w:eastAsia="Times New Roman" w:hAnsi="Times New Roman"/>
          <w:sz w:val="18"/>
          <w:szCs w:val="18"/>
          <w:color w:val="auto"/>
        </w:rPr>
        <w:t>(66-2/3%) of the voting power of all of the then outstanding shares of capital stock entitled to vote generally in the election of directors is required to amend or repeal our bylaws, although our bylaws may be amended by a simple majority vote of our board of directors.</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44" w:lineRule="exact"/>
        <w:rPr>
          <w:sz w:val="20"/>
          <w:szCs w:val="20"/>
          <w:color w:val="auto"/>
        </w:rPr>
      </w:pPr>
    </w:p>
    <w:p>
      <w:pPr>
        <w:ind w:left="160" w:right="279"/>
        <w:spacing w:after="0" w:line="257"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15" w:lineRule="exact"/>
        <w:rPr>
          <w:sz w:val="20"/>
          <w:szCs w:val="20"/>
          <w:color w:val="auto"/>
        </w:rPr>
      </w:pPr>
    </w:p>
    <w:p>
      <w:pPr>
        <w:ind w:left="480" w:right="219" w:hanging="311"/>
        <w:spacing w:after="0" w:line="276" w:lineRule="auto"/>
        <w:tabs>
          <w:tab w:leader="none" w:pos="480"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prior to the date of the transaction, our board of directors approved either the business combination or the transaction that resulted in the stockholder becoming an interested stockholder;</w:t>
      </w:r>
    </w:p>
    <w:p>
      <w:pPr>
        <w:spacing w:after="0" w:line="97" w:lineRule="exact"/>
        <w:rPr>
          <w:rFonts w:ascii="Arial" w:cs="Arial" w:eastAsia="Arial" w:hAnsi="Arial"/>
          <w:sz w:val="18"/>
          <w:szCs w:val="18"/>
          <w:color w:val="auto"/>
        </w:rPr>
      </w:pPr>
    </w:p>
    <w:p>
      <w:pPr>
        <w:ind w:left="480" w:right="219" w:hanging="311"/>
        <w:spacing w:after="0" w:line="271" w:lineRule="auto"/>
        <w:tabs>
          <w:tab w:leader="none" w:pos="48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104" w:lineRule="exact"/>
        <w:rPr>
          <w:rFonts w:ascii="Arial" w:cs="Arial" w:eastAsia="Arial" w:hAnsi="Arial"/>
          <w:sz w:val="17"/>
          <w:szCs w:val="17"/>
          <w:color w:val="auto"/>
        </w:rPr>
      </w:pPr>
    </w:p>
    <w:p>
      <w:pPr>
        <w:ind w:left="480" w:right="339" w:hanging="311"/>
        <w:spacing w:after="0" w:line="257" w:lineRule="auto"/>
        <w:tabs>
          <w:tab w:leader="none" w:pos="480"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our board of directors and authorized at an annual or special meeting of stockholders, and not by written consent, by the affirmative vote of at least sixty-six and two-thirds percent (66-2/3%) of the outstanding voting stock that is not owned by the interested stockholder.</w:t>
      </w:r>
    </w:p>
    <w:p>
      <w:pPr>
        <w:spacing w:after="0" w:line="114" w:lineRule="exact"/>
        <w:rPr>
          <w:sz w:val="20"/>
          <w:szCs w:val="20"/>
          <w:color w:val="auto"/>
        </w:rPr>
      </w:pPr>
    </w:p>
    <w:p>
      <w:pPr>
        <w:ind w:left="160" w:right="319"/>
        <w:spacing w:after="0" w:line="271" w:lineRule="auto"/>
        <w:rPr>
          <w:sz w:val="20"/>
          <w:szCs w:val="20"/>
          <w:color w:val="auto"/>
        </w:rPr>
      </w:pPr>
      <w:r>
        <w:rPr>
          <w:rFonts w:ascii="Times New Roman" w:cs="Times New Roman" w:eastAsia="Times New Roman" w:hAnsi="Times New Roman"/>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affiliates and associates, owns or, within three years prior to the determination of interested stockholder status, owned 15% or more of our outstanding voting stock. This provision is expected to have an anti-takeover effect with respect to transactions our board of directors does not approve in advance. Moreover, Section 203 may discourage attempts that might result in a premium over the market price for the shares of our common stock held by stockholders.</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44" w:lineRule="exact"/>
        <w:rPr>
          <w:sz w:val="20"/>
          <w:szCs w:val="20"/>
          <w:color w:val="auto"/>
        </w:rPr>
      </w:pPr>
    </w:p>
    <w:p>
      <w:pPr>
        <w:ind w:left="160" w:right="23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generally designates, unless we otherwise consent in writing, the Court of Chancery (or, if such court does not have subject matter jurisdiction thereof, the federal district court of the State of Delaware) as the sole and exclusive forum for (i) any derivative action or proceeding brought on our behalf, (ii) any action asserting a claim of breach of a fiduciary duty owed by any current or former director, officer, employee or agent to us or our stockholders, or any claim for aiding and abetting any such alleged breach, (iii) any action asserting a claim arising pursuant to any provision of the DGCL, our amended and restated certificate of incorporation or bylaws or as to which the DGCL confers jurisdiction on the Court of Chancery of the State of Delaware or (iv) any action asserting a claim governed by the internal affairs doctrine of the law of the State of Delaware.</w:t>
      </w:r>
    </w:p>
    <w:p>
      <w:pPr>
        <w:spacing w:after="0" w:line="118" w:lineRule="exact"/>
        <w:rPr>
          <w:sz w:val="20"/>
          <w:szCs w:val="20"/>
          <w:color w:val="auto"/>
        </w:rPr>
      </w:pPr>
    </w:p>
    <w:p>
      <w:pPr>
        <w:jc w:val="both"/>
        <w:ind w:left="160" w:right="459"/>
        <w:spacing w:after="0" w:line="262"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the federal district courts of the United States will be the exclusive forum for the resolution of any complaint asserting a cause of action arising under the Securities Act. Further, our amended and restated certificate of incorporation provides that the foregoing choice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111125</wp:posOffset>
            </wp:positionV>
            <wp:extent cx="5547360"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8" w:name="page139"/>
    <w:bookmarkEnd w:id="138"/>
    <w:p>
      <w:pPr>
        <w:ind w:left="160" w:right="179"/>
        <w:spacing w:after="0" w:line="277" w:lineRule="auto"/>
        <w:rPr>
          <w:sz w:val="20"/>
          <w:szCs w:val="20"/>
          <w:color w:val="auto"/>
        </w:rPr>
      </w:pPr>
      <w:r>
        <w:rPr>
          <w:rFonts w:ascii="Times New Roman" w:cs="Times New Roman" w:eastAsia="Times New Roman" w:hAnsi="Times New Roman"/>
          <w:sz w:val="18"/>
          <w:szCs w:val="18"/>
          <w:color w:val="auto"/>
        </w:rPr>
        <w:t>forum provisions will not apply to suits brought to enforce any liability or duty created by the Exchange Act, or any other claim for which the federal courts of the United States have exclusive jurisdiction.</w:t>
      </w:r>
    </w:p>
    <w:p>
      <w:pPr>
        <w:spacing w:after="0" w:line="97" w:lineRule="exact"/>
        <w:rPr>
          <w:sz w:val="20"/>
          <w:szCs w:val="20"/>
          <w:color w:val="auto"/>
        </w:rPr>
      </w:pPr>
    </w:p>
    <w:p>
      <w:pPr>
        <w:ind w:left="160" w:right="17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any person or entity purchasing or otherwise acquiring or holding any interest in any of our securities shall be deemed to have notice of and consented to the foregoing provisions of the amended and restated certificate of incorporation.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03" w:lineRule="exact"/>
        <w:rPr>
          <w:sz w:val="20"/>
          <w:szCs w:val="20"/>
          <w:color w:val="auto"/>
        </w:rPr>
      </w:pPr>
    </w:p>
    <w:p>
      <w:pPr>
        <w:ind w:left="160" w:right="319"/>
        <w:spacing w:after="0" w:line="253"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153" w:lineRule="exact"/>
        <w:rPr>
          <w:sz w:val="20"/>
          <w:szCs w:val="20"/>
          <w:color w:val="auto"/>
        </w:rPr>
      </w:pPr>
    </w:p>
    <w:p>
      <w:pPr>
        <w:ind w:left="160" w:right="539"/>
        <w:spacing w:after="0" w:line="277" w:lineRule="auto"/>
        <w:rPr>
          <w:sz w:val="20"/>
          <w:szCs w:val="20"/>
          <w:color w:val="auto"/>
        </w:rPr>
      </w:pPr>
      <w:r>
        <w:rPr>
          <w:rFonts w:ascii="Times New Roman" w:cs="Times New Roman" w:eastAsia="Times New Roman" w:hAnsi="Times New Roman"/>
          <w:sz w:val="18"/>
          <w:szCs w:val="18"/>
          <w:color w:val="auto"/>
        </w:rPr>
        <w:t>The transfer agent and registrar for our common stock is Fidelity Stock Transfer Solutions LLC. The transfer agent’s address is 245 Summer Street, Boston, MA 02210.</w:t>
      </w:r>
    </w:p>
    <w:p>
      <w:pPr>
        <w:spacing w:after="0" w:line="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Nasdaq Listing</w:t>
      </w:r>
    </w:p>
    <w:p>
      <w:pPr>
        <w:spacing w:after="0" w:line="1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“HTFL.”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614045</wp:posOffset>
            </wp:positionV>
            <wp:extent cx="5547360"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9" w:name="page140"/>
    <w:bookmarkEnd w:id="139"/>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HEARTFLOW,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 POLICY</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amended and restated as of January 1, 2026)</w:t>
      </w:r>
    </w:p>
    <w:p>
      <w:pPr>
        <w:spacing w:after="0" w:line="216" w:lineRule="exact"/>
        <w:rPr>
          <w:sz w:val="20"/>
          <w:szCs w:val="20"/>
          <w:color w:val="auto"/>
        </w:rPr>
      </w:pPr>
    </w:p>
    <w:p>
      <w:pPr>
        <w:jc w:val="both"/>
        <w:ind w:left="160" w:right="199" w:firstLine="436"/>
        <w:spacing w:after="0" w:line="265" w:lineRule="auto"/>
        <w:rPr>
          <w:sz w:val="20"/>
          <w:szCs w:val="20"/>
          <w:color w:val="auto"/>
        </w:rPr>
      </w:pPr>
      <w:r>
        <w:rPr>
          <w:rFonts w:ascii="Times New Roman" w:cs="Times New Roman" w:eastAsia="Times New Roman" w:hAnsi="Times New Roman"/>
          <w:sz w:val="18"/>
          <w:szCs w:val="18"/>
          <w:color w:val="auto"/>
        </w:rPr>
        <w:t>Directors of Heartflow,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who are not employed by the Company or one of its subsidiaries (“</w:t>
      </w: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8"/>
          <w:szCs w:val="18"/>
          <w:color w:val="auto"/>
        </w:rPr>
        <w:t>”) are entitled to the compensation set forth below, for their service as a member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Company.</w:t>
      </w:r>
    </w:p>
    <w:p>
      <w:pPr>
        <w:spacing w:after="0" w:line="173" w:lineRule="exact"/>
        <w:rPr>
          <w:sz w:val="20"/>
          <w:szCs w:val="20"/>
          <w:color w:val="auto"/>
        </w:rPr>
      </w:pPr>
    </w:p>
    <w:p>
      <w:pPr>
        <w:jc w:val="both"/>
        <w:ind w:left="160" w:right="259" w:firstLine="436"/>
        <w:spacing w:after="0" w:line="262" w:lineRule="auto"/>
        <w:rPr>
          <w:sz w:val="20"/>
          <w:szCs w:val="20"/>
          <w:color w:val="auto"/>
        </w:rPr>
      </w:pPr>
      <w:r>
        <w:rPr>
          <w:rFonts w:ascii="Times New Roman" w:cs="Times New Roman" w:eastAsia="Times New Roman" w:hAnsi="Times New Roman"/>
          <w:sz w:val="18"/>
          <w:szCs w:val="18"/>
          <w:color w:val="auto"/>
        </w:rPr>
        <w:t>This Policy, as amended and restated, is effective as of January 1, 2026 (the “Effective Date”) and shall remain in effect until it is revised or rescinded by further action of the Board. This policy may be amended, modified or terminated by the Board at any time in its sole discretion.</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Compensation</w:t>
            </w:r>
          </w:p>
        </w:tc>
        <w:tc>
          <w:tcPr>
            <w:tcW w:w="820" w:type="dxa"/>
            <w:vAlign w:val="bottom"/>
          </w:tcPr>
          <w:p>
            <w:pPr>
              <w:spacing w:after="0"/>
              <w:rPr>
                <w:sz w:val="20"/>
                <w:szCs w:val="20"/>
                <w:color w:val="auto"/>
              </w:rPr>
            </w:pPr>
          </w:p>
        </w:tc>
      </w:tr>
      <w:tr>
        <w:trPr>
          <w:trHeight w:val="222"/>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Cash Retainer</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$50,000</w:t>
            </w:r>
          </w:p>
        </w:tc>
      </w:tr>
      <w:tr>
        <w:trPr>
          <w:trHeight w:val="214"/>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Chairperson Retainer</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$50,000</w:t>
            </w:r>
          </w:p>
        </w:tc>
      </w:tr>
      <w:tr>
        <w:trPr>
          <w:trHeight w:val="214"/>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Audit Committee Chairperson Retainer</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$20,000</w:t>
            </w:r>
          </w:p>
        </w:tc>
      </w:tr>
      <w:tr>
        <w:trPr>
          <w:trHeight w:val="214"/>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Compensation Committee Chairperson Retainer</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$15,000</w:t>
            </w:r>
          </w:p>
        </w:tc>
      </w:tr>
      <w:tr>
        <w:trPr>
          <w:trHeight w:val="214"/>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Nominating and Corporate Governance Committee Chairperson Retainer</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$10,000</w:t>
            </w:r>
          </w:p>
        </w:tc>
      </w:tr>
      <w:tr>
        <w:trPr>
          <w:trHeight w:val="214"/>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Audit Committee Member Retainer</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$10,000</w:t>
            </w:r>
          </w:p>
        </w:tc>
      </w:tr>
      <w:tr>
        <w:trPr>
          <w:trHeight w:val="214"/>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Compensation Committee Member Retainer</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$7,500</w:t>
            </w:r>
          </w:p>
        </w:tc>
      </w:tr>
      <w:tr>
        <w:trPr>
          <w:trHeight w:val="205"/>
        </w:trPr>
        <w:tc>
          <w:tcPr>
            <w:tcW w:w="644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Annual Nominating and Corporate Governance Committee Member Retainer</w:t>
            </w:r>
          </w:p>
        </w:tc>
        <w:tc>
          <w:tcPr>
            <w:tcW w:w="82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$5,000</w:t>
            </w:r>
          </w:p>
        </w:tc>
      </w:tr>
      <w:tr>
        <w:trPr>
          <w:trHeight w:val="246"/>
        </w:trPr>
        <w:tc>
          <w:tcPr>
            <w:tcW w:w="6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7"/>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820" w:type="dxa"/>
            <w:vAlign w:val="bottom"/>
          </w:tcPr>
          <w:p>
            <w:pPr>
              <w:spacing w:after="0"/>
              <w:rPr>
                <w:sz w:val="20"/>
                <w:szCs w:val="20"/>
                <w:color w:val="auto"/>
              </w:rPr>
            </w:pPr>
          </w:p>
        </w:tc>
      </w:tr>
      <w:tr>
        <w:trPr>
          <w:trHeight w:val="222"/>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Initial Equity Award (new director)</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$500,000</w:t>
            </w:r>
          </w:p>
        </w:tc>
      </w:tr>
      <w:tr>
        <w:trPr>
          <w:trHeight w:val="233"/>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Equity Award (continuing director)</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$250,000</w:t>
            </w:r>
          </w:p>
        </w:tc>
      </w:tr>
    </w:tbl>
    <w:p>
      <w:pPr>
        <w:spacing w:after="0" w:line="3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Cash Compensation</w:t>
      </w:r>
    </w:p>
    <w:p>
      <w:pPr>
        <w:spacing w:after="0" w:line="198" w:lineRule="exact"/>
        <w:rPr>
          <w:sz w:val="20"/>
          <w:szCs w:val="20"/>
          <w:color w:val="auto"/>
        </w:rPr>
      </w:pPr>
    </w:p>
    <w:p>
      <w:pPr>
        <w:ind w:left="160" w:right="179" w:firstLine="436"/>
        <w:spacing w:after="0" w:line="249" w:lineRule="auto"/>
        <w:rPr>
          <w:sz w:val="20"/>
          <w:szCs w:val="20"/>
          <w:color w:val="auto"/>
        </w:rPr>
      </w:pPr>
      <w:r>
        <w:rPr>
          <w:rFonts w:ascii="Times New Roman" w:cs="Times New Roman" w:eastAsia="Times New Roman" w:hAnsi="Times New Roman"/>
          <w:sz w:val="18"/>
          <w:szCs w:val="18"/>
          <w:color w:val="auto"/>
        </w:rPr>
        <w:t>Each non-employee director will be entitled to an annual cash retainer while serving on the Board in the amount set forth above (the “</w:t>
      </w:r>
      <w:r>
        <w:rPr>
          <w:rFonts w:ascii="Times New Roman" w:cs="Times New Roman" w:eastAsia="Times New Roman" w:hAnsi="Times New Roman"/>
          <w:sz w:val="18"/>
          <w:szCs w:val="18"/>
          <w:b w:val="1"/>
          <w:bCs w:val="1"/>
          <w:color w:val="auto"/>
        </w:rPr>
        <w:t>Annual Cash Retainer</w:t>
      </w:r>
      <w:r>
        <w:rPr>
          <w:rFonts w:ascii="Times New Roman" w:cs="Times New Roman" w:eastAsia="Times New Roman" w:hAnsi="Times New Roman"/>
          <w:sz w:val="18"/>
          <w:szCs w:val="18"/>
          <w:color w:val="auto"/>
        </w:rPr>
        <w:t>”). A non-employee director who serves as the Chairperson of the Board will be entitled to an additional annual cash retainer while serving in that position in the amount set forth above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Chairperson Retainer</w:t>
      </w:r>
      <w:r>
        <w:rPr>
          <w:rFonts w:ascii="Times New Roman" w:cs="Times New Roman" w:eastAsia="Times New Roman" w:hAnsi="Times New Roman"/>
          <w:sz w:val="18"/>
          <w:szCs w:val="18"/>
          <w:color w:val="auto"/>
        </w:rPr>
        <w:t>”). A non-employee director who serves as the Chairperson of the Audit Committee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an additional annual cash retainer while serving in that position in the amount set forth above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Audit Committee Chairperson Retainer</w:t>
      </w:r>
      <w:r>
        <w:rPr>
          <w:rFonts w:ascii="Times New Roman" w:cs="Times New Roman" w:eastAsia="Times New Roman" w:hAnsi="Times New Roman"/>
          <w:sz w:val="18"/>
          <w:szCs w:val="18"/>
          <w:color w:val="auto"/>
        </w:rPr>
        <w:t>”). A non-employee director who serves as the Chairperson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will be entitled to an additional annual cash retainer while serving in that position in the amount set forth above (the “</w:t>
      </w:r>
      <w:r>
        <w:rPr>
          <w:rFonts w:ascii="Times New Roman" w:cs="Times New Roman" w:eastAsia="Times New Roman" w:hAnsi="Times New Roman"/>
          <w:sz w:val="18"/>
          <w:szCs w:val="18"/>
          <w:b w:val="1"/>
          <w:bCs w:val="1"/>
          <w:color w:val="auto"/>
        </w:rPr>
        <w:t>Annual Compensation Committee Chairperson Retainer</w:t>
      </w:r>
      <w:r>
        <w:rPr>
          <w:rFonts w:ascii="Times New Roman" w:cs="Times New Roman" w:eastAsia="Times New Roman" w:hAnsi="Times New Roman"/>
          <w:sz w:val="18"/>
          <w:szCs w:val="18"/>
          <w:color w:val="auto"/>
        </w:rPr>
        <w:t>”). A non-employee director who serves as the Chairperson of the Nominating and Corporate Governance Committee will be entitled to an additional annual cash retainer while serving in that position in the amount set forth above (the “</w:t>
      </w:r>
      <w:r>
        <w:rPr>
          <w:rFonts w:ascii="Times New Roman" w:cs="Times New Roman" w:eastAsia="Times New Roman" w:hAnsi="Times New Roman"/>
          <w:sz w:val="18"/>
          <w:szCs w:val="18"/>
          <w:b w:val="1"/>
          <w:bCs w:val="1"/>
          <w:color w:val="auto"/>
        </w:rPr>
        <w:t>Annual Nominating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Governance Committee Chairperson Retainer</w:t>
      </w:r>
      <w:r>
        <w:rPr>
          <w:rFonts w:ascii="Times New Roman" w:cs="Times New Roman" w:eastAsia="Times New Roman" w:hAnsi="Times New Roman"/>
          <w:sz w:val="18"/>
          <w:szCs w:val="18"/>
          <w:color w:val="auto"/>
        </w:rPr>
        <w:t>”). A non-employee director who serves as a member of the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(other than the Chairperson of the Audit Committee) will be entitled to an additional annual cash retainer while serving in that position in the amount set forth above (the “</w:t>
      </w:r>
      <w:r>
        <w:rPr>
          <w:rFonts w:ascii="Times New Roman" w:cs="Times New Roman" w:eastAsia="Times New Roman" w:hAnsi="Times New Roman"/>
          <w:sz w:val="18"/>
          <w:szCs w:val="18"/>
          <w:b w:val="1"/>
          <w:bCs w:val="1"/>
          <w:color w:val="auto"/>
        </w:rPr>
        <w:t>Annual Audit Committee Member Retainer</w:t>
      </w:r>
      <w:r>
        <w:rPr>
          <w:rFonts w:ascii="Times New Roman" w:cs="Times New Roman" w:eastAsia="Times New Roman" w:hAnsi="Times New Roman"/>
          <w:sz w:val="18"/>
          <w:szCs w:val="18"/>
          <w:color w:val="auto"/>
        </w:rPr>
        <w:t>”). A non-employee director who serves as a member of the Compensation Committee (other than the Chairperson of the Compensation Committee) will be entitled to an additional annual cash retainer while serving in that position in the amount set forth above (the “</w:t>
      </w:r>
      <w:r>
        <w:rPr>
          <w:rFonts w:ascii="Times New Roman" w:cs="Times New Roman" w:eastAsia="Times New Roman" w:hAnsi="Times New Roman"/>
          <w:sz w:val="18"/>
          <w:szCs w:val="18"/>
          <w:b w:val="1"/>
          <w:bCs w:val="1"/>
          <w:color w:val="auto"/>
        </w:rPr>
        <w:t>Annual Compensation Committee Member Retainer</w:t>
      </w:r>
      <w:r>
        <w:rPr>
          <w:rFonts w:ascii="Times New Roman" w:cs="Times New Roman" w:eastAsia="Times New Roman" w:hAnsi="Times New Roman"/>
          <w:sz w:val="18"/>
          <w:szCs w:val="18"/>
          <w:color w:val="auto"/>
        </w:rPr>
        <w:t>”). A non-employee director who serves as a member of the Nominating and Corporate Governance Committee (other than the Chairperson of the Nominating and Corporate Governance Committee) will be entitled to an additional annual cash retainer while serving in that position in the amount set forth above (the “</w:t>
      </w:r>
      <w:r>
        <w:rPr>
          <w:rFonts w:ascii="Times New Roman" w:cs="Times New Roman" w:eastAsia="Times New Roman" w:hAnsi="Times New Roman"/>
          <w:sz w:val="18"/>
          <w:szCs w:val="18"/>
          <w:b w:val="1"/>
          <w:bCs w:val="1"/>
          <w:color w:val="auto"/>
        </w:rPr>
        <w:t>Annual Nominating and Governance Committee Member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Retainer</w:t>
      </w:r>
      <w:r>
        <w:rPr>
          <w:rFonts w:ascii="Times New Roman" w:cs="Times New Roman" w:eastAsia="Times New Roman" w:hAnsi="Times New Roman"/>
          <w:sz w:val="18"/>
          <w:szCs w:val="18"/>
          <w:color w:val="auto"/>
        </w:rPr>
        <w:t>”). No non-employee director will be entitled to a meeting fee for attending in-person or telephonically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or committee meetings.</w:t>
      </w:r>
    </w:p>
    <w:p>
      <w:pPr>
        <w:spacing w:after="0" w:line="152" w:lineRule="exact"/>
        <w:rPr>
          <w:sz w:val="20"/>
          <w:szCs w:val="20"/>
          <w:color w:val="auto"/>
        </w:rPr>
      </w:pPr>
    </w:p>
    <w:p>
      <w:pPr>
        <w:ind w:left="160" w:right="439" w:firstLine="436"/>
        <w:spacing w:after="0" w:line="277" w:lineRule="auto"/>
        <w:rPr>
          <w:sz w:val="20"/>
          <w:szCs w:val="20"/>
          <w:color w:val="auto"/>
        </w:rPr>
      </w:pPr>
      <w:r>
        <w:rPr>
          <w:rFonts w:ascii="Times New Roman" w:cs="Times New Roman" w:eastAsia="Times New Roman" w:hAnsi="Times New Roman"/>
          <w:sz w:val="18"/>
          <w:szCs w:val="18"/>
          <w:color w:val="auto"/>
        </w:rPr>
        <w:t>The amounts of the Annual Cash Retainer, Annual Chairperson Retainer, Annual Audit Committee Chairperson Retainer, Annual Compensation Committee Chairperson Retainer, Annual Nominating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323215</wp:posOffset>
            </wp:positionV>
            <wp:extent cx="5547360"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0" w:name="page141"/>
    <w:bookmarkEnd w:id="140"/>
    <w:p>
      <w:pPr>
        <w:ind w:left="160" w:right="239"/>
        <w:spacing w:after="0" w:line="253" w:lineRule="auto"/>
        <w:rPr>
          <w:sz w:val="20"/>
          <w:szCs w:val="20"/>
          <w:color w:val="auto"/>
        </w:rPr>
      </w:pPr>
      <w:r>
        <w:rPr>
          <w:rFonts w:ascii="Times New Roman" w:cs="Times New Roman" w:eastAsia="Times New Roman" w:hAnsi="Times New Roman"/>
          <w:sz w:val="18"/>
          <w:szCs w:val="18"/>
          <w:color w:val="auto"/>
        </w:rPr>
        <w:t>Committee Chairperson Retainer and Annual Audit Committee Member Retainer, Annual Compensation Committee Member Retainer and Annual Nominating and Governance Committee Member Retainer are expressed as annualized amounts. These retainers will be paid on a quarterly basis, following the end of each calendar quarter in arrears, and will be pro-rated if a non-employee director serves (or serves in the corresponding position, as the case may be) for only a portion of the calendar quarter (with the proration based on the number of calendar days in the quarter that the director served as a non-employee director or held the particular position, as the case may be).</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Annual Equity Awards for Continuing Board Members</w:t>
      </w:r>
    </w:p>
    <w:p>
      <w:pPr>
        <w:spacing w:after="0" w:line="182" w:lineRule="exact"/>
        <w:rPr>
          <w:sz w:val="20"/>
          <w:szCs w:val="20"/>
          <w:color w:val="auto"/>
        </w:rPr>
      </w:pPr>
    </w:p>
    <w:p>
      <w:pPr>
        <w:ind w:left="160" w:right="179" w:firstLine="436"/>
        <w:spacing w:after="0" w:line="250" w:lineRule="auto"/>
        <w:rPr>
          <w:sz w:val="20"/>
          <w:szCs w:val="20"/>
          <w:color w:val="auto"/>
        </w:rPr>
      </w:pPr>
      <w:r>
        <w:rPr>
          <w:rFonts w:ascii="Times New Roman" w:cs="Times New Roman" w:eastAsia="Times New Roman" w:hAnsi="Times New Roman"/>
          <w:sz w:val="18"/>
          <w:szCs w:val="18"/>
          <w:color w:val="auto"/>
        </w:rPr>
        <w:t>On the date of the Company’s initial public offering (“IPO”) and on the date of each annual meeting of the Company’s stockholders thereafter, each non-employee director then in office will automatically be granted an annual equity award with a value equal to that set forth in the table above, which award shall be one hundred percent (100%) in nonstatutory stock options (the “</w:t>
      </w:r>
      <w:r>
        <w:rPr>
          <w:rFonts w:ascii="Times New Roman" w:cs="Times New Roman" w:eastAsia="Times New Roman" w:hAnsi="Times New Roman"/>
          <w:sz w:val="18"/>
          <w:szCs w:val="18"/>
          <w:b w:val="1"/>
          <w:bCs w:val="1"/>
          <w:color w:val="auto"/>
        </w:rPr>
        <w:t>Annual Equity Award</w:t>
      </w:r>
      <w:r>
        <w:rPr>
          <w:rFonts w:ascii="Times New Roman" w:cs="Times New Roman" w:eastAsia="Times New Roman" w:hAnsi="Times New Roman"/>
          <w:sz w:val="18"/>
          <w:szCs w:val="18"/>
          <w:color w:val="auto"/>
        </w:rPr>
        <w:t>”). The number of stock options underlying the Annual Equity Award will be determined on the date of grant by dividing the Annual Equity Award value by the fair value of a stock option calculated using the same pricing model and assumptions used in the Company’s financial statements and the per-share closing price of a share of the Company’s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 the date of the IPO or the trailing 20 trading day average closing stock price of a share of Common Stock on the date of the annual meeting, as applicable. Subject to the non-employee director’s continued service, the Annual Equity Award will vest in one installment on the first anniversary of the date of grant. Should the annual meeting of the Company’s stockholders in the year following the year in which the Annual Equity Award was granted occur prior to the vesting date of the Annual Equity Award, the outstanding and unvested portion of the Annual Equity Award will vest on the day prior to that annual meeting. In the event that more than one annual meeting of the Company’s stockholders occurs during a given fiscal year, Annual Equity Awards will be made only in connection with the first such meeting to occur in that year.</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Equity Awards for New Board Members</w:t>
      </w:r>
    </w:p>
    <w:p>
      <w:pPr>
        <w:spacing w:after="0" w:line="182" w:lineRule="exact"/>
        <w:rPr>
          <w:sz w:val="20"/>
          <w:szCs w:val="20"/>
          <w:color w:val="auto"/>
        </w:rPr>
      </w:pPr>
    </w:p>
    <w:p>
      <w:pPr>
        <w:ind w:left="160" w:right="239" w:firstLine="436"/>
        <w:spacing w:after="0" w:line="251" w:lineRule="auto"/>
        <w:rPr>
          <w:sz w:val="20"/>
          <w:szCs w:val="20"/>
          <w:color w:val="auto"/>
        </w:rPr>
      </w:pPr>
      <w:r>
        <w:rPr>
          <w:rFonts w:ascii="Times New Roman" w:cs="Times New Roman" w:eastAsia="Times New Roman" w:hAnsi="Times New Roman"/>
          <w:sz w:val="18"/>
          <w:szCs w:val="18"/>
          <w:color w:val="auto"/>
        </w:rPr>
        <w:t>For each new non-employee director appointed or elected to the Board (or any non-employee director serving on the Board prior to the IPO who has not received compensation for such services prior to such date), on the date that the new non-employee director first becomes a member of the Board or the date of the IPO, as applicable, the new non-employee director will automatically be granted an equity award with a value equal to that set forth in the table above, which award shall be one hundred percent (100%) in nonstatutory stock options (the “</w:t>
      </w:r>
      <w:r>
        <w:rPr>
          <w:rFonts w:ascii="Times New Roman" w:cs="Times New Roman" w:eastAsia="Times New Roman" w:hAnsi="Times New Roman"/>
          <w:sz w:val="18"/>
          <w:szCs w:val="18"/>
          <w:b w:val="1"/>
          <w:bCs w:val="1"/>
          <w:color w:val="auto"/>
        </w:rPr>
        <w:t>New Director Equity Award</w:t>
      </w:r>
      <w:r>
        <w:rPr>
          <w:rFonts w:ascii="Times New Roman" w:cs="Times New Roman" w:eastAsia="Times New Roman" w:hAnsi="Times New Roman"/>
          <w:sz w:val="18"/>
          <w:szCs w:val="18"/>
          <w:color w:val="auto"/>
        </w:rPr>
        <w:t>”), with the number of stock options subject to such New Director Equity Award to be determined in the same manner as described above with respect to Annual Equity Awards. Subject to the non-employee director’s continued service, 1/3 of the New Director Equity Award will vest on the first anniversary of the grant date and the remaining 2/3 of the New Director Equity Award will vest in 24 substantially equal monthly installments thereafter.</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Provisions Applicable to All Equity Awards</w:t>
      </w:r>
    </w:p>
    <w:p>
      <w:pPr>
        <w:spacing w:after="0" w:line="196" w:lineRule="exact"/>
        <w:rPr>
          <w:sz w:val="20"/>
          <w:szCs w:val="20"/>
          <w:color w:val="auto"/>
        </w:rPr>
      </w:pPr>
    </w:p>
    <w:p>
      <w:pPr>
        <w:ind w:left="160" w:right="359" w:firstLine="436"/>
        <w:spacing w:after="0" w:line="252" w:lineRule="auto"/>
        <w:rPr>
          <w:sz w:val="20"/>
          <w:szCs w:val="20"/>
          <w:color w:val="auto"/>
        </w:rPr>
      </w:pPr>
      <w:r>
        <w:rPr>
          <w:rFonts w:ascii="Times New Roman" w:cs="Times New Roman" w:eastAsia="Times New Roman" w:hAnsi="Times New Roman"/>
          <w:sz w:val="18"/>
          <w:szCs w:val="18"/>
          <w:color w:val="auto"/>
        </w:rPr>
        <w:t>Each Annual Equity Award and New Director Equity Award will be made under and subject to the terms and conditions of the Company’s 2025 Performance Incentive Plan or any successor equity compensation plan approved by the Company’s stockholders and in effect at the time of grant, and will be evidenced by, and subject to the terms and conditions of, any award agreement in the form approved by the Board to evidence such type of grant pursuant to this policy.</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Expense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-20955</wp:posOffset>
            </wp:positionV>
            <wp:extent cx="1202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182" w:lineRule="exact"/>
        <w:rPr>
          <w:sz w:val="20"/>
          <w:szCs w:val="20"/>
          <w:color w:val="auto"/>
        </w:rPr>
      </w:pPr>
    </w:p>
    <w:p>
      <w:pPr>
        <w:ind w:left="160" w:right="259" w:firstLine="436"/>
        <w:spacing w:after="0" w:line="262" w:lineRule="auto"/>
        <w:rPr>
          <w:sz w:val="20"/>
          <w:szCs w:val="20"/>
          <w:color w:val="auto"/>
        </w:rPr>
      </w:pPr>
      <w:r>
        <w:rPr>
          <w:rFonts w:ascii="Times New Roman" w:cs="Times New Roman" w:eastAsia="Times New Roman" w:hAnsi="Times New Roman"/>
          <w:sz w:val="18"/>
          <w:szCs w:val="18"/>
          <w:color w:val="auto"/>
        </w:rPr>
        <w:t>All directors will be entitled to reimbursement from the Company for their reasonable travel (including airfare and ground transportation), lodging and meal expenses incident to meetings of the Board or committees thereof or in connection with other Board related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620395</wp:posOffset>
            </wp:positionV>
            <wp:extent cx="5547360"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1" w:name="page142"/>
    <w:bookmarkEnd w:id="141"/>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HEARTFLOW,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on July 17, 2025</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 Background and Purpose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Heartflow, Inc. (“</w:t>
      </w:r>
      <w:r>
        <w:rPr>
          <w:rFonts w:ascii="Times New Roman" w:cs="Times New Roman" w:eastAsia="Times New Roman" w:hAnsi="Times New Roman"/>
          <w:sz w:val="18"/>
          <w:szCs w:val="18"/>
          <w:b w:val="1"/>
          <w:bCs w:val="1"/>
          <w:color w:val="auto"/>
        </w:rPr>
        <w:t>Heartflow</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other persons, including all members of the board</w:t>
      </w:r>
    </w:p>
    <w:p>
      <w:pPr>
        <w:jc w:val="both"/>
        <w:ind w:left="180" w:right="719"/>
        <w:spacing w:after="0" w:line="193" w:lineRule="auto"/>
        <w:rPr>
          <w:sz w:val="20"/>
          <w:szCs w:val="20"/>
          <w:color w:val="auto"/>
        </w:rPr>
      </w:pPr>
      <w:r>
        <w:rPr>
          <w:rFonts w:ascii="Times New Roman" w:cs="Times New Roman" w:eastAsia="Times New Roman" w:hAnsi="Times New Roman"/>
          <w:sz w:val="18"/>
          <w:szCs w:val="18"/>
          <w:color w:val="auto"/>
        </w:rPr>
        <w:t>of directors (each,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employees and officers of Heartflow and its subsidiaries, are subject to federal and state “insider trading” laws with respect to transactions in a company’s securities. These laws prohibit (a)</w:t>
      </w:r>
    </w:p>
    <w:p>
      <w:pPr>
        <w:spacing w:after="0" w:line="1" w:lineRule="exact"/>
        <w:rPr>
          <w:sz w:val="20"/>
          <w:szCs w:val="20"/>
          <w:color w:val="auto"/>
        </w:rPr>
      </w:pPr>
    </w:p>
    <w:p>
      <w:pPr>
        <w:jc w:val="both"/>
        <w:ind w:left="180" w:right="719"/>
        <w:spacing w:after="0" w:line="210" w:lineRule="auto"/>
        <w:rPr>
          <w:sz w:val="20"/>
          <w:szCs w:val="20"/>
          <w:color w:val="auto"/>
        </w:rPr>
      </w:pPr>
      <w:r>
        <w:rPr>
          <w:rFonts w:ascii="Times New Roman" w:cs="Times New Roman" w:eastAsia="Times New Roman" w:hAnsi="Times New Roman"/>
          <w:sz w:val="18"/>
          <w:szCs w:val="18"/>
          <w:color w:val="auto"/>
        </w:rPr>
        <w:t>“trading in” (as defined in Section 4 below) securities on the basis of Material Nonpublic Information (as defined in Section 3 below) and (b) disclosing Material Nonpublic Information to others who might trade on the basis of that information. Anyone violating these laws is subject to personal liability and could face criminal penalties. Companies and their controlling persons are also subject to liability if they fail to take reasonable steps to prevent insider trading by company personnel.</w:t>
      </w:r>
    </w:p>
    <w:p>
      <w:pPr>
        <w:spacing w:after="0" w:line="156" w:lineRule="exact"/>
        <w:rPr>
          <w:sz w:val="20"/>
          <w:szCs w:val="20"/>
          <w:color w:val="auto"/>
        </w:rPr>
      </w:pPr>
    </w:p>
    <w:p>
      <w:pPr>
        <w:jc w:val="both"/>
        <w:ind w:left="180" w:right="719" w:firstLine="655"/>
        <w:spacing w:after="0" w:line="215" w:lineRule="auto"/>
        <w:rPr>
          <w:sz w:val="20"/>
          <w:szCs w:val="20"/>
          <w:color w:val="auto"/>
        </w:rPr>
      </w:pPr>
      <w:r>
        <w:rPr>
          <w:rFonts w:ascii="Times New Roman" w:cs="Times New Roman" w:eastAsia="Times New Roman" w:hAnsi="Times New Roman"/>
          <w:sz w:val="18"/>
          <w:szCs w:val="18"/>
          <w:color w:val="auto"/>
        </w:rPr>
        <w:t xml:space="preserve">Heartflow has adopted this policy to promote compliance with federal and state insider trading laws and to protect Heartflow and its directors, employees and officers (including employees and officers of subsidiaries of Heartflow) from the serious liabilities and penalties that can result from trading in Heartflow or other specified securities in violation of these laws. </w:t>
      </w:r>
      <w:r>
        <w:rPr>
          <w:rFonts w:ascii="Times New Roman" w:cs="Times New Roman" w:eastAsia="Times New Roman" w:hAnsi="Times New Roman"/>
          <w:sz w:val="18"/>
          <w:szCs w:val="18"/>
          <w:b w:val="1"/>
          <w:bCs w:val="1"/>
          <w:color w:val="auto"/>
        </w:rPr>
        <w:t>You, however, are responsible for ensuring that you do not violate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federal or state insider trading laws or this policy.</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2. Scope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180" w:right="719" w:firstLine="641"/>
        <w:spacing w:after="0" w:line="205" w:lineRule="auto"/>
        <w:rPr>
          <w:sz w:val="20"/>
          <w:szCs w:val="20"/>
          <w:color w:val="auto"/>
        </w:rPr>
      </w:pPr>
      <w:r>
        <w:rPr>
          <w:rFonts w:ascii="Times New Roman" w:cs="Times New Roman" w:eastAsia="Times New Roman" w:hAnsi="Times New Roman"/>
          <w:sz w:val="18"/>
          <w:szCs w:val="18"/>
          <w:color w:val="auto"/>
        </w:rPr>
        <w:t>This policy applies to all directors, officers and employees of Heartflow or its subsidiaries and any outsiders such as consultants or contractors whom the Chief Legal &amp; Compliance Officer of Heartflow has</w:t>
      </w:r>
    </w:p>
    <w:p>
      <w:pPr>
        <w:jc w:val="both"/>
        <w:ind w:left="180" w:right="719"/>
        <w:spacing w:after="0" w:line="212" w:lineRule="auto"/>
        <w:rPr>
          <w:sz w:val="20"/>
          <w:szCs w:val="20"/>
          <w:color w:val="auto"/>
        </w:rPr>
      </w:pPr>
      <w:r>
        <w:rPr>
          <w:rFonts w:ascii="Times New Roman" w:cs="Times New Roman" w:eastAsia="Times New Roman" w:hAnsi="Times New Roman"/>
          <w:sz w:val="18"/>
          <w:szCs w:val="18"/>
          <w:color w:val="auto"/>
        </w:rPr>
        <w:t>designated as subject to this policy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because they have access to Material Nonpublic Information concerning Heartflow or its subsidiaries. The restrictions in this policy also apply to each Insiders’ “</w:t>
      </w:r>
      <w:r>
        <w:rPr>
          <w:rFonts w:ascii="Times New Roman" w:cs="Times New Roman" w:eastAsia="Times New Roman" w:hAnsi="Times New Roman"/>
          <w:sz w:val="18"/>
          <w:szCs w:val="18"/>
          <w:b w:val="1"/>
          <w:bCs w:val="1"/>
          <w:color w:val="auto"/>
        </w:rPr>
        <w:t>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 Entities</w:t>
      </w:r>
      <w:r>
        <w:rPr>
          <w:rFonts w:ascii="Times New Roman" w:cs="Times New Roman" w:eastAsia="Times New Roman" w:hAnsi="Times New Roman"/>
          <w:sz w:val="18"/>
          <w:szCs w:val="18"/>
          <w:color w:val="auto"/>
        </w:rPr>
        <w:t>” (as described below and which are collectively referred to herein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Persons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An Insider’s Family Members includes:</w:t>
      </w:r>
    </w:p>
    <w:p>
      <w:pPr>
        <w:spacing w:after="0" w:line="167" w:lineRule="exact"/>
        <w:rPr>
          <w:sz w:val="20"/>
          <w:szCs w:val="20"/>
          <w:color w:val="auto"/>
        </w:rPr>
      </w:pPr>
    </w:p>
    <w:p>
      <w:pPr>
        <w:ind w:left="820" w:right="1019" w:hanging="330"/>
        <w:spacing w:after="0" w:line="220" w:lineRule="auto"/>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Insider’s spouse or domestic partner, child, stepchild, grandchild, parent, stepparent, grandparent, sibling or in-law living in the Insider’s household;</w:t>
      </w:r>
    </w:p>
    <w:p>
      <w:pPr>
        <w:spacing w:after="0" w:line="1" w:lineRule="exact"/>
        <w:rPr>
          <w:rFonts w:ascii="Times New Roman" w:cs="Times New Roman" w:eastAsia="Times New Roman" w:hAnsi="Times New Roman"/>
          <w:sz w:val="18"/>
          <w:szCs w:val="18"/>
          <w:color w:val="auto"/>
        </w:rPr>
      </w:pPr>
    </w:p>
    <w:p>
      <w:pPr>
        <w:ind w:left="820" w:right="1419" w:hanging="330"/>
        <w:spacing w:after="0" w:line="201" w:lineRule="auto"/>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Insider’s child who does not reside in the same household with the Insider but is financially dependent upon the Insider;</w:t>
      </w:r>
    </w:p>
    <w:p>
      <w:pPr>
        <w:ind w:left="820" w:right="1299" w:hanging="330"/>
        <w:spacing w:after="0" w:line="201" w:lineRule="auto"/>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family member of the Insider who does not reside in the Insider’s household but whose transactions in securities are directed by the Insider; and</w:t>
      </w:r>
    </w:p>
    <w:p>
      <w:pPr>
        <w:ind w:left="820" w:right="739" w:hanging="330"/>
        <w:spacing w:after="0" w:line="223" w:lineRule="auto"/>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individual (whether or not residing in the same household as the Insider) whose transactions are directed by the Insider and to whom the Insider materially contributes financial support.</w:t>
      </w:r>
    </w:p>
    <w:p>
      <w:pPr>
        <w:spacing w:after="0" w:line="14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Entity includes:</w:t>
      </w:r>
    </w:p>
    <w:p>
      <w:pPr>
        <w:spacing w:after="0" w:line="180" w:lineRule="exact"/>
        <w:rPr>
          <w:rFonts w:ascii="Times New Roman" w:cs="Times New Roman" w:eastAsia="Times New Roman" w:hAnsi="Times New Roman"/>
          <w:sz w:val="18"/>
          <w:szCs w:val="18"/>
          <w:color w:val="auto"/>
        </w:rPr>
      </w:pPr>
    </w:p>
    <w:p>
      <w:pPr>
        <w:ind w:left="820" w:right="799" w:hanging="330"/>
        <w:spacing w:after="0" w:line="212" w:lineRule="auto"/>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partnership or other entity controlled, managed or where the Insider and/or any of their Family Members have a practical ability to make all investment decisions by such person;</w:t>
      </w:r>
    </w:p>
    <w:p>
      <w:pPr>
        <w:spacing w:after="0" w:line="1" w:lineRule="exact"/>
        <w:rPr>
          <w:rFonts w:ascii="Times New Roman" w:cs="Times New Roman" w:eastAsia="Times New Roman" w:hAnsi="Times New Roman"/>
          <w:sz w:val="18"/>
          <w:szCs w:val="18"/>
          <w:color w:val="auto"/>
        </w:rPr>
      </w:pPr>
    </w:p>
    <w:p>
      <w:pPr>
        <w:ind w:left="820" w:right="799" w:hanging="330"/>
        <w:spacing w:after="0" w:line="223" w:lineRule="auto"/>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for which the Insider and/or any of his or her Family Members is the trustee or has a beneficial pecuniary interest;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114935</wp:posOffset>
            </wp:positionV>
            <wp:extent cx="554736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2" w:name="page143"/>
    <w:bookmarkEnd w:id="142"/>
    <w:p>
      <w:pPr>
        <w:ind w:left="820" w:hanging="330"/>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estates of which the Insider and/or any of his or her Family Members is an executor or beneficiary.</w:t>
      </w:r>
    </w:p>
    <w:p>
      <w:pPr>
        <w:spacing w:after="0" w:line="179" w:lineRule="exact"/>
        <w:rPr>
          <w:sz w:val="20"/>
          <w:szCs w:val="20"/>
          <w:color w:val="auto"/>
        </w:rPr>
      </w:pPr>
    </w:p>
    <w:p>
      <w:pPr>
        <w:jc w:val="both"/>
        <w:ind w:left="180" w:right="719" w:firstLine="626"/>
        <w:spacing w:after="0" w:line="224" w:lineRule="auto"/>
        <w:rPr>
          <w:sz w:val="20"/>
          <w:szCs w:val="20"/>
          <w:color w:val="auto"/>
        </w:rPr>
      </w:pPr>
      <w:r>
        <w:rPr>
          <w:rFonts w:ascii="Times New Roman" w:cs="Times New Roman" w:eastAsia="Times New Roman" w:hAnsi="Times New Roman"/>
          <w:sz w:val="18"/>
          <w:szCs w:val="18"/>
          <w:color w:val="auto"/>
        </w:rPr>
        <w:t>You are responsible for ensuring that each of your Related Persons complies with this policy. You should make all of your Related Persons aware of this policy and the need for such Related Person to confer with you before they trade in Heartflow securities.</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3. Definition of Material Nonpublic Information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180" w:right="719" w:firstLine="642"/>
        <w:spacing w:after="0" w:line="221" w:lineRule="auto"/>
        <w:rPr>
          <w:sz w:val="20"/>
          <w:szCs w:val="20"/>
          <w:color w:val="auto"/>
        </w:rPr>
      </w:pPr>
      <w:r>
        <w:rPr>
          <w:rFonts w:ascii="Times New Roman" w:cs="Times New Roman" w:eastAsia="Times New Roman" w:hAnsi="Times New Roman"/>
          <w:sz w:val="17"/>
          <w:szCs w:val="17"/>
          <w:color w:val="auto"/>
        </w:rPr>
        <w:t>Trading in Heartflow securities “on the basis of” Material Nonpublic Information about Heartflow or Heartflow securities is prohibited. The term “on the basis of” is generally determined to be met where the person trading in securities was aware of or possessed Material Nonpublic Information at the time of the transaction. For</w:t>
      </w:r>
    </w:p>
    <w:p>
      <w:pPr>
        <w:spacing w:after="0" w:line="1" w:lineRule="exact"/>
        <w:rPr>
          <w:sz w:val="20"/>
          <w:szCs w:val="20"/>
          <w:color w:val="auto"/>
        </w:rPr>
      </w:pPr>
    </w:p>
    <w:p>
      <w:pPr>
        <w:jc w:val="both"/>
        <w:ind w:left="180" w:right="719"/>
        <w:spacing w:after="0" w:line="216" w:lineRule="auto"/>
        <w:rPr>
          <w:sz w:val="20"/>
          <w:szCs w:val="20"/>
          <w:color w:val="auto"/>
        </w:rPr>
      </w:pPr>
      <w:r>
        <w:rPr>
          <w:rFonts w:ascii="Times New Roman" w:cs="Times New Roman" w:eastAsia="Times New Roman" w:hAnsi="Times New Roman"/>
          <w:sz w:val="18"/>
          <w:szCs w:val="18"/>
          <w:color w:val="auto"/>
        </w:rPr>
        <w:t>purposes of determining whether information is “Material Nonpublic Information,” the following provisions apply:</w:t>
      </w:r>
    </w:p>
    <w:p>
      <w:pPr>
        <w:spacing w:after="0" w:line="1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 Material Information</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left="180" w:right="719" w:firstLine="642"/>
        <w:spacing w:after="0" w:line="213" w:lineRule="auto"/>
        <w:rPr>
          <w:sz w:val="20"/>
          <w:szCs w:val="20"/>
          <w:color w:val="auto"/>
        </w:rPr>
      </w:pPr>
      <w:r>
        <w:rPr>
          <w:rFonts w:ascii="Times New Roman" w:cs="Times New Roman" w:eastAsia="Times New Roman" w:hAnsi="Times New Roman"/>
          <w:sz w:val="18"/>
          <w:szCs w:val="18"/>
          <w:color w:val="auto"/>
        </w:rPr>
        <w:t>Information about Heartflow or Heartflow securities is considered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if there is a substantial likelihood that a reasonable investor would consider the information important in making a decision to purchase, hold or sell Heartflow securities. Any information, if publicly disclosed, that could be expected to affect the value of Heartflow’s securities, whether it is positive or negative, should be considered material information. While it is not possible to define all categories of material information, the following list illustrates various items that could be regarded as material with respect to the Company:</w:t>
      </w:r>
    </w:p>
    <w:p>
      <w:pPr>
        <w:spacing w:after="0" w:line="157" w:lineRule="exact"/>
        <w:rPr>
          <w:sz w:val="20"/>
          <w:szCs w:val="20"/>
          <w:color w:val="auto"/>
        </w:rPr>
      </w:pPr>
    </w:p>
    <w:p>
      <w:pPr>
        <w:ind w:left="820" w:right="819" w:hanging="330"/>
        <w:spacing w:after="0" w:line="220"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information and projections of earnings information, including estimates of earnings, sales and income or loss;</w:t>
      </w:r>
    </w:p>
    <w:p>
      <w:pPr>
        <w:spacing w:after="0" w:line="1" w:lineRule="exact"/>
        <w:rPr>
          <w:rFonts w:ascii="Times New Roman" w:cs="Times New Roman" w:eastAsia="Times New Roman" w:hAnsi="Times New Roman"/>
          <w:sz w:val="18"/>
          <w:szCs w:val="18"/>
          <w:color w:val="auto"/>
        </w:rPr>
      </w:pPr>
    </w:p>
    <w:p>
      <w:pPr>
        <w:ind w:left="820"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product developments;</w:t>
      </w:r>
    </w:p>
    <w:p>
      <w:pPr>
        <w:ind w:left="820" w:hanging="330"/>
        <w:spacing w:after="0" w:line="185"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ind w:left="820"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acquisition or disposition of significant assets;</w:t>
      </w:r>
    </w:p>
    <w:p>
      <w:pPr>
        <w:ind w:left="820"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joint venture or licensing or strategic collaboration out of the ordinary course;</w:t>
      </w:r>
    </w:p>
    <w:p>
      <w:pPr>
        <w:ind w:left="820"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restructuring of the Company;</w:t>
      </w:r>
    </w:p>
    <w:p>
      <w:pPr>
        <w:ind w:left="820"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ind w:left="820"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ind w:left="820" w:right="1319"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events regarding the Company’s securities or borrowings, such as repurchase plans or defaults on debt securities or loan agreements;</w:t>
      </w:r>
    </w:p>
    <w:p>
      <w:pPr>
        <w:ind w:left="820"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executive management;</w:t>
      </w:r>
    </w:p>
    <w:p>
      <w:pPr>
        <w:ind w:left="820"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Company may no longer rely on an auditor’s audit report;</w:t>
      </w:r>
    </w:p>
    <w:p>
      <w:pPr>
        <w:ind w:left="820"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offerings of debt or equity securities;</w:t>
      </w:r>
    </w:p>
    <w:p>
      <w:pPr>
        <w:ind w:left="820" w:hanging="330"/>
        <w:spacing w:after="0" w:line="20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 or other cybersecurity- or data privacy-related events; or</w:t>
      </w:r>
    </w:p>
    <w:p>
      <w:pPr>
        <w:ind w:left="820" w:right="819" w:hanging="330"/>
        <w:spacing w:after="0" w:line="223"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regulatory actions involving the Company or significant litigation matters and developments in such litigation.</w:t>
      </w:r>
    </w:p>
    <w:p>
      <w:pPr>
        <w:spacing w:after="0" w:line="156" w:lineRule="exact"/>
        <w:rPr>
          <w:sz w:val="20"/>
          <w:szCs w:val="20"/>
          <w:color w:val="auto"/>
        </w:rPr>
      </w:pPr>
    </w:p>
    <w:p>
      <w:pPr>
        <w:ind w:left="180" w:right="719" w:firstLine="642"/>
        <w:spacing w:after="0" w:line="205" w:lineRule="auto"/>
        <w:rPr>
          <w:sz w:val="20"/>
          <w:szCs w:val="20"/>
          <w:color w:val="auto"/>
        </w:rPr>
      </w:pPr>
      <w:r>
        <w:rPr>
          <w:rFonts w:ascii="Times New Roman" w:cs="Times New Roman" w:eastAsia="Times New Roman" w:hAnsi="Times New Roman"/>
          <w:sz w:val="18"/>
          <w:szCs w:val="18"/>
          <w:color w:val="auto"/>
        </w:rPr>
        <w:t>Because trading that receives scrutiny will be evaluated after the fact with the benefit of hindsight, questions concerning the materiality of particular information should be resolved in favor of materiality and</w:t>
      </w:r>
    </w:p>
    <w:p>
      <w:pPr>
        <w:ind w:left="180"/>
        <w:spacing w:after="0"/>
        <w:rPr>
          <w:sz w:val="20"/>
          <w:szCs w:val="20"/>
          <w:color w:val="auto"/>
        </w:rPr>
      </w:pPr>
      <w:r>
        <w:rPr>
          <w:rFonts w:ascii="Times New Roman" w:cs="Times New Roman" w:eastAsia="Times New Roman" w:hAnsi="Times New Roman"/>
          <w:sz w:val="18"/>
          <w:szCs w:val="18"/>
          <w:color w:val="auto"/>
        </w:rPr>
        <w:t>trading should be avoided.</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B. Nonpublic Information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Information that has not been disclosed to the public is generally considered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130175</wp:posOffset>
            </wp:positionV>
            <wp:extent cx="5547360"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95" w:right="1440" w:bottom="1440" w:gutter="0" w:footer="0" w:header="0"/>
        </w:sectPr>
      </w:pPr>
    </w:p>
    <w:bookmarkStart w:id="143" w:name="page144"/>
    <w:bookmarkEnd w:id="143"/>
    <w:p>
      <w:pPr>
        <w:jc w:val="both"/>
        <w:ind w:left="180" w:right="719"/>
        <w:spacing w:after="0" w:line="215" w:lineRule="auto"/>
        <w:rPr>
          <w:sz w:val="20"/>
          <w:szCs w:val="20"/>
          <w:color w:val="auto"/>
        </w:rPr>
      </w:pPr>
      <w:r>
        <w:rPr>
          <w:rFonts w:ascii="Times New Roman" w:cs="Times New Roman" w:eastAsia="Times New Roman" w:hAnsi="Times New Roman"/>
          <w:sz w:val="18"/>
          <w:szCs w:val="18"/>
          <w:color w:val="auto"/>
        </w:rPr>
        <w:t>be “</w:t>
      </w:r>
      <w:r>
        <w:rPr>
          <w:rFonts w:ascii="Times New Roman" w:cs="Times New Roman" w:eastAsia="Times New Roman" w:hAnsi="Times New Roman"/>
          <w:sz w:val="18"/>
          <w:szCs w:val="18"/>
          <w:b w:val="1"/>
          <w:bCs w:val="1"/>
          <w:color w:val="auto"/>
        </w:rPr>
        <w:t>nonpublic</w:t>
      </w:r>
      <w:r>
        <w:rPr>
          <w:rFonts w:ascii="Times New Roman" w:cs="Times New Roman" w:eastAsia="Times New Roman" w:hAnsi="Times New Roman"/>
          <w:sz w:val="18"/>
          <w:szCs w:val="18"/>
          <w:color w:val="auto"/>
        </w:rPr>
        <w:t>” information unless and until it has been effectively communicated to the public and sufficient time has elapsed to permit the market to absorb and evaluate the information. In order to establish that the</w:t>
      </w:r>
    </w:p>
    <w:p>
      <w:pPr>
        <w:jc w:val="both"/>
        <w:ind w:left="180" w:right="719"/>
        <w:spacing w:after="0" w:line="205" w:lineRule="auto"/>
        <w:rPr>
          <w:sz w:val="20"/>
          <w:szCs w:val="20"/>
          <w:color w:val="auto"/>
        </w:rPr>
      </w:pPr>
      <w:r>
        <w:rPr>
          <w:rFonts w:ascii="Times New Roman" w:cs="Times New Roman" w:eastAsia="Times New Roman" w:hAnsi="Times New Roman"/>
          <w:sz w:val="17"/>
          <w:szCs w:val="17"/>
          <w:color w:val="auto"/>
        </w:rPr>
        <w:t>information has been effectively communicated to the public, it may be necessary to demonstrate that the information has been widely disseminated. Information generally would be considered to be widely disseminated</w:t>
      </w:r>
    </w:p>
    <w:p>
      <w:pPr>
        <w:jc w:val="both"/>
        <w:ind w:left="180" w:right="719"/>
        <w:spacing w:after="0" w:line="206" w:lineRule="auto"/>
        <w:rPr>
          <w:sz w:val="20"/>
          <w:szCs w:val="20"/>
          <w:color w:val="auto"/>
        </w:rPr>
      </w:pPr>
      <w:r>
        <w:rPr>
          <w:rFonts w:ascii="Times New Roman" w:cs="Times New Roman" w:eastAsia="Times New Roman" w:hAnsi="Times New Roman"/>
          <w:sz w:val="18"/>
          <w:szCs w:val="18"/>
          <w:color w:val="auto"/>
        </w:rPr>
        <w:t>if it has been distributed by means of a press release, on a newswire, published in a widely-available newspaper, magazine or news service, broadcast on a widely-available radio or television program or disclosed in a public disclosure document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available on the SEC’s website. As a general rule, information should be considered nonpublic until the closing of the second full trading day after public disclosure. Depending on the particular circumstances, Heartflow may determine that a longer period should apply to the release of specific Material Nonpublic Information. A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national stock exchanges, including The Nasdaq Stock Market LLC, are open for trading. If you have any question as to whether information is publicly available, please direct an inquiry to the Chief Legal &amp; Compliance Officer.</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4. Policy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All Insiders are prohibited from (a) trading in Heartflow securities when they are aware of Material</w:t>
      </w:r>
    </w:p>
    <w:p>
      <w:pPr>
        <w:jc w:val="both"/>
        <w:ind w:left="180" w:right="739"/>
        <w:spacing w:after="0" w:line="193" w:lineRule="auto"/>
        <w:rPr>
          <w:sz w:val="20"/>
          <w:szCs w:val="20"/>
          <w:color w:val="auto"/>
        </w:rPr>
      </w:pPr>
      <w:r>
        <w:rPr>
          <w:rFonts w:ascii="Times New Roman" w:cs="Times New Roman" w:eastAsia="Times New Roman" w:hAnsi="Times New Roman"/>
          <w:sz w:val="18"/>
          <w:szCs w:val="18"/>
          <w:color w:val="auto"/>
        </w:rPr>
        <w:t>Nonpublic Information concerning Heartflow or its subsidiaries and (b) disclosing Material Nonpublic Information concerning Heartflow to any other person (including family members, friends or any other person</w:t>
      </w:r>
    </w:p>
    <w:p>
      <w:pPr>
        <w:spacing w:after="0" w:line="1" w:lineRule="exact"/>
        <w:rPr>
          <w:sz w:val="20"/>
          <w:szCs w:val="20"/>
          <w:color w:val="auto"/>
        </w:rPr>
      </w:pPr>
    </w:p>
    <w:p>
      <w:pPr>
        <w:jc w:val="both"/>
        <w:ind w:left="180" w:right="739"/>
        <w:spacing w:after="0" w:line="237" w:lineRule="auto"/>
        <w:rPr>
          <w:sz w:val="20"/>
          <w:szCs w:val="20"/>
          <w:color w:val="auto"/>
        </w:rPr>
      </w:pPr>
      <w:r>
        <w:rPr>
          <w:rFonts w:ascii="Times New Roman" w:cs="Times New Roman" w:eastAsia="Times New Roman" w:hAnsi="Times New Roman"/>
          <w:sz w:val="17"/>
          <w:szCs w:val="17"/>
          <w:color w:val="auto"/>
        </w:rPr>
        <w:t>who might use such information for trading or might pass it along to others who might trade) or recommending that any other person trade in Heartflow securities while the Insider is aware of Material Nonpublic Information.</w:t>
      </w:r>
    </w:p>
    <w:p>
      <w:pPr>
        <w:spacing w:after="0" w:line="155" w:lineRule="exact"/>
        <w:rPr>
          <w:sz w:val="20"/>
          <w:szCs w:val="20"/>
          <w:color w:val="auto"/>
        </w:rPr>
      </w:pPr>
    </w:p>
    <w:p>
      <w:pPr>
        <w:jc w:val="both"/>
        <w:ind w:left="180" w:right="719" w:firstLine="655"/>
        <w:spacing w:after="0" w:line="203" w:lineRule="auto"/>
        <w:rPr>
          <w:sz w:val="20"/>
          <w:szCs w:val="20"/>
          <w:color w:val="auto"/>
        </w:rPr>
      </w:pPr>
      <w:r>
        <w:rPr>
          <w:rFonts w:ascii="Times New Roman" w:cs="Times New Roman" w:eastAsia="Times New Roman" w:hAnsi="Times New Roman"/>
          <w:sz w:val="18"/>
          <w:szCs w:val="18"/>
          <w:color w:val="auto"/>
        </w:rPr>
        <w:t>Material Nonpublic Information is not restricted to information relating only to Heartflow. Material Nonpublic Information could be information relating to any other entity with which Heartflow does business or is involved in a business relationship, such as a customer, business partner or potential transaction party. Therefore, Insiders are also prohibited from (a) trading in the securities of any other public company while aware of Material Nonpublic Information concerning that company that was obtained in the course of their employment with Heartflow or its subsidiaries or while otherwise providing services to Heartflow or its subsidiaries or (b) disclosing any such Material Nonpublic Information to any other person or recommending that any other person trade in such other public company’s securities while the Insider is aware of Material Nonpublic Information concerning that company.</w:t>
      </w:r>
    </w:p>
    <w:p>
      <w:pPr>
        <w:spacing w:after="0" w:line="168" w:lineRule="exact"/>
        <w:rPr>
          <w:sz w:val="20"/>
          <w:szCs w:val="20"/>
          <w:color w:val="auto"/>
        </w:rPr>
      </w:pPr>
    </w:p>
    <w:p>
      <w:pPr>
        <w:ind w:left="180" w:right="939" w:firstLine="644"/>
        <w:spacing w:after="0" w:line="223" w:lineRule="auto"/>
        <w:rPr>
          <w:sz w:val="20"/>
          <w:szCs w:val="20"/>
          <w:color w:val="auto"/>
        </w:rPr>
      </w:pPr>
      <w:r>
        <w:rPr>
          <w:rFonts w:ascii="Times New Roman" w:cs="Times New Roman" w:eastAsia="Times New Roman" w:hAnsi="Times New Roman"/>
          <w:sz w:val="18"/>
          <w:szCs w:val="18"/>
          <w:color w:val="auto"/>
        </w:rPr>
        <w:t>For purposes of this policy, “trade in” or “trading in” Heartflow securities applies to all purchases and sales of Heartflow securities, including:</w:t>
      </w:r>
    </w:p>
    <w:p>
      <w:pPr>
        <w:spacing w:after="0" w:line="143" w:lineRule="exact"/>
        <w:rPr>
          <w:sz w:val="20"/>
          <w:szCs w:val="20"/>
          <w:color w:val="auto"/>
        </w:rPr>
      </w:pPr>
    </w:p>
    <w:p>
      <w:pPr>
        <w:ind w:left="820" w:hanging="330"/>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open market purchases or sales of Heartflow securities;</w:t>
      </w:r>
    </w:p>
    <w:p>
      <w:pPr>
        <w:ind w:left="820" w:right="1259" w:hanging="330"/>
        <w:spacing w:after="0" w:line="201" w:lineRule="auto"/>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common stock acquired upon the vesting of restricted stock or stock unit awards or the exercise of stock options;</w:t>
      </w:r>
    </w:p>
    <w:p>
      <w:pPr>
        <w:ind w:left="820" w:right="839" w:hanging="330"/>
        <w:spacing w:after="0" w:line="209" w:lineRule="auto"/>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derivative securities, such as put options, call options and short or forward sales; and</w:t>
      </w:r>
    </w:p>
    <w:p>
      <w:pPr>
        <w:ind w:left="820" w:hanging="330"/>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transfer for value of Heartflow securities.</w:t>
      </w:r>
    </w:p>
    <w:p>
      <w:pPr>
        <w:spacing w:after="0" w:line="147" w:lineRule="exact"/>
        <w:rPr>
          <w:sz w:val="20"/>
          <w:szCs w:val="20"/>
          <w:color w:val="auto"/>
        </w:rPr>
      </w:pPr>
    </w:p>
    <w:p>
      <w:pPr>
        <w:jc w:val="both"/>
        <w:ind w:left="180" w:right="739" w:firstLine="655"/>
        <w:spacing w:after="0" w:line="224" w:lineRule="auto"/>
        <w:rPr>
          <w:sz w:val="20"/>
          <w:szCs w:val="20"/>
          <w:color w:val="auto"/>
        </w:rPr>
      </w:pPr>
      <w:r>
        <w:rPr>
          <w:rFonts w:ascii="Times New Roman" w:cs="Times New Roman" w:eastAsia="Times New Roman" w:hAnsi="Times New Roman"/>
          <w:sz w:val="18"/>
          <w:szCs w:val="18"/>
          <w:color w:val="auto"/>
        </w:rPr>
        <w:t>In certain circumstances, a disposition of Heartflow securities by bona fide gift to a third party (including charitable donations and transfers for estate planning purposes) can be considered trading in Heartflow securities. See Section 7 below for further information.</w:t>
      </w:r>
    </w:p>
    <w:p>
      <w:pPr>
        <w:spacing w:after="0" w:line="1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Notwithstanding the foregoing, “trading in” Heartflow securities does not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130175</wp:posOffset>
            </wp:positionV>
            <wp:extent cx="5547360"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304" w:right="1440" w:bottom="1440" w:gutter="0" w:footer="0" w:header="0"/>
        </w:sectPr>
      </w:pPr>
    </w:p>
    <w:bookmarkStart w:id="144" w:name="page145"/>
    <w:bookmarkEnd w:id="144"/>
    <w:p>
      <w:pPr>
        <w:ind w:left="820" w:hanging="330"/>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restricted stock or stock unit awards;</w:t>
      </w:r>
    </w:p>
    <w:p>
      <w:pPr>
        <w:ind w:left="820" w:right="1019" w:hanging="330"/>
        <w:spacing w:after="0" w:line="201" w:lineRule="auto"/>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of Heartflow securities by Heartflow to satisfy a tax withholding obligation upon the vesting of restricted stock or stock unit awards;</w:t>
      </w:r>
    </w:p>
    <w:p>
      <w:pPr>
        <w:ind w:left="820" w:right="879" w:hanging="330"/>
        <w:spacing w:after="0" w:line="201" w:lineRule="auto"/>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Heartflow securities upon the exercise of Heartflow stock options where the exercise price and applicable tax withholding amounts are paid in cash or if there is a “net exercise” (the withholding by Heartflow of the shares underlying a stock option to pay the exercise price and/or tax withholding obligation); or</w:t>
      </w:r>
    </w:p>
    <w:p>
      <w:pPr>
        <w:spacing w:after="0" w:line="1" w:lineRule="exact"/>
        <w:rPr>
          <w:rFonts w:ascii="Times New Roman" w:cs="Times New Roman" w:eastAsia="Times New Roman" w:hAnsi="Times New Roman"/>
          <w:sz w:val="18"/>
          <w:szCs w:val="18"/>
          <w:color w:val="auto"/>
        </w:rPr>
      </w:pPr>
    </w:p>
    <w:p>
      <w:pPr>
        <w:ind w:left="820" w:hanging="330"/>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Heartflow securities by bona fide gift from a third party.</w:t>
      </w:r>
    </w:p>
    <w:p>
      <w:pPr>
        <w:spacing w:after="0" w:line="160" w:lineRule="exact"/>
        <w:rPr>
          <w:sz w:val="20"/>
          <w:szCs w:val="20"/>
          <w:color w:val="auto"/>
        </w:rPr>
      </w:pPr>
    </w:p>
    <w:p>
      <w:pPr>
        <w:jc w:val="both"/>
        <w:ind w:left="180" w:right="719" w:firstLine="655"/>
        <w:spacing w:after="0" w:line="212" w:lineRule="auto"/>
        <w:rPr>
          <w:sz w:val="20"/>
          <w:szCs w:val="20"/>
          <w:color w:val="auto"/>
        </w:rPr>
      </w:pPr>
      <w:r>
        <w:rPr>
          <w:rFonts w:ascii="Times New Roman" w:cs="Times New Roman" w:eastAsia="Times New Roman" w:hAnsi="Times New Roman"/>
          <w:sz w:val="18"/>
          <w:szCs w:val="18"/>
          <w:color w:val="auto"/>
        </w:rPr>
        <w:t xml:space="preserve">In addition, trading in Heartflow securities pursuant to a Rule 10b5-1 trading plan is not subject to the trading prohibitions contained in this policy provided that it satisfies the requirements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of</w:t>
      </w:r>
    </w:p>
    <w:p>
      <w:pPr>
        <w:spacing w:after="0" w:line="2" w:lineRule="exact"/>
        <w:rPr>
          <w:sz w:val="20"/>
          <w:szCs w:val="20"/>
          <w:color w:val="auto"/>
        </w:rPr>
      </w:pPr>
    </w:p>
    <w:p>
      <w:pPr>
        <w:jc w:val="both"/>
        <w:ind w:left="180" w:right="719"/>
        <w:spacing w:after="0" w:line="193" w:lineRule="auto"/>
        <w:rPr>
          <w:sz w:val="20"/>
          <w:szCs w:val="20"/>
          <w:color w:val="auto"/>
        </w:rPr>
      </w:pPr>
      <w:r>
        <w:rPr>
          <w:rFonts w:ascii="Times New Roman" w:cs="Times New Roman" w:eastAsia="Times New Roman" w:hAnsi="Times New Roman"/>
          <w:sz w:val="18"/>
          <w:szCs w:val="18"/>
          <w:color w:val="auto"/>
        </w:rPr>
        <w:t>this policy, including the requirement that it has been approved in advance by Heartflow’s Chief Legal &amp; Compliance Officer (or their designee). In accordance with rules promulgated by the SEC, Heartflow will be</w:t>
      </w:r>
    </w:p>
    <w:p>
      <w:pPr>
        <w:spacing w:after="0" w:line="1" w:lineRule="exact"/>
        <w:rPr>
          <w:sz w:val="20"/>
          <w:szCs w:val="20"/>
          <w:color w:val="auto"/>
        </w:rPr>
      </w:pPr>
    </w:p>
    <w:p>
      <w:pPr>
        <w:jc w:val="both"/>
        <w:ind w:left="180" w:right="719"/>
        <w:spacing w:after="0" w:line="216" w:lineRule="auto"/>
        <w:rPr>
          <w:sz w:val="20"/>
          <w:szCs w:val="20"/>
          <w:color w:val="auto"/>
        </w:rPr>
      </w:pPr>
      <w:r>
        <w:rPr>
          <w:rFonts w:ascii="Times New Roman" w:cs="Times New Roman" w:eastAsia="Times New Roman" w:hAnsi="Times New Roman"/>
          <w:sz w:val="18"/>
          <w:szCs w:val="18"/>
          <w:color w:val="auto"/>
        </w:rPr>
        <w:t>required to disclose publicly the material terms of any Rule 10b5-1 trading plan adopted, modified or terminated by any officer covered by Section 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director of Heartflow.</w:t>
      </w:r>
    </w:p>
    <w:p>
      <w:pPr>
        <w:spacing w:after="0" w:line="165" w:lineRule="exact"/>
        <w:rPr>
          <w:sz w:val="20"/>
          <w:szCs w:val="20"/>
          <w:color w:val="auto"/>
        </w:rPr>
      </w:pPr>
    </w:p>
    <w:p>
      <w:pPr>
        <w:ind w:left="360" w:hanging="180"/>
        <w:spacing w:after="0"/>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Blackout and Special Blackout Periods</w:t>
      </w:r>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b w:val="1"/>
          <w:bCs w:val="1"/>
          <w:color w:val="auto"/>
        </w:rPr>
      </w:pPr>
    </w:p>
    <w:p>
      <w:pPr>
        <w:jc w:val="both"/>
        <w:ind w:left="180" w:right="719" w:firstLine="636"/>
        <w:spacing w:after="0" w:line="207" w:lineRule="auto"/>
        <w:tabs>
          <w:tab w:leader="none" w:pos="1071"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Blackout Periods</w:t>
      </w:r>
      <w:r>
        <w:rPr>
          <w:rFonts w:ascii="Times New Roman" w:cs="Times New Roman" w:eastAsia="Times New Roman" w:hAnsi="Times New Roman"/>
          <w:sz w:val="18"/>
          <w:szCs w:val="18"/>
          <w:color w:val="auto"/>
        </w:rPr>
        <w:t>. The Company’s announcement of its annual or quarterly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has the potential to have a material effect on the market for the Company’s securities. Therefore, to avoid the appearance that an Insider traded while aware of Material Nonpublic Information, this policy prohibits all Insiders (or any of his or her Related Persons) from trading in Heartflow securities beginning on the close of business (Pacific time) on either March 16, June 16, September 16 and December 16 and ending at the close of business (Pacific time) at the end of the second trading day after the date Heartflow publicly announces its annual or quarterly earnings (each, a “</w:t>
      </w:r>
      <w:r>
        <w:rPr>
          <w:rFonts w:ascii="Times New Roman" w:cs="Times New Roman" w:eastAsia="Times New Roman" w:hAnsi="Times New Roman"/>
          <w:sz w:val="18"/>
          <w:szCs w:val="18"/>
          <w:b w:val="1"/>
          <w:bCs w:val="1"/>
          <w:color w:val="auto"/>
        </w:rPr>
        <w:t>Quarterly Blackout Period</w:t>
      </w:r>
      <w:r>
        <w:rPr>
          <w:rFonts w:ascii="Times New Roman" w:cs="Times New Roman" w:eastAsia="Times New Roman" w:hAnsi="Times New Roman"/>
          <w:sz w:val="18"/>
          <w:szCs w:val="18"/>
          <w:color w:val="auto"/>
        </w:rPr>
        <w:t>”). If, for example, the Company were to publicly announce earnings on Monday prior to 9:30 a.m. Eastern Time, then the blackout period would terminate at the close of business on Tuesday. If the public earnings announcement were made on Monday after 9:30 a.m. Eastern Time, then the blackout period would terminate at the close of business on Wednesday.</w:t>
      </w:r>
    </w:p>
    <w:p>
      <w:pPr>
        <w:spacing w:after="0" w:line="151" w:lineRule="exact"/>
        <w:rPr>
          <w:rFonts w:ascii="Times New Roman" w:cs="Times New Roman" w:eastAsia="Times New Roman" w:hAnsi="Times New Roman"/>
          <w:sz w:val="18"/>
          <w:szCs w:val="18"/>
          <w:b w:val="1"/>
          <w:bCs w:val="1"/>
          <w:color w:val="auto"/>
        </w:rPr>
      </w:pPr>
    </w:p>
    <w:p>
      <w:pPr>
        <w:jc w:val="both"/>
        <w:ind w:left="180" w:right="719" w:firstLine="636"/>
        <w:spacing w:after="0" w:line="213" w:lineRule="auto"/>
        <w:tabs>
          <w:tab w:leader="none" w:pos="1048"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Blackout Periods</w:t>
      </w:r>
      <w:r>
        <w:rPr>
          <w:rFonts w:ascii="Times New Roman" w:cs="Times New Roman" w:eastAsia="Times New Roman" w:hAnsi="Times New Roman"/>
          <w:sz w:val="18"/>
          <w:szCs w:val="18"/>
          <w:color w:val="auto"/>
        </w:rPr>
        <w:t>. In addition, from time to time, due to material developments known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Heartflow that have not been disclosed publicly, Heartflow’s Chief Legal &amp; Compliance Officer may impose a special blackout period (each, a “</w:t>
      </w:r>
      <w:r>
        <w:rPr>
          <w:rFonts w:ascii="Times New Roman" w:cs="Times New Roman" w:eastAsia="Times New Roman" w:hAnsi="Times New Roman"/>
          <w:sz w:val="18"/>
          <w:szCs w:val="18"/>
          <w:b w:val="1"/>
          <w:bCs w:val="1"/>
          <w:color w:val="auto"/>
        </w:rPr>
        <w:t>Special Blackout Period</w:t>
      </w:r>
      <w:r>
        <w:rPr>
          <w:rFonts w:ascii="Times New Roman" w:cs="Times New Roman" w:eastAsia="Times New Roman" w:hAnsi="Times New Roman"/>
          <w:sz w:val="18"/>
          <w:szCs w:val="18"/>
          <w:color w:val="auto"/>
        </w:rPr>
        <w:t>”) during which time any Insiders designated by the Chief Legal &amp; Compliance Officer will be prohibited from trading in Heartflow securities. The existence of a Special Blackout Period may itself be considered under this policy as Material Nonpublic Information. No Insider may disclose to any outside person that a Special Blackout Period has been designated.</w:t>
      </w:r>
    </w:p>
    <w:p>
      <w:pPr>
        <w:spacing w:after="0" w:line="153" w:lineRule="exact"/>
        <w:rPr>
          <w:sz w:val="20"/>
          <w:szCs w:val="20"/>
          <w:color w:val="auto"/>
        </w:rPr>
      </w:pPr>
    </w:p>
    <w:p>
      <w:pPr>
        <w:ind w:left="180" w:right="739" w:firstLine="634"/>
        <w:spacing w:after="0" w:line="207" w:lineRule="auto"/>
        <w:rPr>
          <w:sz w:val="20"/>
          <w:szCs w:val="20"/>
          <w:color w:val="auto"/>
        </w:rPr>
      </w:pPr>
      <w:r>
        <w:rPr>
          <w:rFonts w:ascii="Times New Roman" w:cs="Times New Roman" w:eastAsia="Times New Roman" w:hAnsi="Times New Roman"/>
          <w:sz w:val="18"/>
          <w:szCs w:val="18"/>
          <w:b w:val="1"/>
          <w:bCs w:val="1"/>
          <w:color w:val="auto"/>
        </w:rPr>
        <w:t>The existence or non-existence of a Quarterly Blackout Period or Special Blackout Period (each, a “blackout period”) does not alter the general prohibitions against trading based on Material Nonpublic</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Information, which are applicable at all times.</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6. Mandatory Pre-Clearance for Certain Designated Insiders</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left="180" w:right="699" w:firstLine="655"/>
        <w:spacing w:after="0" w:line="215" w:lineRule="auto"/>
        <w:rPr>
          <w:sz w:val="20"/>
          <w:szCs w:val="20"/>
          <w:color w:val="auto"/>
        </w:rPr>
      </w:pPr>
      <w:r>
        <w:rPr>
          <w:rFonts w:ascii="Times New Roman" w:cs="Times New Roman" w:eastAsia="Times New Roman" w:hAnsi="Times New Roman"/>
          <w:sz w:val="18"/>
          <w:szCs w:val="18"/>
          <w:color w:val="auto"/>
        </w:rPr>
        <w:t>Heartflow requires each Designated Insider listed as a “</w:t>
      </w:r>
      <w:r>
        <w:rPr>
          <w:rFonts w:ascii="Times New Roman" w:cs="Times New Roman" w:eastAsia="Times New Roman" w:hAnsi="Times New Roman"/>
          <w:sz w:val="18"/>
          <w:szCs w:val="18"/>
          <w:b w:val="1"/>
          <w:bCs w:val="1"/>
          <w:color w:val="auto"/>
        </w:rPr>
        <w:t>Pre-Clearance Designated Insider</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b w:val="1"/>
          <w:bCs w:val="1"/>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(or any of his or her Related Persons) who desires to engage in any transaction involving Heartflow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stock purchase, stock sale, gift, contribution to a trust or other sale, transfer or acquisition) to obtain clearance of the proposed transaction from Heartflow’s Chief Legal &amp; Compliance Officer or their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116840</wp:posOffset>
            </wp:positionV>
            <wp:extent cx="5547360"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81" w:right="1440" w:bottom="1440" w:gutter="0" w:footer="0" w:header="0"/>
        </w:sectPr>
      </w:pPr>
    </w:p>
    <w:bookmarkStart w:id="145" w:name="page146"/>
    <w:bookmarkEnd w:id="145"/>
    <w:p>
      <w:pPr>
        <w:jc w:val="both"/>
        <w:ind w:left="180" w:right="719"/>
        <w:spacing w:after="0" w:line="212" w:lineRule="auto"/>
        <w:rPr>
          <w:sz w:val="20"/>
          <w:szCs w:val="20"/>
          <w:color w:val="auto"/>
        </w:rPr>
      </w:pPr>
      <w:r>
        <w:rPr>
          <w:rFonts w:ascii="Times New Roman" w:cs="Times New Roman" w:eastAsia="Times New Roman" w:hAnsi="Times New Roman"/>
          <w:sz w:val="18"/>
          <w:szCs w:val="18"/>
          <w:color w:val="auto"/>
        </w:rPr>
        <w:t>prior to initiating such transaction. Requests for pre-clearance should be submitted to the Chief Legal &amp; Compliance Officer at least two business days in advance of the proposed transaction. The Chief Legal &amp;</w:t>
      </w:r>
    </w:p>
    <w:p>
      <w:pPr>
        <w:spacing w:after="0" w:line="2" w:lineRule="exact"/>
        <w:rPr>
          <w:sz w:val="20"/>
          <w:szCs w:val="20"/>
          <w:color w:val="auto"/>
        </w:rPr>
      </w:pPr>
    </w:p>
    <w:p>
      <w:pPr>
        <w:jc w:val="both"/>
        <w:ind w:left="180" w:right="719"/>
        <w:spacing w:after="0" w:line="193" w:lineRule="auto"/>
        <w:rPr>
          <w:sz w:val="20"/>
          <w:szCs w:val="20"/>
          <w:color w:val="auto"/>
        </w:rPr>
      </w:pPr>
      <w:r>
        <w:rPr>
          <w:rFonts w:ascii="Times New Roman" w:cs="Times New Roman" w:eastAsia="Times New Roman" w:hAnsi="Times New Roman"/>
          <w:sz w:val="18"/>
          <w:szCs w:val="18"/>
          <w:color w:val="auto"/>
        </w:rPr>
        <w:t>Compliance Officer or their designee is under no obligation to approve a trade submitted for pre-clearance and may determine not to permit a trade. If the Chief Legal &amp; Compliance Officer (or any of their Related Persons)</w:t>
      </w:r>
    </w:p>
    <w:p>
      <w:pPr>
        <w:spacing w:after="0" w:line="1" w:lineRule="exact"/>
        <w:rPr>
          <w:sz w:val="20"/>
          <w:szCs w:val="20"/>
          <w:color w:val="auto"/>
        </w:rPr>
      </w:pPr>
    </w:p>
    <w:p>
      <w:pPr>
        <w:jc w:val="both"/>
        <w:ind w:left="180" w:right="699"/>
        <w:spacing w:after="0" w:line="210" w:lineRule="auto"/>
        <w:rPr>
          <w:sz w:val="20"/>
          <w:szCs w:val="20"/>
          <w:color w:val="auto"/>
        </w:rPr>
      </w:pPr>
      <w:r>
        <w:rPr>
          <w:rFonts w:ascii="Times New Roman" w:cs="Times New Roman" w:eastAsia="Times New Roman" w:hAnsi="Times New Roman"/>
          <w:sz w:val="18"/>
          <w:szCs w:val="18"/>
          <w:color w:val="auto"/>
        </w:rPr>
        <w:t>desires to engage in a transaction involving Heartflow securities, the Chief Legal &amp; Compliance Officer must obtain clearance of the proposed transaction from the Chief Financial Officer or their designee prior to initiating such transaction. All references to clearance by the Chief Legal &amp; Compliance Officer below in this section shall be deemed to also refer to any applicable clearance by the Chief Financial Officer or their designee in the case of any transaction by the Chief Legal &amp; Compliance Officer.</w:t>
      </w:r>
    </w:p>
    <w:p>
      <w:pPr>
        <w:spacing w:after="0" w:line="156" w:lineRule="exact"/>
        <w:rPr>
          <w:sz w:val="20"/>
          <w:szCs w:val="20"/>
          <w:color w:val="auto"/>
        </w:rPr>
      </w:pPr>
    </w:p>
    <w:p>
      <w:pPr>
        <w:jc w:val="both"/>
        <w:ind w:left="180" w:right="719" w:firstLine="655"/>
        <w:spacing w:after="0" w:line="205" w:lineRule="auto"/>
        <w:rPr>
          <w:sz w:val="20"/>
          <w:szCs w:val="20"/>
          <w:color w:val="auto"/>
        </w:rPr>
      </w:pPr>
      <w:r>
        <w:rPr>
          <w:rFonts w:ascii="Times New Roman" w:cs="Times New Roman" w:eastAsia="Times New Roman" w:hAnsi="Times New Roman"/>
          <w:sz w:val="18"/>
          <w:szCs w:val="18"/>
          <w:color w:val="auto"/>
        </w:rPr>
        <w:t>Notwithstanding the approval of a transaction by the Chief Legal &amp; Compliance Officer or their designee, each person subject to this policy remains responsible for determining if he or she is aware of Material Nonpublic Information. In addition, even if a transaction has been approved by the Chief Legal &amp; Compliance Officer or their designee], such transaction may not be executed if (a) the Insider becomes aware of Material Nonpublic Information concerning Heartflow, (b) the Chief Legal &amp; Compliance Officer or their designee</w:t>
      </w:r>
    </w:p>
    <w:p>
      <w:pPr>
        <w:spacing w:after="0" w:line="4" w:lineRule="exact"/>
        <w:rPr>
          <w:sz w:val="20"/>
          <w:szCs w:val="20"/>
          <w:color w:val="auto"/>
        </w:rPr>
      </w:pPr>
    </w:p>
    <w:p>
      <w:pPr>
        <w:jc w:val="both"/>
        <w:ind w:left="180" w:right="719"/>
        <w:spacing w:after="0" w:line="193" w:lineRule="auto"/>
        <w:rPr>
          <w:sz w:val="20"/>
          <w:szCs w:val="20"/>
          <w:color w:val="auto"/>
        </w:rPr>
      </w:pPr>
      <w:r>
        <w:rPr>
          <w:rFonts w:ascii="Times New Roman" w:cs="Times New Roman" w:eastAsia="Times New Roman" w:hAnsi="Times New Roman"/>
          <w:sz w:val="18"/>
          <w:szCs w:val="18"/>
          <w:color w:val="auto"/>
        </w:rPr>
        <w:t>subsequently revokes the approval or (c) a blackout period subsequently commences. Further, if a transaction is not completed within five business days of its approval (or such longer period as may be authorized by the Chief</w:t>
      </w:r>
    </w:p>
    <w:p>
      <w:pPr>
        <w:spacing w:after="0" w:line="1" w:lineRule="exact"/>
        <w:rPr>
          <w:sz w:val="20"/>
          <w:szCs w:val="20"/>
          <w:color w:val="auto"/>
        </w:rPr>
      </w:pPr>
    </w:p>
    <w:p>
      <w:pPr>
        <w:jc w:val="both"/>
        <w:ind w:left="180" w:right="719"/>
        <w:spacing w:after="0" w:line="223" w:lineRule="auto"/>
        <w:rPr>
          <w:sz w:val="20"/>
          <w:szCs w:val="20"/>
          <w:color w:val="auto"/>
        </w:rPr>
      </w:pPr>
      <w:r>
        <w:rPr>
          <w:rFonts w:ascii="Times New Roman" w:cs="Times New Roman" w:eastAsia="Times New Roman" w:hAnsi="Times New Roman"/>
          <w:sz w:val="18"/>
          <w:szCs w:val="18"/>
          <w:color w:val="auto"/>
        </w:rPr>
        <w:t>Legal &amp; Compliance Officer or their designee), the proposed transaction must be resubmitted for clearance by the Chief Legal &amp; Compliance Officer before it may be executed.</w:t>
      </w:r>
    </w:p>
    <w:p>
      <w:pPr>
        <w:spacing w:after="0" w:line="156" w:lineRule="exact"/>
        <w:rPr>
          <w:sz w:val="20"/>
          <w:szCs w:val="20"/>
          <w:color w:val="auto"/>
        </w:rPr>
      </w:pPr>
    </w:p>
    <w:p>
      <w:pPr>
        <w:jc w:val="both"/>
        <w:ind w:left="180" w:right="719" w:firstLine="657"/>
        <w:spacing w:after="0" w:line="231" w:lineRule="auto"/>
        <w:rPr>
          <w:sz w:val="20"/>
          <w:szCs w:val="20"/>
          <w:color w:val="auto"/>
        </w:rPr>
      </w:pPr>
      <w:r>
        <w:rPr>
          <w:rFonts w:ascii="Times New Roman" w:cs="Times New Roman" w:eastAsia="Times New Roman" w:hAnsi="Times New Roman"/>
          <w:sz w:val="17"/>
          <w:szCs w:val="17"/>
          <w:color w:val="auto"/>
        </w:rPr>
        <w:t xml:space="preserve">For the avoidance of doubt, transactions in Heartflow securities pursuant to a Rule 10b5-1 trading plan are not subject to the pre-clearance requirements of this Section 6, provided that the Rule 10b5-1 trading plan has been pre-approved by the Chief Legal &amp; Compliance Officer or their designee in accordance with this Section 6 and the Rule 10b5-1 trading plan satisfies the additional requirements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of this policy.</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7. Gifts of Heartflow Securities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180" w:right="719" w:firstLine="640"/>
        <w:spacing w:after="0" w:line="218" w:lineRule="auto"/>
        <w:rPr>
          <w:sz w:val="20"/>
          <w:szCs w:val="20"/>
          <w:color w:val="auto"/>
        </w:rPr>
      </w:pPr>
      <w:r>
        <w:rPr>
          <w:rFonts w:ascii="Times New Roman" w:cs="Times New Roman" w:eastAsia="Times New Roman" w:hAnsi="Times New Roman"/>
          <w:sz w:val="17"/>
          <w:szCs w:val="17"/>
          <w:color w:val="auto"/>
        </w:rPr>
        <w:t>A disposition of Heartflow securities by bona fide gift (including charitable donations and transfers for estate planning purposes) could create insider trading concerns under some circumstances if the donor is aware of Material Nonpublic Information at the time of the transaction. For example, a gift, followed closely by a sale, under conditions where the value at the time of donation and sale affects the tax or other benefits obtained by the donor, could create insider trading concerns if the donor is aware of Material Nonpublic Information and expects</w:t>
      </w:r>
    </w:p>
    <w:p>
      <w:pPr>
        <w:jc w:val="both"/>
        <w:ind w:left="180" w:right="719"/>
        <w:spacing w:after="0" w:line="216" w:lineRule="auto"/>
        <w:rPr>
          <w:sz w:val="20"/>
          <w:szCs w:val="20"/>
          <w:color w:val="auto"/>
        </w:rPr>
      </w:pPr>
      <w:r>
        <w:rPr>
          <w:rFonts w:ascii="Times New Roman" w:cs="Times New Roman" w:eastAsia="Times New Roman" w:hAnsi="Times New Roman"/>
          <w:sz w:val="18"/>
          <w:szCs w:val="18"/>
          <w:color w:val="auto"/>
        </w:rPr>
        <w:t>the donee to sell prior to the disclosure of such information. In addition, a gift made with the knowledge that the donee will soon sell can be viewed as the equivalent of a sale for cash followed by a gift of the cash.</w:t>
      </w:r>
    </w:p>
    <w:p>
      <w:pPr>
        <w:spacing w:after="0" w:line="155" w:lineRule="exact"/>
        <w:rPr>
          <w:sz w:val="20"/>
          <w:szCs w:val="20"/>
          <w:color w:val="auto"/>
        </w:rPr>
      </w:pPr>
    </w:p>
    <w:p>
      <w:pPr>
        <w:jc w:val="both"/>
        <w:ind w:left="160" w:right="739" w:firstLine="660"/>
        <w:spacing w:after="0" w:line="218" w:lineRule="auto"/>
        <w:rPr>
          <w:sz w:val="20"/>
          <w:szCs w:val="20"/>
          <w:color w:val="auto"/>
        </w:rPr>
      </w:pPr>
      <w:r>
        <w:rPr>
          <w:rFonts w:ascii="Times New Roman" w:cs="Times New Roman" w:eastAsia="Times New Roman" w:hAnsi="Times New Roman"/>
          <w:sz w:val="18"/>
          <w:szCs w:val="18"/>
          <w:color w:val="auto"/>
        </w:rPr>
        <w:t>For these reasons, you are advised to take special caution when making gifts while aware of Material Nonpublic Information. In no case may you gift Heartflow securities when you are aware of Material Nonpublic Information about Heartflow or its securities and knew or were reckless in not knowing that the recipient would sell the securities while the Material Nonpublic Information was still nonpublic information.</w:t>
      </w:r>
    </w:p>
    <w:p>
      <w:pPr>
        <w:spacing w:after="0" w:line="156" w:lineRule="exact"/>
        <w:rPr>
          <w:sz w:val="20"/>
          <w:szCs w:val="20"/>
          <w:color w:val="auto"/>
        </w:rPr>
      </w:pPr>
    </w:p>
    <w:p>
      <w:pPr>
        <w:jc w:val="both"/>
        <w:ind w:left="180" w:right="739" w:firstLine="635"/>
        <w:spacing w:after="0" w:line="258" w:lineRule="auto"/>
        <w:rPr>
          <w:sz w:val="20"/>
          <w:szCs w:val="20"/>
          <w:color w:val="auto"/>
        </w:rPr>
      </w:pPr>
      <w:r>
        <w:rPr>
          <w:rFonts w:ascii="Times New Roman" w:cs="Times New Roman" w:eastAsia="Times New Roman" w:hAnsi="Times New Roman"/>
          <w:sz w:val="17"/>
          <w:szCs w:val="17"/>
          <w:color w:val="auto"/>
        </w:rPr>
        <w:t>All gift transactions by Pre-Clearance Designated Insiders (or any of their Related Persons) must be pre-cleared by Heartflow’s Chief Legal &amp; Compliance Officer or their designee in accordance with Section 6 above.</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 Additional Restrictions on Trades by Insiders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additional restrictions apply to any trading in Heartflow securities by Insiders: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130175</wp:posOffset>
            </wp:positionV>
            <wp:extent cx="5547360"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308" w:right="1440" w:bottom="1440" w:gutter="0" w:footer="0" w:header="0"/>
        </w:sectPr>
      </w:pPr>
    </w:p>
    <w:bookmarkStart w:id="146" w:name="page147"/>
    <w:bookmarkEnd w:id="146"/>
    <w:p>
      <w:pPr>
        <w:ind w:left="1140" w:right="699" w:hanging="314"/>
        <w:spacing w:after="0" w:line="207" w:lineRule="auto"/>
        <w:tabs>
          <w:tab w:leader="none" w:pos="1050" w:val="left"/>
        </w:tabs>
        <w:numPr>
          <w:ilvl w:val="1"/>
          <w:numId w:val="5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Derivative Transactions</w:t>
      </w:r>
      <w:r>
        <w:rPr>
          <w:rFonts w:ascii="Times New Roman" w:cs="Times New Roman" w:eastAsia="Times New Roman" w:hAnsi="Times New Roman"/>
          <w:sz w:val="18"/>
          <w:szCs w:val="18"/>
          <w:color w:val="auto"/>
        </w:rPr>
        <w:t>. Trading in “puts” and “calls” (publicly traded options to buy or sell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derivative securities and engaging in short sales (a sale of securities that are not then owned) are often perceived as involving insider trading. Therefore, Heartflow prohibits all Insiders from trading in derivative securities relating to Heartflow securities, such as put and call options, even when they are not aware of Material Nonpublic Information at the time of the transaction. In addition, Section 16(c) of the Exchange Act prohibits directors and officers from engaging in short sales, and because Heartflow believes it is inappropriate for any Insiders to engage in such transactions, all Insiders are prohibited from engaging in short sales regardless of whether they are aware of Material Nonpublic Information.</w:t>
      </w:r>
    </w:p>
    <w:p>
      <w:pPr>
        <w:spacing w:after="0" w:line="155" w:lineRule="exact"/>
        <w:rPr>
          <w:rFonts w:ascii="Arial" w:cs="Arial" w:eastAsia="Arial" w:hAnsi="Arial"/>
          <w:sz w:val="18"/>
          <w:szCs w:val="18"/>
          <w:color w:val="auto"/>
        </w:rPr>
      </w:pPr>
    </w:p>
    <w:p>
      <w:pPr>
        <w:jc w:val="both"/>
        <w:ind w:left="1140" w:right="719" w:hanging="314"/>
        <w:spacing w:after="0" w:line="207" w:lineRule="auto"/>
        <w:tabs>
          <w:tab w:leader="none" w:pos="1117" w:val="left"/>
        </w:tabs>
        <w:numPr>
          <w:ilvl w:val="1"/>
          <w:numId w:val="5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Hedging or Monetization Transactions</w:t>
      </w:r>
      <w:r>
        <w:rPr>
          <w:rFonts w:ascii="Times New Roman" w:cs="Times New Roman" w:eastAsia="Times New Roman" w:hAnsi="Times New Roman"/>
          <w:sz w:val="18"/>
          <w:szCs w:val="18"/>
          <w:color w:val="auto"/>
        </w:rPr>
        <w:t>. Certain forms of hedging or monetization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 an Insider to lock in much of the value of his or her holdings of Heartflow securities, often in exchange for all or part of the potential for upside appreciation in the stock. These transactions may allow the Insider to continue to own the covered securities, but without the full risks and rewards of ownership. When that occurs, the Insider entering into such transactions may no longer have the same objectives as Heartflow’s other stockholders. Therefore, Insiders are prohibited from purchasing financial instruments (including prepaid variable forward contracts, equity swaps, collars and exchange funds), or otherwise engaging in transactions, that hedge or offset, or are designed to hedge or offset, any decrease in the market value of Heartflow securities. Engaging in such transactions is prohibited even if the Insider is not aware of Material Nonpublic Information at the time of the transaction.</w:t>
      </w:r>
    </w:p>
    <w:p>
      <w:pPr>
        <w:spacing w:after="0" w:line="159" w:lineRule="exact"/>
        <w:rPr>
          <w:rFonts w:ascii="Arial" w:cs="Arial" w:eastAsia="Arial" w:hAnsi="Arial"/>
          <w:sz w:val="18"/>
          <w:szCs w:val="18"/>
          <w:color w:val="auto"/>
        </w:rPr>
      </w:pPr>
    </w:p>
    <w:p>
      <w:pPr>
        <w:jc w:val="both"/>
        <w:ind w:left="1140" w:right="719" w:hanging="314"/>
        <w:spacing w:after="0" w:line="210" w:lineRule="auto"/>
        <w:tabs>
          <w:tab w:leader="none" w:pos="1127" w:val="left"/>
        </w:tabs>
        <w:numPr>
          <w:ilvl w:val="1"/>
          <w:numId w:val="5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Margin Accounts or Pledged Securities</w:t>
      </w:r>
      <w:r>
        <w:rPr>
          <w:rFonts w:ascii="Times New Roman" w:cs="Times New Roman" w:eastAsia="Times New Roman" w:hAnsi="Times New Roman"/>
          <w:sz w:val="18"/>
          <w:szCs w:val="18"/>
          <w:color w:val="auto"/>
        </w:rPr>
        <w:t>. Securities held by an Insider in a margin account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pledged as collateral may be sold without consent if the Insider fails to meet a margin call or defaults on the loan. Because a margin call or foreclosure sale may occur at a time when the Insider is aware of Material Nonpublic Information or otherwise is not permitted to trade in Heartflow securities, Insiders are prohibited from holding Heartflow securities in a margin account or pledging Heartflow securities as collateral for a loan.</w:t>
      </w:r>
    </w:p>
    <w:p>
      <w:pPr>
        <w:spacing w:after="0" w:line="168" w:lineRule="exact"/>
        <w:rPr>
          <w:rFonts w:ascii="Arial" w:cs="Arial" w:eastAsia="Arial" w:hAnsi="Arial"/>
          <w:sz w:val="18"/>
          <w:szCs w:val="18"/>
          <w:color w:val="auto"/>
        </w:rPr>
      </w:pPr>
    </w:p>
    <w:p>
      <w:pPr>
        <w:ind w:left="360" w:hanging="179"/>
        <w:spacing w:after="0"/>
        <w:tabs>
          <w:tab w:leader="none" w:pos="3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Consequences of Violations of this Policy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80" w:right="759" w:firstLine="632"/>
        <w:spacing w:after="0" w:line="212" w:lineRule="auto"/>
        <w:rPr>
          <w:sz w:val="20"/>
          <w:szCs w:val="20"/>
          <w:color w:val="auto"/>
        </w:rPr>
      </w:pPr>
      <w:r>
        <w:rPr>
          <w:rFonts w:ascii="Times New Roman" w:cs="Times New Roman" w:eastAsia="Times New Roman" w:hAnsi="Times New Roman"/>
          <w:sz w:val="18"/>
          <w:szCs w:val="18"/>
          <w:color w:val="auto"/>
        </w:rPr>
        <w:t>Any violation of this policy may result in disciplinary action, up to and including immediate termination of employment or other relationship with Heartflow.</w:t>
      </w:r>
    </w:p>
    <w:p>
      <w:pPr>
        <w:spacing w:after="0" w:line="175" w:lineRule="exact"/>
        <w:rPr>
          <w:sz w:val="20"/>
          <w:szCs w:val="20"/>
          <w:color w:val="auto"/>
        </w:rPr>
      </w:pPr>
    </w:p>
    <w:p>
      <w:pPr>
        <w:jc w:val="both"/>
        <w:ind w:left="180" w:right="719" w:firstLine="658"/>
        <w:spacing w:after="0" w:line="210" w:lineRule="auto"/>
        <w:rPr>
          <w:sz w:val="20"/>
          <w:szCs w:val="20"/>
          <w:color w:val="auto"/>
        </w:rPr>
      </w:pPr>
      <w:r>
        <w:rPr>
          <w:rFonts w:ascii="Times New Roman" w:cs="Times New Roman" w:eastAsia="Times New Roman" w:hAnsi="Times New Roman"/>
          <w:sz w:val="18"/>
          <w:szCs w:val="18"/>
          <w:color w:val="auto"/>
        </w:rPr>
        <w:t>In addition, individuals may be subject to civil and criminal penalties for insider trading violations. The federal government may also seek an injunction, bring administrative proceedings and/or commence criminal prosecutions, potentially resulting in fines (up to $5 million per violation), imprisonment (up to 20 years per violation) or both. Civil penalties may be sought by the government for up to three times the profits made (or three times the losses avoided).</w:t>
      </w:r>
    </w:p>
    <w:p>
      <w:pPr>
        <w:spacing w:after="0" w:line="156" w:lineRule="exact"/>
        <w:rPr>
          <w:sz w:val="20"/>
          <w:szCs w:val="20"/>
          <w:color w:val="auto"/>
        </w:rPr>
      </w:pPr>
    </w:p>
    <w:p>
      <w:pPr>
        <w:jc w:val="both"/>
        <w:ind w:left="180" w:right="739" w:firstLine="651"/>
        <w:spacing w:after="0" w:line="227" w:lineRule="auto"/>
        <w:rPr>
          <w:sz w:val="20"/>
          <w:szCs w:val="20"/>
          <w:color w:val="auto"/>
        </w:rPr>
      </w:pPr>
      <w:r>
        <w:rPr>
          <w:rFonts w:ascii="Times New Roman" w:cs="Times New Roman" w:eastAsia="Times New Roman" w:hAnsi="Times New Roman"/>
          <w:sz w:val="18"/>
          <w:szCs w:val="18"/>
          <w:color w:val="auto"/>
        </w:rPr>
        <w:t>Under certain circumstances, Heartflow may also be subject to civil fines equal to the greater of three times the profit made (or loss avoided) or $1 million and criminal fines up to $25 million.</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10. Inquiries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180" w:right="739" w:firstLine="652"/>
        <w:spacing w:after="0" w:line="235" w:lineRule="auto"/>
        <w:rPr>
          <w:sz w:val="20"/>
          <w:szCs w:val="20"/>
          <w:color w:val="auto"/>
        </w:rPr>
      </w:pPr>
      <w:r>
        <w:rPr>
          <w:rFonts w:ascii="Times New Roman" w:cs="Times New Roman" w:eastAsia="Times New Roman" w:hAnsi="Times New Roman"/>
          <w:sz w:val="18"/>
          <w:szCs w:val="18"/>
          <w:color w:val="auto"/>
        </w:rPr>
        <w:t>Please contact the Chief Legal &amp; Compliance Officer with any questions or other inquiries regarding any of the provisions or procedures of this policy or the public or nonpublic status of Company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369570</wp:posOffset>
            </wp:positionV>
            <wp:extent cx="5954395"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5954395" cy="50800"/>
                    </a:xfrm>
                    <a:prstGeom prst="rect">
                      <a:avLst/>
                    </a:prstGeom>
                    <a:noFill/>
                  </pic:spPr>
                </pic:pic>
              </a:graphicData>
            </a:graphic>
          </wp:anchor>
        </w:drawing>
      </w:r>
    </w:p>
    <w:p>
      <w:pPr>
        <w:sectPr>
          <w:pgSz w:w="11900" w:h="16838" w:orient="portrait"/>
          <w:cols w:equalWidth="0" w:num="1">
            <w:col w:w="9019"/>
          </w:cols>
          <w:pgMar w:left="1440" w:top="304" w:right="1440" w:bottom="1440" w:gutter="0" w:footer="0" w:header="0"/>
        </w:sectPr>
      </w:pPr>
    </w:p>
    <w:bookmarkStart w:id="147" w:name="page148"/>
    <w:bookmarkEnd w:id="147"/>
    <w:p>
      <w:pPr>
        <w:ind w:left="378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5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Criteria for Rule 10b5-1 Plans</w:t>
      </w:r>
    </w:p>
    <w:p>
      <w:pPr>
        <w:spacing w:after="0" w:line="167" w:lineRule="exact"/>
        <w:rPr>
          <w:sz w:val="20"/>
          <w:szCs w:val="20"/>
          <w:color w:val="auto"/>
        </w:rPr>
      </w:pPr>
    </w:p>
    <w:p>
      <w:pPr>
        <w:jc w:val="both"/>
        <w:ind w:right="399" w:firstLine="655"/>
        <w:spacing w:after="0" w:line="207" w:lineRule="auto"/>
        <w:rPr>
          <w:sz w:val="20"/>
          <w:szCs w:val="20"/>
          <w:color w:val="auto"/>
        </w:rPr>
      </w:pPr>
      <w:r>
        <w:rPr>
          <w:rFonts w:ascii="Times New Roman" w:cs="Times New Roman" w:eastAsia="Times New Roman" w:hAnsi="Times New Roman"/>
          <w:sz w:val="18"/>
          <w:szCs w:val="18"/>
          <w:color w:val="auto"/>
        </w:rPr>
        <w:t>Rule 10b5-1(c)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provides an affirmative defense from insider trading liability under the federal securities laws for trading plans that meet</w:t>
      </w:r>
    </w:p>
    <w:p>
      <w:pPr>
        <w:spacing w:after="0" w:line="1" w:lineRule="exact"/>
        <w:rPr>
          <w:sz w:val="20"/>
          <w:szCs w:val="20"/>
          <w:color w:val="auto"/>
        </w:rPr>
      </w:pPr>
    </w:p>
    <w:p>
      <w:pPr>
        <w:jc w:val="both"/>
        <w:ind w:right="399"/>
        <w:spacing w:after="0" w:line="222" w:lineRule="auto"/>
        <w:rPr>
          <w:sz w:val="20"/>
          <w:szCs w:val="20"/>
          <w:color w:val="auto"/>
        </w:rPr>
      </w:pPr>
      <w:r>
        <w:rPr>
          <w:rFonts w:ascii="Times New Roman" w:cs="Times New Roman" w:eastAsia="Times New Roman" w:hAnsi="Times New Roman"/>
          <w:sz w:val="17"/>
          <w:szCs w:val="17"/>
          <w:color w:val="auto"/>
        </w:rPr>
        <w:t>certain requirements of such rule (each, a “</w:t>
      </w:r>
      <w:r>
        <w:rPr>
          <w:rFonts w:ascii="Times New Roman" w:cs="Times New Roman" w:eastAsia="Times New Roman" w:hAnsi="Times New Roman"/>
          <w:sz w:val="17"/>
          <w:szCs w:val="17"/>
          <w:b w:val="1"/>
          <w:bCs w:val="1"/>
          <w:color w:val="auto"/>
        </w:rPr>
        <w:t>Rule 10b5-1 Plan</w:t>
      </w:r>
      <w:r>
        <w:rPr>
          <w:rFonts w:ascii="Times New Roman" w:cs="Times New Roman" w:eastAsia="Times New Roman" w:hAnsi="Times New Roman"/>
          <w:sz w:val="17"/>
          <w:szCs w:val="17"/>
          <w:color w:val="auto"/>
        </w:rPr>
        <w:t>”). The Company permits its employees, officers and directors (together, “</w:t>
      </w:r>
      <w:r>
        <w:rPr>
          <w:rFonts w:ascii="Times New Roman" w:cs="Times New Roman" w:eastAsia="Times New Roman" w:hAnsi="Times New Roman"/>
          <w:sz w:val="17"/>
          <w:szCs w:val="17"/>
          <w:b w:val="1"/>
          <w:bCs w:val="1"/>
          <w:color w:val="auto"/>
        </w:rPr>
        <w:t>Insiders</w:t>
      </w:r>
      <w:r>
        <w:rPr>
          <w:rFonts w:ascii="Times New Roman" w:cs="Times New Roman" w:eastAsia="Times New Roman" w:hAnsi="Times New Roman"/>
          <w:sz w:val="17"/>
          <w:szCs w:val="17"/>
          <w:color w:val="auto"/>
        </w:rPr>
        <w:t>”) that have adopted a Rule 10b5-1 Plan in compliance with Rule 10b5-1 to engage in transactions over an extended period of time, even during a blackout period (as defined in the Insider Trading Policy and as detailed below), as long as the Insider is not aware of Material Nonpublic Information (as defined in the Insider Trading Policy) at the time the Insider entered into the Rule 10b5-1 Plan and has acted in good faith with respect to the plan.</w:t>
      </w:r>
    </w:p>
    <w:p>
      <w:pPr>
        <w:spacing w:after="0" w:line="158" w:lineRule="exact"/>
        <w:rPr>
          <w:sz w:val="20"/>
          <w:szCs w:val="20"/>
          <w:color w:val="auto"/>
        </w:rPr>
      </w:pPr>
    </w:p>
    <w:p>
      <w:pPr>
        <w:jc w:val="both"/>
        <w:ind w:right="399" w:firstLine="643"/>
        <w:spacing w:after="0" w:line="205" w:lineRule="auto"/>
        <w:rPr>
          <w:sz w:val="20"/>
          <w:szCs w:val="20"/>
          <w:color w:val="auto"/>
        </w:rPr>
      </w:pPr>
      <w:r>
        <w:rPr>
          <w:rFonts w:ascii="Times New Roman" w:cs="Times New Roman" w:eastAsia="Times New Roman" w:hAnsi="Times New Roman"/>
          <w:sz w:val="18"/>
          <w:szCs w:val="18"/>
          <w:color w:val="auto"/>
        </w:rPr>
        <w:t>The adoption of, and any modification to, any Rule 10b5-1 Plan will be deemed to be a transaction in Heartflow securities, and such adoption or modification is subject to all limitations and prohibitions relating to transactions in Heartflow securities. Each such Rule 10b5-1 Plan, and any modification thereof, must be submitted to and pre-cleared by Heartflow’s Chief Legal &amp; Compliance Officer or their designee or, for a Rule 10b5-1 Plan of the Chief Legal &amp; Compliance Officer, by the Chief Financial Officer or their designee in accordance with Section 6 of the Insider Trading Policy. All references to clearance by the Chief Legal &amp; Compliance Officer below shall be deemed to also refer to any</w:t>
      </w:r>
    </w:p>
    <w:p>
      <w:pPr>
        <w:spacing w:after="0" w:line="1" w:lineRule="exact"/>
        <w:rPr>
          <w:sz w:val="20"/>
          <w:szCs w:val="20"/>
          <w:color w:val="auto"/>
        </w:rPr>
      </w:pPr>
    </w:p>
    <w:p>
      <w:pPr>
        <w:jc w:val="both"/>
        <w:ind w:right="399"/>
        <w:spacing w:after="0" w:line="205" w:lineRule="auto"/>
        <w:rPr>
          <w:sz w:val="20"/>
          <w:szCs w:val="20"/>
          <w:color w:val="auto"/>
        </w:rPr>
      </w:pPr>
      <w:r>
        <w:rPr>
          <w:rFonts w:ascii="Times New Roman" w:cs="Times New Roman" w:eastAsia="Times New Roman" w:hAnsi="Times New Roman"/>
          <w:sz w:val="17"/>
          <w:szCs w:val="17"/>
          <w:color w:val="auto"/>
        </w:rPr>
        <w:t>applicable clearance by the Chief Financial Officer or their designee in the case of any transaction by the Chief Legal &amp; Compliance Officer. The Chief Legal &amp; Compliance Officer may impose such conditions on the adoption and operation of</w:t>
      </w:r>
    </w:p>
    <w:p>
      <w:pPr>
        <w:jc w:val="both"/>
        <w:ind w:right="399"/>
        <w:spacing w:after="0" w:line="210" w:lineRule="auto"/>
        <w:rPr>
          <w:sz w:val="20"/>
          <w:szCs w:val="20"/>
          <w:color w:val="auto"/>
        </w:rPr>
      </w:pPr>
      <w:r>
        <w:rPr>
          <w:rFonts w:ascii="Times New Roman" w:cs="Times New Roman" w:eastAsia="Times New Roman" w:hAnsi="Times New Roman"/>
          <w:sz w:val="18"/>
          <w:szCs w:val="18"/>
          <w:color w:val="auto"/>
        </w:rPr>
        <w:t>the Rule 10b5-1 Plan as the Chief Legal &amp; Compliance Officer or their designee deems necessary or advisable. Subject to pre-clearance of the Rule 10b5-1 Plan, no additional pre-clearance will be required for transactions conducted pursuant to the Rule 10b5-1 Plan. However, compliance of the Rule 10b5-1 Plan with the terms of Rule 10b5-1 and the execution of transactions pursuant to the Rule 10b5-1 Plan are the sole responsibility of the person initiating the Rule 10b5-1 Plan, not Heartflow or the Chief Legal &amp; Compliance Officer.</w:t>
      </w:r>
    </w:p>
    <w:p>
      <w:pPr>
        <w:spacing w:after="0" w:line="152" w:lineRule="exact"/>
        <w:rPr>
          <w:sz w:val="20"/>
          <w:szCs w:val="20"/>
          <w:color w:val="auto"/>
        </w:rPr>
      </w:pPr>
    </w:p>
    <w:p>
      <w:pPr>
        <w:jc w:val="both"/>
        <w:ind w:right="419"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Rule 10b5-1 Plans do not exempt individuals from complying with Section 16 of the Exchange Act’s reporting rules or liability for short-swing profits </w:t>
      </w:r>
      <w:r>
        <w:rPr>
          <w:rFonts w:ascii="Times New Roman" w:cs="Times New Roman" w:eastAsia="Times New Roman" w:hAnsi="Times New Roman"/>
          <w:sz w:val="18"/>
          <w:szCs w:val="18"/>
          <w:color w:val="auto"/>
        </w:rPr>
        <w:t>(generally, profits realized from any purchase and sale or sale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of Heartflow securities within a period of less than six months).</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Rule 10b5-1 Plan adopted by an Insider must comply with the following requirements:</w:t>
      </w:r>
    </w:p>
    <w:p>
      <w:pPr>
        <w:spacing w:after="0" w:line="176" w:lineRule="exact"/>
        <w:rPr>
          <w:sz w:val="20"/>
          <w:szCs w:val="20"/>
          <w:color w:val="auto"/>
        </w:rPr>
      </w:pPr>
    </w:p>
    <w:p>
      <w:pPr>
        <w:jc w:val="both"/>
        <w:ind w:left="960" w:right="399" w:hanging="315"/>
        <w:spacing w:after="0" w:line="219" w:lineRule="auto"/>
        <w:tabs>
          <w:tab w:leader="none" w:pos="950" w:val="left"/>
        </w:tabs>
        <w:numPr>
          <w:ilvl w:val="0"/>
          <w:numId w:val="5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Adoption</w:t>
      </w:r>
      <w:r>
        <w:rPr>
          <w:rFonts w:ascii="Times New Roman" w:cs="Times New Roman" w:eastAsia="Times New Roman" w:hAnsi="Times New Roman"/>
          <w:sz w:val="18"/>
          <w:szCs w:val="18"/>
          <w:color w:val="auto"/>
        </w:rPr>
        <w:t>. The Rule 10b5-1 Plan must be adopted only when the Insider is not aware of any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Information AND may not be adopted at any time during which the Insider is subject to a blackout period. The Insider must enter into the Rule 10b5-1 Plan in good faith and not as part of a plan or scheme to evade the prohibitions of Rule 10b5-1.</w:t>
      </w:r>
    </w:p>
    <w:p>
      <w:pPr>
        <w:spacing w:after="0" w:line="152" w:lineRule="exact"/>
        <w:rPr>
          <w:rFonts w:ascii="Arial" w:cs="Arial" w:eastAsia="Arial" w:hAnsi="Arial"/>
          <w:sz w:val="18"/>
          <w:szCs w:val="18"/>
          <w:color w:val="auto"/>
        </w:rPr>
      </w:pPr>
    </w:p>
    <w:p>
      <w:pPr>
        <w:ind w:left="860" w:hanging="215"/>
        <w:spacing w:after="0"/>
        <w:tabs>
          <w:tab w:leader="none" w:pos="860" w:val="left"/>
        </w:tabs>
        <w:numPr>
          <w:ilvl w:val="0"/>
          <w:numId w:val="5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Form</w:t>
      </w:r>
      <w:r>
        <w:rPr>
          <w:rFonts w:ascii="Times New Roman" w:cs="Times New Roman" w:eastAsia="Times New Roman" w:hAnsi="Times New Roman"/>
          <w:sz w:val="18"/>
          <w:szCs w:val="18"/>
          <w:color w:val="auto"/>
        </w:rPr>
        <w:t>. The Rule 10b5-1 Plan must be in the form of:</w:t>
      </w:r>
    </w:p>
    <w:p>
      <w:pPr>
        <w:spacing w:after="0" w:line="169" w:lineRule="exact"/>
        <w:rPr>
          <w:sz w:val="20"/>
          <w:szCs w:val="20"/>
          <w:color w:val="auto"/>
        </w:rPr>
      </w:pPr>
    </w:p>
    <w:p>
      <w:pPr>
        <w:ind w:left="1260" w:hanging="310"/>
        <w:spacing w:after="0"/>
        <w:tabs>
          <w:tab w:leader="none" w:pos="1260" w:val="left"/>
        </w:tabs>
        <w:numPr>
          <w:ilvl w:val="1"/>
          <w:numId w:val="5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binding contract to purchase or sell the security;</w:t>
      </w:r>
    </w:p>
    <w:p>
      <w:pPr>
        <w:ind w:left="1260" w:hanging="310"/>
        <w:spacing w:after="0" w:line="187" w:lineRule="auto"/>
        <w:tabs>
          <w:tab w:leader="none" w:pos="1260" w:val="left"/>
        </w:tabs>
        <w:numPr>
          <w:ilvl w:val="1"/>
          <w:numId w:val="5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an instruction to another person to buy or sell the security; or</w:t>
      </w:r>
    </w:p>
    <w:p>
      <w:pPr>
        <w:ind w:left="1260" w:hanging="310"/>
        <w:spacing w:after="0" w:line="229" w:lineRule="auto"/>
        <w:tabs>
          <w:tab w:leader="none" w:pos="1260" w:val="left"/>
        </w:tabs>
        <w:numPr>
          <w:ilvl w:val="1"/>
          <w:numId w:val="5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written plan for trading securities.</w:t>
      </w:r>
    </w:p>
    <w:p>
      <w:pPr>
        <w:spacing w:after="0" w:line="151" w:lineRule="exact"/>
        <w:rPr>
          <w:rFonts w:ascii="Courier New" w:cs="Courier New" w:eastAsia="Courier New" w:hAnsi="Courier New"/>
          <w:sz w:val="18"/>
          <w:szCs w:val="18"/>
          <w:color w:val="auto"/>
        </w:rPr>
      </w:pPr>
    </w:p>
    <w:p>
      <w:pPr>
        <w:ind w:left="860" w:hanging="215"/>
        <w:spacing w:after="0"/>
        <w:tabs>
          <w:tab w:leader="none" w:pos="860" w:val="left"/>
        </w:tabs>
        <w:numPr>
          <w:ilvl w:val="0"/>
          <w:numId w:val="5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Trading Arrangements</w:t>
      </w:r>
      <w:r>
        <w:rPr>
          <w:rFonts w:ascii="Times New Roman" w:cs="Times New Roman" w:eastAsia="Times New Roman" w:hAnsi="Times New Roman"/>
          <w:sz w:val="18"/>
          <w:szCs w:val="18"/>
          <w:color w:val="auto"/>
        </w:rPr>
        <w:t>. The Rule 10b5-1 Plan must:</w:t>
      </w:r>
    </w:p>
    <w:p>
      <w:pPr>
        <w:spacing w:after="0" w:line="170" w:lineRule="exact"/>
        <w:rPr>
          <w:rFonts w:ascii="Arial" w:cs="Arial" w:eastAsia="Arial" w:hAnsi="Arial"/>
          <w:sz w:val="18"/>
          <w:szCs w:val="18"/>
          <w:b w:val="1"/>
          <w:bCs w:val="1"/>
          <w:color w:val="auto"/>
        </w:rPr>
      </w:pPr>
    </w:p>
    <w:p>
      <w:pPr>
        <w:ind w:left="1260" w:hanging="310"/>
        <w:spacing w:after="0"/>
        <w:tabs>
          <w:tab w:leader="none" w:pos="1260" w:val="left"/>
        </w:tabs>
        <w:numPr>
          <w:ilvl w:val="1"/>
          <w:numId w:val="5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specify the amount of securities, prices and dates for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120650</wp:posOffset>
            </wp:positionV>
            <wp:extent cx="5954395"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5954395" cy="50800"/>
                    </a:xfrm>
                    <a:prstGeom prst="rect">
                      <a:avLst/>
                    </a:prstGeom>
                    <a:noFill/>
                  </pic:spPr>
                </pic:pic>
              </a:graphicData>
            </a:graphic>
          </wp:anchor>
        </w:drawing>
      </w:r>
    </w:p>
    <w:p>
      <w:pPr>
        <w:sectPr>
          <w:pgSz w:w="11900" w:h="16838" w:orient="portrait"/>
          <w:cols w:equalWidth="0" w:num="1">
            <w:col w:w="9159"/>
          </w:cols>
          <w:pgMar w:left="1300" w:top="515" w:right="1440" w:bottom="1440" w:gutter="0" w:footer="0" w:header="0"/>
        </w:sectPr>
      </w:pPr>
    </w:p>
    <w:bookmarkStart w:id="148" w:name="page149"/>
    <w:bookmarkEnd w:id="148"/>
    <w:p>
      <w:pPr>
        <w:ind w:left="1120" w:right="399" w:hanging="310"/>
        <w:spacing w:after="0" w:line="204" w:lineRule="auto"/>
        <w:tabs>
          <w:tab w:leader="none" w:pos="1120" w:val="left"/>
        </w:tabs>
        <w:numPr>
          <w:ilvl w:val="2"/>
          <w:numId w:val="6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include a written formula or algorithm or computer program that specifies the amounts of securities, prices and dates for the transactions; or</w:t>
      </w:r>
    </w:p>
    <w:p>
      <w:pPr>
        <w:spacing w:after="0" w:line="1" w:lineRule="exact"/>
        <w:rPr>
          <w:rFonts w:ascii="Courier New" w:cs="Courier New" w:eastAsia="Courier New" w:hAnsi="Courier New"/>
          <w:sz w:val="18"/>
          <w:szCs w:val="18"/>
          <w:color w:val="auto"/>
        </w:rPr>
      </w:pPr>
    </w:p>
    <w:p>
      <w:pPr>
        <w:ind w:left="1120" w:right="399" w:hanging="310"/>
        <w:spacing w:after="0" w:line="216" w:lineRule="auto"/>
        <w:tabs>
          <w:tab w:leader="none" w:pos="1120" w:val="left"/>
        </w:tabs>
        <w:numPr>
          <w:ilvl w:val="2"/>
          <w:numId w:val="6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not permit the Insider adopting the plan (or anyone else with access to Material Nonpublic Information) to “exercise any subsequent influence over how, when or whether to effect purchases or sales.”</w:t>
      </w:r>
    </w:p>
    <w:p>
      <w:pPr>
        <w:spacing w:after="0" w:line="164" w:lineRule="exact"/>
        <w:rPr>
          <w:rFonts w:ascii="Courier New" w:cs="Courier New" w:eastAsia="Courier New" w:hAnsi="Courier New"/>
          <w:sz w:val="18"/>
          <w:szCs w:val="18"/>
          <w:color w:val="auto"/>
        </w:rPr>
      </w:pPr>
    </w:p>
    <w:p>
      <w:pPr>
        <w:ind w:left="800" w:hanging="215"/>
        <w:spacing w:after="0"/>
        <w:tabs>
          <w:tab w:leader="none" w:pos="800" w:val="left"/>
        </w:tabs>
        <w:numPr>
          <w:ilvl w:val="1"/>
          <w:numId w:val="6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Content</w:t>
      </w:r>
      <w:r>
        <w:rPr>
          <w:rFonts w:ascii="Times New Roman" w:cs="Times New Roman" w:eastAsia="Times New Roman" w:hAnsi="Times New Roman"/>
          <w:sz w:val="18"/>
          <w:szCs w:val="18"/>
          <w:color w:val="auto"/>
        </w:rPr>
        <w:t>. The Rule 10b5-1 Plan must:</w:t>
      </w:r>
    </w:p>
    <w:p>
      <w:pPr>
        <w:spacing w:after="0" w:line="170" w:lineRule="exact"/>
        <w:rPr>
          <w:rFonts w:ascii="Arial" w:cs="Arial" w:eastAsia="Arial" w:hAnsi="Arial"/>
          <w:sz w:val="18"/>
          <w:szCs w:val="18"/>
          <w:b w:val="1"/>
          <w:bCs w:val="1"/>
          <w:color w:val="auto"/>
        </w:rPr>
      </w:pPr>
    </w:p>
    <w:p>
      <w:pPr>
        <w:jc w:val="both"/>
        <w:ind w:left="1120" w:right="419" w:hanging="310"/>
        <w:spacing w:after="0" w:line="199" w:lineRule="auto"/>
        <w:tabs>
          <w:tab w:leader="none" w:pos="1120" w:val="left"/>
        </w:tabs>
        <w:numPr>
          <w:ilvl w:val="2"/>
          <w:numId w:val="6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contain a representation from the Insider adopting the Rule 10b5-1 Plan that, at the time the Rule 10b5-1 Plan is adopted, he or she is not aware of Material Nonpublic Information about Heartflow or its securities;</w:t>
      </w:r>
    </w:p>
    <w:p>
      <w:pPr>
        <w:jc w:val="both"/>
        <w:ind w:left="1120" w:right="399" w:hanging="310"/>
        <w:spacing w:after="0" w:line="196" w:lineRule="auto"/>
        <w:tabs>
          <w:tab w:leader="none" w:pos="1120" w:val="left"/>
        </w:tabs>
        <w:numPr>
          <w:ilvl w:val="2"/>
          <w:numId w:val="6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contain a representation from the Insider adopting the Rule 10b5-1 Plan that the Rule 10b5-1 Plan is being entered into in good faith and not as part of a plan or scheme to evade the prohibitions of Rule 10b5-1;</w:t>
      </w:r>
    </w:p>
    <w:p>
      <w:pPr>
        <w:spacing w:after="0" w:line="1" w:lineRule="exact"/>
        <w:rPr>
          <w:rFonts w:ascii="Courier New" w:cs="Courier New" w:eastAsia="Courier New" w:hAnsi="Courier New"/>
          <w:sz w:val="18"/>
          <w:szCs w:val="18"/>
          <w:color w:val="auto"/>
        </w:rPr>
      </w:pPr>
    </w:p>
    <w:p>
      <w:pPr>
        <w:ind w:left="1120" w:right="419" w:hanging="310"/>
        <w:spacing w:after="0" w:line="201" w:lineRule="auto"/>
        <w:tabs>
          <w:tab w:leader="none" w:pos="1120" w:val="left"/>
        </w:tabs>
        <w:numPr>
          <w:ilvl w:val="2"/>
          <w:numId w:val="6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have a minimum duration of six months and a maximum duration of two years, unless a shorter or longer term is approved by the Chief Legal &amp; Compliance Officer of their designee; and</w:t>
      </w:r>
    </w:p>
    <w:p>
      <w:pPr>
        <w:spacing w:after="0" w:line="1" w:lineRule="exact"/>
        <w:rPr>
          <w:rFonts w:ascii="Courier New" w:cs="Courier New" w:eastAsia="Courier New" w:hAnsi="Courier New"/>
          <w:sz w:val="18"/>
          <w:szCs w:val="18"/>
          <w:color w:val="auto"/>
        </w:rPr>
      </w:pPr>
    </w:p>
    <w:p>
      <w:pPr>
        <w:jc w:val="both"/>
        <w:ind w:left="1120" w:right="419" w:hanging="310"/>
        <w:spacing w:after="0" w:line="236" w:lineRule="auto"/>
        <w:tabs>
          <w:tab w:leader="none" w:pos="1120" w:val="left"/>
        </w:tabs>
        <w:numPr>
          <w:ilvl w:val="2"/>
          <w:numId w:val="60"/>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contain and comply with such other terms, conditions and restrictions as may be required by Rule 10b5-1 and applicable U.S. Securities and Exchange Commission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rules as in effect from time to time.</w:t>
      </w:r>
    </w:p>
    <w:p>
      <w:pPr>
        <w:spacing w:after="0" w:line="138" w:lineRule="exact"/>
        <w:rPr>
          <w:rFonts w:ascii="Courier New" w:cs="Courier New" w:eastAsia="Courier New" w:hAnsi="Courier New"/>
          <w:sz w:val="17"/>
          <w:szCs w:val="17"/>
          <w:color w:val="auto"/>
        </w:rPr>
      </w:pPr>
    </w:p>
    <w:p>
      <w:pPr>
        <w:jc w:val="both"/>
        <w:ind w:left="820" w:right="399" w:hanging="315"/>
        <w:spacing w:after="0" w:line="206" w:lineRule="auto"/>
        <w:tabs>
          <w:tab w:leader="none" w:pos="757" w:val="left"/>
        </w:tabs>
        <w:numPr>
          <w:ilvl w:val="0"/>
          <w:numId w:val="6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Trades Under the Plan</w:t>
      </w:r>
      <w:r>
        <w:rPr>
          <w:rFonts w:ascii="Times New Roman" w:cs="Times New Roman" w:eastAsia="Times New Roman" w:hAnsi="Times New Roman"/>
          <w:sz w:val="18"/>
          <w:szCs w:val="18"/>
          <w:color w:val="auto"/>
        </w:rPr>
        <w:t>. Trading in Heartflow’s securities may not commence under the Rule 10b5-1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expiration of a waiting period which is (a) for directors and officers covered by Section 16 of the Exchange Act (“</w:t>
      </w:r>
      <w:r>
        <w:rPr>
          <w:rFonts w:ascii="Times New Roman" w:cs="Times New Roman" w:eastAsia="Times New Roman" w:hAnsi="Times New Roman"/>
          <w:sz w:val="18"/>
          <w:szCs w:val="18"/>
          <w:b w:val="1"/>
          <w:bCs w:val="1"/>
          <w:color w:val="auto"/>
        </w:rPr>
        <w:t>Section 16 Officers</w:t>
      </w:r>
      <w:r>
        <w:rPr>
          <w:rFonts w:ascii="Times New Roman" w:cs="Times New Roman" w:eastAsia="Times New Roman" w:hAnsi="Times New Roman"/>
          <w:sz w:val="18"/>
          <w:szCs w:val="18"/>
          <w:color w:val="auto"/>
        </w:rPr>
        <w:t>”), the later of (i) 90 days after such plan is adopted or (ii) two business days following the filing of Heartflow’s Form 10-Q or Form 10-K containing financial results for the fiscal quarter in which the Rule 10b5-1 Plan was adopted (subject to a maximum waiting period of 120 days) and</w:t>
      </w:r>
    </w:p>
    <w:p>
      <w:pPr>
        <w:spacing w:after="0" w:line="3" w:lineRule="exact"/>
        <w:rPr>
          <w:rFonts w:ascii="Arial" w:cs="Arial" w:eastAsia="Arial" w:hAnsi="Arial"/>
          <w:sz w:val="18"/>
          <w:szCs w:val="18"/>
          <w:b w:val="1"/>
          <w:bCs w:val="1"/>
          <w:color w:val="auto"/>
        </w:rPr>
      </w:pPr>
    </w:p>
    <w:p>
      <w:pPr>
        <w:ind w:left="820" w:right="399"/>
        <w:spacing w:after="0" w:line="223"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 for other employees, 30 days after the Rule 10b5-1 Plan is adopted (such period in which trades may not occur pursuant to clause (a) or (b), as applicable, the “</w:t>
      </w:r>
      <w:r>
        <w:rPr>
          <w:rFonts w:ascii="Times New Roman" w:cs="Times New Roman" w:eastAsia="Times New Roman" w:hAnsi="Times New Roman"/>
          <w:sz w:val="18"/>
          <w:szCs w:val="18"/>
          <w:b w:val="1"/>
          <w:bCs w:val="1"/>
          <w:color w:val="auto"/>
        </w:rPr>
        <w:t>Cooling-Off Period</w:t>
      </w:r>
      <w:r>
        <w:rPr>
          <w:rFonts w:ascii="Times New Roman" w:cs="Times New Roman" w:eastAsia="Times New Roman" w:hAnsi="Times New Roman"/>
          <w:sz w:val="18"/>
          <w:szCs w:val="18"/>
          <w:color w:val="auto"/>
        </w:rPr>
        <w:t>”).</w:t>
      </w:r>
    </w:p>
    <w:p>
      <w:pPr>
        <w:spacing w:after="0" w:line="152" w:lineRule="exact"/>
        <w:rPr>
          <w:rFonts w:ascii="Arial" w:cs="Arial" w:eastAsia="Arial" w:hAnsi="Arial"/>
          <w:sz w:val="18"/>
          <w:szCs w:val="18"/>
          <w:b w:val="1"/>
          <w:bCs w:val="1"/>
          <w:color w:val="auto"/>
        </w:rPr>
      </w:pPr>
    </w:p>
    <w:p>
      <w:pPr>
        <w:jc w:val="both"/>
        <w:ind w:left="820" w:right="399" w:hanging="315"/>
        <w:spacing w:after="0" w:line="215" w:lineRule="auto"/>
        <w:tabs>
          <w:tab w:leader="none" w:pos="784" w:val="left"/>
        </w:tabs>
        <w:numPr>
          <w:ilvl w:val="0"/>
          <w:numId w:val="6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Restrictions on Overlapping Plans</w:t>
      </w:r>
      <w:r>
        <w:rPr>
          <w:rFonts w:ascii="Times New Roman" w:cs="Times New Roman" w:eastAsia="Times New Roman" w:hAnsi="Times New Roman"/>
          <w:sz w:val="18"/>
          <w:szCs w:val="18"/>
          <w:color w:val="auto"/>
        </w:rPr>
        <w:t>. Unless otherwise permitted by Rule 10b5-1, no more than one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10b5-1 Plan to effect open market purchases or sales of Heartflow securities may be in effect at any time with respect to Heartflow securities beneficially owned by the Insider adopting the Rule 10b5-1 Plan, except that, during the term of a Rule 10b5-1 Plan, such Insider may:</w:t>
      </w:r>
    </w:p>
    <w:p>
      <w:pPr>
        <w:spacing w:after="0" w:line="156" w:lineRule="exact"/>
        <w:rPr>
          <w:rFonts w:ascii="Arial" w:cs="Arial" w:eastAsia="Arial" w:hAnsi="Arial"/>
          <w:sz w:val="18"/>
          <w:szCs w:val="18"/>
          <w:b w:val="1"/>
          <w:bCs w:val="1"/>
          <w:color w:val="auto"/>
        </w:rPr>
      </w:pPr>
    </w:p>
    <w:p>
      <w:pPr>
        <w:jc w:val="both"/>
        <w:ind w:left="1120" w:right="419" w:hanging="310"/>
        <w:spacing w:after="0" w:line="206" w:lineRule="auto"/>
        <w:tabs>
          <w:tab w:leader="none" w:pos="1120" w:val="left"/>
        </w:tabs>
        <w:numPr>
          <w:ilvl w:val="2"/>
          <w:numId w:val="6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adopt a Rule 10b5-1 Plan in compliance with the requirements herein with any transactions to take effect upon the completion or expiration of the Insider’s current Rule 10b5-1 Plan; provided, however, that if the Insider’s current Rule 10b5-1 Plan is terminated before its originally scheduled completion date, then the Cooling-Off Period for the later-commencing Rule 10b5-1 Plan shall run from the date of such termination (and not from the date the later-commencing Rule 10b5-1 Plan was adopted); and</w:t>
      </w:r>
    </w:p>
    <w:p>
      <w:pPr>
        <w:jc w:val="both"/>
        <w:ind w:left="1120" w:right="399" w:hanging="310"/>
        <w:spacing w:after="0" w:line="201" w:lineRule="auto"/>
        <w:tabs>
          <w:tab w:leader="none" w:pos="1120" w:val="left"/>
        </w:tabs>
        <w:numPr>
          <w:ilvl w:val="2"/>
          <w:numId w:val="6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enter into another contract, instruction or plan providing only for the sale of such Heartflow securities as are necessary to satisfy tax withholding obligations arising exclusively from the vesting of a compensatory award, such as restricted stock units, and provided that the Insider does not exercise</w:t>
      </w:r>
    </w:p>
    <w:p>
      <w:pPr>
        <w:sectPr>
          <w:pgSz w:w="11900" w:h="16838" w:orient="portrait"/>
          <w:cols w:equalWidth="0" w:num="1">
            <w:col w:w="9019"/>
          </w:cols>
          <w:pgMar w:left="1440" w:top="95" w:right="1440" w:bottom="1440" w:gutter="0" w:footer="0" w:header="0"/>
        </w:sectPr>
      </w:pP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control over the timing of such sales (a “</w:t>
      </w:r>
      <w:r>
        <w:rPr>
          <w:rFonts w:ascii="Times New Roman" w:cs="Times New Roman" w:eastAsia="Times New Roman" w:hAnsi="Times New Roman"/>
          <w:sz w:val="17"/>
          <w:szCs w:val="17"/>
          <w:b w:val="1"/>
          <w:bCs w:val="1"/>
          <w:color w:val="auto"/>
        </w:rPr>
        <w:t>Sell-to-Cover Plan</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95" w:right="1440" w:bottom="1440" w:gutter="0" w:footer="0" w:header="0"/>
          <w:type w:val="continuous"/>
        </w:sectPr>
      </w:pPr>
    </w:p>
    <w:p>
      <w:pPr>
        <w:spacing w:after="0" w:line="123" w:lineRule="exact"/>
        <w:rPr>
          <w:sz w:val="20"/>
          <w:szCs w:val="20"/>
          <w:color w:val="auto"/>
        </w:rPr>
      </w:pPr>
    </w:p>
    <w:p>
      <w:pPr>
        <w:jc w:val="both"/>
        <w:ind w:left="820" w:right="419" w:hanging="315"/>
        <w:spacing w:after="0" w:line="217" w:lineRule="auto"/>
        <w:tabs>
          <w:tab w:leader="none" w:pos="772" w:val="left"/>
        </w:tabs>
        <w:numPr>
          <w:ilvl w:val="0"/>
          <w:numId w:val="6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Restrictions on Single-Trade Plans</w:t>
      </w:r>
      <w:r>
        <w:rPr>
          <w:rFonts w:ascii="Times New Roman" w:cs="Times New Roman" w:eastAsia="Times New Roman" w:hAnsi="Times New Roman"/>
          <w:sz w:val="18"/>
          <w:szCs w:val="18"/>
          <w:color w:val="auto"/>
        </w:rPr>
        <w:t>. Other than Sell-to-Cover Plans, no more than one Rule 10b5-1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affect the open-market purchase or sale in a single transaction of the total amount of Heartflow securities subject to the Rule 10b5-1 Plan may be adopted within any 12-month period.</w:t>
      </w:r>
    </w:p>
    <w:p>
      <w:pPr>
        <w:spacing w:after="0" w:line="151" w:lineRule="exact"/>
        <w:rPr>
          <w:rFonts w:ascii="Arial" w:cs="Arial" w:eastAsia="Arial" w:hAnsi="Arial"/>
          <w:sz w:val="18"/>
          <w:szCs w:val="18"/>
          <w:b w:val="1"/>
          <w:bCs w:val="1"/>
          <w:color w:val="auto"/>
        </w:rPr>
      </w:pPr>
    </w:p>
    <w:p>
      <w:pPr>
        <w:ind w:left="720" w:hanging="214"/>
        <w:spacing w:after="0"/>
        <w:tabs>
          <w:tab w:leader="none" w:pos="720" w:val="left"/>
        </w:tabs>
        <w:numPr>
          <w:ilvl w:val="0"/>
          <w:numId w:val="6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After Adoption</w:t>
      </w:r>
      <w:r>
        <w:rPr>
          <w:rFonts w:ascii="Times New Roman" w:cs="Times New Roman" w:eastAsia="Times New Roman" w:hAnsi="Times New Roman"/>
          <w:sz w:val="18"/>
          <w:szCs w:val="18"/>
          <w:color w:val="auto"/>
        </w:rPr>
        <w:t>. After a Rule 10b5-1 Plan is adopted, the purchases or sales must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132715</wp:posOffset>
            </wp:positionV>
            <wp:extent cx="5954395"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5954395" cy="50800"/>
                    </a:xfrm>
                    <a:prstGeom prst="rect">
                      <a:avLst/>
                    </a:prstGeom>
                    <a:noFill/>
                  </pic:spPr>
                </pic:pic>
              </a:graphicData>
            </a:graphic>
          </wp:anchor>
        </w:drawing>
      </w:r>
    </w:p>
    <w:p>
      <w:pPr>
        <w:sectPr>
          <w:pgSz w:w="11900" w:h="16838" w:orient="portrait"/>
          <w:cols w:equalWidth="0" w:num="1">
            <w:col w:w="9019"/>
          </w:cols>
          <w:pgMar w:left="1440" w:top="95" w:right="1440" w:bottom="1440" w:gutter="0" w:footer="0" w:header="0"/>
          <w:type w:val="continuous"/>
        </w:sectPr>
      </w:pPr>
    </w:p>
    <w:bookmarkStart w:id="149" w:name="page150"/>
    <w:bookmarkEnd w:id="149"/>
    <w:p>
      <w:pPr>
        <w:jc w:val="both"/>
        <w:ind w:left="960" w:right="399"/>
        <w:spacing w:after="0" w:line="218" w:lineRule="auto"/>
        <w:rPr>
          <w:sz w:val="20"/>
          <w:szCs w:val="20"/>
          <w:color w:val="auto"/>
        </w:rPr>
      </w:pPr>
      <w:r>
        <w:rPr>
          <w:rFonts w:ascii="Times New Roman" w:cs="Times New Roman" w:eastAsia="Times New Roman" w:hAnsi="Times New Roman"/>
          <w:sz w:val="18"/>
          <w:szCs w:val="18"/>
          <w:color w:val="auto"/>
        </w:rPr>
        <w:t>made in compliance with the Rule 10b5-1 Plan and the Insider must act in good faith with respect to the Rule 10b5-1 Plan. The Insider adopting the Rule 10b5-1 Plan cannot cause the Rule 10b5-1 Plan to be altered or deviated from, or enter into or alter a corresponding or hedging transaction position with respect to the securities to be purchased or sold under the Rule 10b5-1 Plan.</w:t>
      </w:r>
    </w:p>
    <w:p>
      <w:pPr>
        <w:spacing w:after="0" w:line="152" w:lineRule="exact"/>
        <w:rPr>
          <w:sz w:val="20"/>
          <w:szCs w:val="20"/>
          <w:color w:val="auto"/>
        </w:rPr>
      </w:pPr>
    </w:p>
    <w:p>
      <w:pPr>
        <w:jc w:val="both"/>
        <w:ind w:left="960" w:right="399" w:hanging="315"/>
        <w:spacing w:after="0" w:line="207" w:lineRule="auto"/>
        <w:tabs>
          <w:tab w:leader="none" w:pos="965" w:val="left"/>
        </w:tabs>
        <w:numPr>
          <w:ilvl w:val="0"/>
          <w:numId w:val="6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Plan Modifications or Terminations</w:t>
      </w:r>
      <w:r>
        <w:rPr>
          <w:rFonts w:ascii="Times New Roman" w:cs="Times New Roman" w:eastAsia="Times New Roman" w:hAnsi="Times New Roman"/>
          <w:sz w:val="18"/>
          <w:szCs w:val="18"/>
          <w:color w:val="auto"/>
        </w:rPr>
        <w:t>. Although modifications to an existing Rule 10b5-1 Plan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prohibited, an Insider should adopt a Rule 10b5-1 Plan with the intention that it will not be amended or terminated prior to its expiration. Any modification must be pre-cleared by the Chief Legal &amp; Compliance Officer or their designee pursuant to Heartflow’s pre-clearance procedures for Rule 10b5-1 Plans, and any modification must satisfy all of the requirements set forth above with respect to the adoption of a Rule 10b5-1 Plan, including the required Cooling-Off Period before any trades may commence under the modified plan. A modification of a Rule 10b5-1 Plan includes any change to the amount, price or timing of the purchase or sale of securities under such plan but does not include the substitution of the broker executing trades thereunder as long as such modified plan does not change the price, amount of securities to be purchased or sold or dates on which such purchases or sales are to be executed.</w:t>
      </w:r>
    </w:p>
    <w:p>
      <w:pPr>
        <w:spacing w:after="0" w:line="155" w:lineRule="exact"/>
        <w:rPr>
          <w:sz w:val="20"/>
          <w:szCs w:val="20"/>
          <w:color w:val="auto"/>
        </w:rPr>
      </w:pPr>
    </w:p>
    <w:p>
      <w:pPr>
        <w:jc w:val="both"/>
        <w:ind w:right="399" w:firstLine="657"/>
        <w:spacing w:after="0" w:line="215" w:lineRule="auto"/>
        <w:rPr>
          <w:sz w:val="20"/>
          <w:szCs w:val="20"/>
          <w:color w:val="auto"/>
        </w:rPr>
      </w:pPr>
      <w:r>
        <w:rPr>
          <w:rFonts w:ascii="Times New Roman" w:cs="Times New Roman" w:eastAsia="Times New Roman" w:hAnsi="Times New Roman"/>
          <w:sz w:val="18"/>
          <w:szCs w:val="18"/>
          <w:color w:val="auto"/>
        </w:rPr>
        <w:t>Heartflow and Heartflow’s directors and Section 16 Officers must make certain disclosures in SEC filings concerning the adoption, modification or termination of any Rule 10b5-1 Plans. Heartflow’s directors and Section 16 Officers must undertake to provide any information requested by Heartflow regarding any Rule 10b5-1 Plans for the purpose of providing the required disclosures or any other disclosures that Heartflow deems to be appropriate under the circumstances.</w:t>
      </w:r>
    </w:p>
    <w:p>
      <w:pPr>
        <w:spacing w:after="0" w:line="155" w:lineRule="exact"/>
        <w:rPr>
          <w:sz w:val="20"/>
          <w:szCs w:val="20"/>
          <w:color w:val="auto"/>
        </w:rPr>
      </w:pPr>
    </w:p>
    <w:p>
      <w:pPr>
        <w:jc w:val="both"/>
        <w:ind w:right="399" w:firstLine="637"/>
        <w:spacing w:after="0" w:line="258" w:lineRule="auto"/>
        <w:rPr>
          <w:sz w:val="20"/>
          <w:szCs w:val="20"/>
          <w:color w:val="auto"/>
        </w:rPr>
      </w:pPr>
      <w:r>
        <w:rPr>
          <w:rFonts w:ascii="Times New Roman" w:cs="Times New Roman" w:eastAsia="Times New Roman" w:hAnsi="Times New Roman"/>
          <w:sz w:val="17"/>
          <w:szCs w:val="17"/>
          <w:color w:val="auto"/>
        </w:rPr>
        <w:t>Sales transacted in accordance with the Rule 10b5-1 Plan will be reported to the SEC on Form 4 within two days of the transaction and will reflect that the trade was made pursuant to a trading arrangement adopted under Rule 10b5-1.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224155</wp:posOffset>
            </wp:positionV>
            <wp:extent cx="5954395"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5954395" cy="50800"/>
                    </a:xfrm>
                    <a:prstGeom prst="rect">
                      <a:avLst/>
                    </a:prstGeom>
                    <a:noFill/>
                  </pic:spPr>
                </pic:pic>
              </a:graphicData>
            </a:graphic>
          </wp:anchor>
        </w:drawing>
      </w:r>
    </w:p>
    <w:p>
      <w:pPr>
        <w:sectPr>
          <w:pgSz w:w="11900" w:h="16838" w:orient="portrait"/>
          <w:cols w:equalWidth="0" w:num="1">
            <w:col w:w="9159"/>
          </w:cols>
          <w:pgMar w:left="1300" w:top="308" w:right="1440" w:bottom="1440" w:gutter="0" w:footer="0" w:header="0"/>
        </w:sectPr>
      </w:pPr>
    </w:p>
    <w:bookmarkStart w:id="150" w:name="page151"/>
    <w:bookmarkEnd w:id="150"/>
    <w:p>
      <w:pPr>
        <w:ind w:left="378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7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Pre-Clearance Designated Insiders</w:t>
      </w:r>
    </w:p>
    <w:p>
      <w:pPr>
        <w:spacing w:after="0" w:line="167" w:lineRule="exact"/>
        <w:rPr>
          <w:sz w:val="20"/>
          <w:szCs w:val="20"/>
          <w:color w:val="auto"/>
        </w:rPr>
      </w:pPr>
    </w:p>
    <w:p>
      <w:pPr>
        <w:ind w:right="419" w:firstLine="633"/>
        <w:spacing w:after="0" w:line="237" w:lineRule="auto"/>
        <w:rPr>
          <w:sz w:val="20"/>
          <w:szCs w:val="20"/>
          <w:color w:val="auto"/>
        </w:rPr>
      </w:pPr>
      <w:r>
        <w:rPr>
          <w:rFonts w:ascii="Times New Roman" w:cs="Times New Roman" w:eastAsia="Times New Roman" w:hAnsi="Times New Roman"/>
          <w:sz w:val="18"/>
          <w:szCs w:val="18"/>
          <w:color w:val="auto"/>
        </w:rPr>
        <w:t>The following insiders of Heartflow, Inc. are considered “</w:t>
      </w:r>
      <w:r>
        <w:rPr>
          <w:rFonts w:ascii="Times New Roman" w:cs="Times New Roman" w:eastAsia="Times New Roman" w:hAnsi="Times New Roman"/>
          <w:sz w:val="18"/>
          <w:szCs w:val="18"/>
          <w:b w:val="1"/>
          <w:bCs w:val="1"/>
          <w:color w:val="auto"/>
        </w:rPr>
        <w:t>Pre-Clearance Designated Insiders</w:t>
      </w:r>
      <w:r>
        <w:rPr>
          <w:rFonts w:ascii="Times New Roman" w:cs="Times New Roman" w:eastAsia="Times New Roman" w:hAnsi="Times New Roman"/>
          <w:sz w:val="18"/>
          <w:szCs w:val="18"/>
          <w:color w:val="auto"/>
        </w:rPr>
        <w:t>” for purposes of the quarterly blackout and are subject to the pre-clearance procedures of this policy:</w:t>
      </w:r>
    </w:p>
    <w:p>
      <w:pPr>
        <w:spacing w:after="0" w:line="155" w:lineRule="exact"/>
        <w:rPr>
          <w:sz w:val="20"/>
          <w:szCs w:val="20"/>
          <w:color w:val="auto"/>
        </w:rPr>
      </w:pPr>
    </w:p>
    <w:p>
      <w:pPr>
        <w:ind w:left="860" w:hanging="215"/>
        <w:spacing w:after="0"/>
        <w:tabs>
          <w:tab w:leader="none" w:pos="860" w:val="left"/>
        </w:tabs>
        <w:numPr>
          <w:ilvl w:val="1"/>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All members of the Board of Directors</w:t>
      </w:r>
    </w:p>
    <w:p>
      <w:pPr>
        <w:ind w:left="860" w:hanging="215"/>
        <w:spacing w:after="0" w:line="216" w:lineRule="auto"/>
        <w:tabs>
          <w:tab w:leader="none" w:pos="860" w:val="left"/>
        </w:tabs>
        <w:numPr>
          <w:ilvl w:val="1"/>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Chief Executive Officer</w:t>
      </w:r>
    </w:p>
    <w:p>
      <w:pPr>
        <w:ind w:left="860" w:hanging="215"/>
        <w:spacing w:after="0" w:line="200" w:lineRule="auto"/>
        <w:tabs>
          <w:tab w:leader="none" w:pos="860" w:val="left"/>
        </w:tabs>
        <w:numPr>
          <w:ilvl w:val="1"/>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Chief Financial Officer</w:t>
      </w:r>
    </w:p>
    <w:p>
      <w:pPr>
        <w:ind w:left="860" w:hanging="215"/>
        <w:spacing w:after="0" w:line="216" w:lineRule="auto"/>
        <w:tabs>
          <w:tab w:leader="none" w:pos="860" w:val="left"/>
        </w:tabs>
        <w:numPr>
          <w:ilvl w:val="1"/>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Chief Technology Officer</w:t>
      </w:r>
    </w:p>
    <w:p>
      <w:pPr>
        <w:ind w:left="860" w:hanging="215"/>
        <w:spacing w:after="0" w:line="200" w:lineRule="auto"/>
        <w:tabs>
          <w:tab w:leader="none" w:pos="860" w:val="left"/>
        </w:tabs>
        <w:numPr>
          <w:ilvl w:val="1"/>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Chief Medical Officer</w:t>
      </w:r>
    </w:p>
    <w:p>
      <w:pPr>
        <w:ind w:left="860" w:hanging="215"/>
        <w:spacing w:after="0" w:line="216" w:lineRule="auto"/>
        <w:tabs>
          <w:tab w:leader="none" w:pos="860" w:val="left"/>
        </w:tabs>
        <w:numPr>
          <w:ilvl w:val="1"/>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Chief Legal &amp; Compliance Officer</w:t>
      </w:r>
    </w:p>
    <w:p>
      <w:pPr>
        <w:ind w:left="860" w:hanging="215"/>
        <w:spacing w:after="0" w:line="200" w:lineRule="auto"/>
        <w:tabs>
          <w:tab w:leader="none" w:pos="860" w:val="left"/>
        </w:tabs>
        <w:numPr>
          <w:ilvl w:val="1"/>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Chief Human Resources Officer</w:t>
      </w:r>
    </w:p>
    <w:p>
      <w:pPr>
        <w:ind w:left="860" w:hanging="215"/>
        <w:spacing w:after="0" w:line="216" w:lineRule="auto"/>
        <w:tabs>
          <w:tab w:leader="none" w:pos="860" w:val="left"/>
        </w:tabs>
        <w:numPr>
          <w:ilvl w:val="1"/>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Chief Accounting Officer</w:t>
      </w:r>
    </w:p>
    <w:p>
      <w:pPr>
        <w:ind w:left="860" w:hanging="215"/>
        <w:spacing w:after="0" w:line="185" w:lineRule="auto"/>
        <w:tabs>
          <w:tab w:leader="none" w:pos="860" w:val="left"/>
        </w:tabs>
        <w:numPr>
          <w:ilvl w:val="1"/>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All Senior Vice Presidents</w:t>
      </w:r>
    </w:p>
    <w:p>
      <w:pPr>
        <w:ind w:left="840" w:hanging="210"/>
        <w:spacing w:after="0" w:line="200" w:lineRule="auto"/>
        <w:tabs>
          <w:tab w:leader="none" w:pos="840"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All members of the accounting, finance, information technology, business development, and commercial or</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commercial operations departments who have full access to financial systems or consolidated sales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117475</wp:posOffset>
            </wp:positionV>
            <wp:extent cx="595439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5954395" cy="50800"/>
                    </a:xfrm>
                    <a:prstGeom prst="rect">
                      <a:avLst/>
                    </a:prstGeom>
                    <a:noFill/>
                  </pic:spPr>
                </pic:pic>
              </a:graphicData>
            </a:graphic>
          </wp:anchor>
        </w:drawing>
      </w:r>
    </w:p>
    <w:p>
      <w:pPr>
        <w:sectPr>
          <w:pgSz w:w="11900" w:h="16838" w:orient="portrait"/>
          <w:cols w:equalWidth="0" w:num="1">
            <w:col w:w="9159"/>
          </w:cols>
          <w:pgMar w:left="1300" w:top="106" w:right="1440" w:bottom="1440" w:gutter="0" w:footer="0" w:header="0"/>
        </w:sectPr>
      </w:pPr>
    </w:p>
    <w:bookmarkStart w:id="151" w:name="page152"/>
    <w:bookmarkEnd w:id="151"/>
    <w:p>
      <w:pPr>
        <w:ind w:left="79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282"/>
        </w:trPr>
        <w:tc>
          <w:tcPr>
            <w:tcW w:w="2860" w:type="dxa"/>
            <w:vAlign w:val="bottom"/>
          </w:tcPr>
          <w:p>
            <w:pPr>
              <w:spacing w:after="0"/>
              <w:rPr>
                <w:sz w:val="24"/>
                <w:szCs w:val="24"/>
                <w:color w:val="auto"/>
              </w:rPr>
            </w:pPr>
          </w:p>
        </w:tc>
        <w:tc>
          <w:tcPr>
            <w:tcW w:w="5840" w:type="dxa"/>
            <w:vAlign w:val="bottom"/>
          </w:tcPr>
          <w:p>
            <w:pPr>
              <w:jc w:val="center"/>
              <w:ind w:right="2773"/>
              <w:spacing w:after="0"/>
              <w:rPr>
                <w:sz w:val="20"/>
                <w:szCs w:val="20"/>
                <w:color w:val="auto"/>
              </w:rPr>
            </w:pPr>
            <w:r>
              <w:rPr>
                <w:rFonts w:ascii="Times New Roman" w:cs="Times New Roman" w:eastAsia="Times New Roman" w:hAnsi="Times New Roman"/>
                <w:sz w:val="21"/>
                <w:szCs w:val="21"/>
                <w:b w:val="1"/>
                <w:bCs w:val="1"/>
                <w:color w:val="auto"/>
              </w:rPr>
              <w:t>List of Subsidiaries</w:t>
            </w:r>
          </w:p>
        </w:tc>
      </w:tr>
      <w:tr>
        <w:trPr>
          <w:trHeight w:val="387"/>
        </w:trPr>
        <w:tc>
          <w:tcPr>
            <w:tcW w:w="28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63"/>
        </w:trPr>
        <w:tc>
          <w:tcPr>
            <w:tcW w:w="286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Company Name</w:t>
            </w:r>
          </w:p>
        </w:tc>
        <w:tc>
          <w:tcPr>
            <w:tcW w:w="5840" w:type="dxa"/>
            <w:vAlign w:val="bottom"/>
          </w:tcPr>
          <w:p>
            <w:pPr>
              <w:ind w:left="2960"/>
              <w:spacing w:after="0"/>
              <w:rPr>
                <w:sz w:val="20"/>
                <w:szCs w:val="20"/>
                <w:color w:val="auto"/>
              </w:rPr>
            </w:pPr>
            <w:r>
              <w:rPr>
                <w:rFonts w:ascii="Times New Roman" w:cs="Times New Roman" w:eastAsia="Times New Roman" w:hAnsi="Times New Roman"/>
                <w:sz w:val="21"/>
                <w:szCs w:val="21"/>
                <w:b w:val="1"/>
                <w:bCs w:val="1"/>
                <w:color w:val="auto"/>
              </w:rPr>
              <w:t>Country</w:t>
            </w:r>
          </w:p>
        </w:tc>
      </w:tr>
      <w:tr>
        <w:trPr>
          <w:trHeight w:val="240"/>
        </w:trPr>
        <w:tc>
          <w:tcPr>
            <w:tcW w:w="2860" w:type="dxa"/>
            <w:vAlign w:val="bottom"/>
          </w:tcPr>
          <w:p>
            <w:pPr>
              <w:ind w:left="120"/>
              <w:spacing w:after="0" w:line="240" w:lineRule="exact"/>
              <w:rPr>
                <w:sz w:val="20"/>
                <w:szCs w:val="20"/>
                <w:color w:val="auto"/>
              </w:rPr>
            </w:pPr>
            <w:r>
              <w:rPr>
                <w:rFonts w:ascii="Times New Roman" w:cs="Times New Roman" w:eastAsia="Times New Roman" w:hAnsi="Times New Roman"/>
                <w:sz w:val="21"/>
                <w:szCs w:val="21"/>
                <w:color w:val="auto"/>
              </w:rPr>
              <w:t>HeartFlow Japan G.K.</w:t>
            </w:r>
          </w:p>
        </w:tc>
        <w:tc>
          <w:tcPr>
            <w:tcW w:w="5840" w:type="dxa"/>
            <w:vAlign w:val="bottom"/>
          </w:tcPr>
          <w:p>
            <w:pPr>
              <w:ind w:left="2960"/>
              <w:spacing w:after="0" w:line="240" w:lineRule="exact"/>
              <w:rPr>
                <w:sz w:val="20"/>
                <w:szCs w:val="20"/>
                <w:color w:val="auto"/>
              </w:rPr>
            </w:pPr>
            <w:r>
              <w:rPr>
                <w:rFonts w:ascii="Times New Roman" w:cs="Times New Roman" w:eastAsia="Times New Roman" w:hAnsi="Times New Roman"/>
                <w:sz w:val="21"/>
                <w:szCs w:val="21"/>
                <w:color w:val="auto"/>
              </w:rPr>
              <w:t>Japan</w:t>
            </w:r>
          </w:p>
        </w:tc>
      </w:tr>
      <w:tr>
        <w:trPr>
          <w:trHeight w:val="278"/>
        </w:trPr>
        <w:tc>
          <w:tcPr>
            <w:tcW w:w="28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HeartFlow U.K. Limited</w:t>
            </w:r>
          </w:p>
        </w:tc>
        <w:tc>
          <w:tcPr>
            <w:tcW w:w="5840" w:type="dxa"/>
            <w:vAlign w:val="bottom"/>
          </w:tcPr>
          <w:p>
            <w:pPr>
              <w:ind w:left="2960"/>
              <w:spacing w:after="0"/>
              <w:rPr>
                <w:sz w:val="20"/>
                <w:szCs w:val="20"/>
                <w:color w:val="auto"/>
              </w:rPr>
            </w:pPr>
            <w:r>
              <w:rPr>
                <w:rFonts w:ascii="Times New Roman" w:cs="Times New Roman" w:eastAsia="Times New Roman" w:hAnsi="Times New Roman"/>
                <w:sz w:val="21"/>
                <w:szCs w:val="21"/>
                <w:color w:val="auto"/>
              </w:rPr>
              <w:t>United Kingdom</w:t>
            </w:r>
          </w:p>
        </w:tc>
      </w:tr>
      <w:tr>
        <w:trPr>
          <w:trHeight w:val="457"/>
        </w:trPr>
        <w:tc>
          <w:tcPr>
            <w:tcW w:w="286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r>
        <w:trPr>
          <w:trHeight w:val="20"/>
        </w:trPr>
        <w:tc>
          <w:tcPr>
            <w:tcW w:w="2860" w:type="dxa"/>
            <w:vAlign w:val="bottom"/>
            <w:tcBorders>
              <w:bottom w:val="single" w:sz="8" w:color="EEEEEE"/>
            </w:tcBorders>
          </w:tcPr>
          <w:p>
            <w:pPr>
              <w:spacing w:after="0" w:line="20" w:lineRule="exact"/>
              <w:rPr>
                <w:sz w:val="1"/>
                <w:szCs w:val="1"/>
                <w:color w:val="auto"/>
              </w:rPr>
            </w:pPr>
          </w:p>
        </w:tc>
        <w:tc>
          <w:tcPr>
            <w:tcW w:w="5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5608320</wp:posOffset>
            </wp:positionH>
            <wp:positionV relativeFrom="paragraph">
              <wp:posOffset>-37465</wp:posOffset>
            </wp:positionV>
            <wp:extent cx="33655"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-37465</wp:posOffset>
            </wp:positionV>
            <wp:extent cx="3365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2" w:name="page153"/>
    <w:bookmarkEnd w:id="152"/>
    <w:p>
      <w:pPr>
        <w:ind w:left="79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CONSENT OF INDEPENDENT REGISTERED PUBLIC ACCOUNTING FIRM</w:t>
      </w:r>
    </w:p>
    <w:p>
      <w:pPr>
        <w:spacing w:after="0" w:line="200" w:lineRule="exact"/>
        <w:rPr>
          <w:sz w:val="20"/>
          <w:szCs w:val="20"/>
          <w:color w:val="auto"/>
        </w:rPr>
      </w:pPr>
    </w:p>
    <w:p>
      <w:pPr>
        <w:spacing w:after="0" w:line="224" w:lineRule="exact"/>
        <w:rPr>
          <w:sz w:val="20"/>
          <w:szCs w:val="20"/>
          <w:color w:val="auto"/>
        </w:rPr>
      </w:pPr>
    </w:p>
    <w:p>
      <w:pPr>
        <w:ind w:left="160" w:right="219"/>
        <w:spacing w:after="0" w:line="252"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Statements on Form S-8 (Nos. 333-289501 and 333-289502) of Heartflow, Inc. of our report dated March 18, 2026 relating to the financial statements, which appears in this Form 10-K.</w:t>
      </w:r>
    </w:p>
    <w:p>
      <w:pPr>
        <w:spacing w:after="0" w:line="3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/s/ PricewaterhouseCoopers LLP</w:t>
      </w:r>
    </w:p>
    <w:p>
      <w:pPr>
        <w:ind w:left="160"/>
        <w:spacing w:after="0" w:line="212" w:lineRule="auto"/>
        <w:rPr>
          <w:sz w:val="20"/>
          <w:szCs w:val="20"/>
          <w:color w:val="auto"/>
        </w:rPr>
      </w:pPr>
      <w:r>
        <w:rPr>
          <w:rFonts w:ascii="Times New Roman" w:cs="Times New Roman" w:eastAsia="Times New Roman" w:hAnsi="Times New Roman"/>
          <w:sz w:val="21"/>
          <w:szCs w:val="21"/>
          <w:color w:val="auto"/>
        </w:rPr>
        <w:t>San Jose, California</w:t>
      </w:r>
    </w:p>
    <w:p>
      <w:pPr>
        <w:ind w:left="160"/>
        <w:spacing w:after="0"/>
        <w:rPr>
          <w:sz w:val="20"/>
          <w:szCs w:val="20"/>
          <w:color w:val="auto"/>
        </w:rPr>
      </w:pPr>
      <w:r>
        <w:rPr>
          <w:rFonts w:ascii="Times New Roman" w:cs="Times New Roman" w:eastAsia="Times New Roman" w:hAnsi="Times New Roman"/>
          <w:sz w:val="21"/>
          <w:szCs w:val="21"/>
          <w:color w:val="auto"/>
        </w:rPr>
        <w:t>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116205</wp:posOffset>
            </wp:positionV>
            <wp:extent cx="5547360"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C.M. Farquhar, certify that:</w:t>
      </w:r>
    </w:p>
    <w:p>
      <w:pPr>
        <w:spacing w:after="0" w:line="202" w:lineRule="exact"/>
        <w:rPr>
          <w:sz w:val="20"/>
          <w:szCs w:val="20"/>
          <w:color w:val="auto"/>
        </w:rPr>
      </w:pPr>
    </w:p>
    <w:p>
      <w:pPr>
        <w:ind w:left="640" w:hanging="311"/>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Heartflow, Inc.;</w:t>
      </w:r>
    </w:p>
    <w:p>
      <w:pPr>
        <w:spacing w:after="0" w:line="220" w:lineRule="exact"/>
        <w:rPr>
          <w:rFonts w:ascii="Times New Roman" w:cs="Times New Roman" w:eastAsia="Times New Roman" w:hAnsi="Times New Roman"/>
          <w:sz w:val="18"/>
          <w:szCs w:val="18"/>
          <w:color w:val="auto"/>
        </w:rPr>
      </w:pPr>
    </w:p>
    <w:p>
      <w:pPr>
        <w:jc w:val="both"/>
        <w:ind w:left="640" w:right="220" w:hanging="311"/>
        <w:spacing w:after="0" w:line="262"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1"/>
        <w:spacing w:after="0" w:line="262"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8"/>
          <w:szCs w:val="18"/>
          <w:color w:val="auto"/>
        </w:rPr>
      </w:pPr>
    </w:p>
    <w:p>
      <w:pPr>
        <w:ind w:left="640" w:right="180" w:hanging="311"/>
        <w:spacing w:after="0" w:line="277"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3" w:lineRule="exact"/>
        <w:rPr>
          <w:rFonts w:ascii="Times New Roman" w:cs="Times New Roman" w:eastAsia="Times New Roman" w:hAnsi="Times New Roman"/>
          <w:sz w:val="18"/>
          <w:szCs w:val="18"/>
          <w:color w:val="auto"/>
        </w:rPr>
      </w:pPr>
    </w:p>
    <w:p>
      <w:pPr>
        <w:ind w:left="1280" w:right="160" w:hanging="310"/>
        <w:spacing w:after="0" w:line="257" w:lineRule="auto"/>
        <w:tabs>
          <w:tab w:leader="none" w:pos="1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0" w:lineRule="exact"/>
        <w:rPr>
          <w:rFonts w:ascii="Times New Roman" w:cs="Times New Roman" w:eastAsia="Times New Roman" w:hAnsi="Times New Roman"/>
          <w:sz w:val="18"/>
          <w:szCs w:val="18"/>
          <w:color w:val="auto"/>
        </w:rPr>
      </w:pPr>
    </w:p>
    <w:p>
      <w:pPr>
        <w:jc w:val="both"/>
        <w:ind w:left="1280" w:hanging="310"/>
        <w:spacing w:after="0" w:line="262" w:lineRule="auto"/>
        <w:tabs>
          <w:tab w:leader="none" w:pos="1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8"/>
          <w:szCs w:val="18"/>
          <w:color w:val="auto"/>
        </w:rPr>
      </w:pPr>
    </w:p>
    <w:p>
      <w:pPr>
        <w:ind w:left="1280" w:right="260" w:hanging="310"/>
        <w:spacing w:after="0" w:line="257" w:lineRule="auto"/>
        <w:tabs>
          <w:tab w:leader="none" w:pos="1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8"/>
          <w:szCs w:val="18"/>
          <w:color w:val="auto"/>
        </w:rPr>
      </w:pPr>
    </w:p>
    <w:p>
      <w:pPr>
        <w:ind w:left="640" w:right="240" w:hanging="311"/>
        <w:spacing w:after="0" w:line="262"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280" w:right="100" w:hanging="310"/>
        <w:spacing w:after="0" w:line="262" w:lineRule="auto"/>
        <w:tabs>
          <w:tab w:leader="none" w:pos="1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280" w:right="40" w:hanging="310"/>
        <w:spacing w:after="0" w:line="277" w:lineRule="auto"/>
        <w:tabs>
          <w:tab w:leader="none" w:pos="1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ind w:left="60"/>
        <w:spacing w:after="0"/>
        <w:tabs>
          <w:tab w:leader="none" w:pos="4780" w:val="left"/>
          <w:tab w:leader="none" w:pos="5340" w:val="left"/>
        </w:tabs>
        <w:rPr>
          <w:sz w:val="20"/>
          <w:szCs w:val="20"/>
          <w:color w:val="auto"/>
        </w:rPr>
      </w:pPr>
      <w:r>
        <w:rPr>
          <w:rFonts w:ascii="Times New Roman" w:cs="Times New Roman" w:eastAsia="Times New Roman" w:hAnsi="Times New Roman"/>
          <w:sz w:val="18"/>
          <w:szCs w:val="18"/>
          <w:color w:val="auto"/>
        </w:rPr>
        <w:t>Date: March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C.M. Farquhar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33020</wp:posOffset>
            </wp:positionV>
            <wp:extent cx="25444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2544445" cy="8255"/>
                    </a:xfrm>
                    <a:prstGeom prst="rect">
                      <a:avLst/>
                    </a:prstGeom>
                    <a:noFill/>
                  </pic:spPr>
                </pic:pic>
              </a:graphicData>
            </a:graphic>
          </wp:anchor>
        </w:drawing>
      </w:r>
    </w:p>
    <w:p>
      <w:pPr>
        <w:spacing w:after="0" w:line="5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John C.M. Farquhar</w:t>
      </w:r>
    </w:p>
    <w:p>
      <w:pPr>
        <w:spacing w:after="0" w:line="8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8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539115</wp:posOffset>
            </wp:positionV>
            <wp:extent cx="5954395"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5954395" cy="50800"/>
                    </a:xfrm>
                    <a:prstGeom prst="rect">
                      <a:avLst/>
                    </a:prstGeom>
                    <a:noFill/>
                  </pic:spPr>
                </pic:pic>
              </a:graphicData>
            </a:graphic>
          </wp:anchor>
        </w:drawing>
      </w:r>
    </w:p>
    <w:p>
      <w:pPr>
        <w:sectPr>
          <w:pgSz w:w="11900" w:h="16838" w:orient="portrait"/>
          <w:cols w:equalWidth="0" w:num="1">
            <w:col w:w="9320"/>
          </w:cols>
          <w:pgMar w:left="1280" w:top="117" w:right="12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Vikram Verghese, certify that:</w:t>
      </w:r>
    </w:p>
    <w:p>
      <w:pPr>
        <w:spacing w:after="0" w:line="202" w:lineRule="exact"/>
        <w:rPr>
          <w:sz w:val="20"/>
          <w:szCs w:val="20"/>
          <w:color w:val="auto"/>
        </w:rPr>
      </w:pPr>
    </w:p>
    <w:p>
      <w:pPr>
        <w:ind w:left="640" w:hanging="311"/>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Heartflow, Inc.;</w:t>
      </w:r>
    </w:p>
    <w:p>
      <w:pPr>
        <w:spacing w:after="0" w:line="220" w:lineRule="exact"/>
        <w:rPr>
          <w:rFonts w:ascii="Times New Roman" w:cs="Times New Roman" w:eastAsia="Times New Roman" w:hAnsi="Times New Roman"/>
          <w:sz w:val="18"/>
          <w:szCs w:val="18"/>
          <w:color w:val="auto"/>
        </w:rPr>
      </w:pPr>
    </w:p>
    <w:p>
      <w:pPr>
        <w:jc w:val="both"/>
        <w:ind w:left="640" w:right="220" w:hanging="311"/>
        <w:spacing w:after="0" w:line="262"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1"/>
        <w:spacing w:after="0" w:line="262"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8"/>
          <w:szCs w:val="18"/>
          <w:color w:val="auto"/>
        </w:rPr>
      </w:pPr>
    </w:p>
    <w:p>
      <w:pPr>
        <w:ind w:left="640" w:right="180" w:hanging="311"/>
        <w:spacing w:after="0" w:line="277"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3" w:lineRule="exact"/>
        <w:rPr>
          <w:rFonts w:ascii="Times New Roman" w:cs="Times New Roman" w:eastAsia="Times New Roman" w:hAnsi="Times New Roman"/>
          <w:sz w:val="18"/>
          <w:szCs w:val="18"/>
          <w:color w:val="auto"/>
        </w:rPr>
      </w:pPr>
    </w:p>
    <w:p>
      <w:pPr>
        <w:ind w:left="1280" w:right="160" w:hanging="310"/>
        <w:spacing w:after="0" w:line="257" w:lineRule="auto"/>
        <w:tabs>
          <w:tab w:leader="none" w:pos="12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0" w:lineRule="exact"/>
        <w:rPr>
          <w:rFonts w:ascii="Times New Roman" w:cs="Times New Roman" w:eastAsia="Times New Roman" w:hAnsi="Times New Roman"/>
          <w:sz w:val="18"/>
          <w:szCs w:val="18"/>
          <w:color w:val="auto"/>
        </w:rPr>
      </w:pPr>
    </w:p>
    <w:p>
      <w:pPr>
        <w:jc w:val="both"/>
        <w:ind w:left="1280" w:hanging="310"/>
        <w:spacing w:after="0" w:line="262" w:lineRule="auto"/>
        <w:tabs>
          <w:tab w:leader="none" w:pos="12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8"/>
          <w:szCs w:val="18"/>
          <w:color w:val="auto"/>
        </w:rPr>
      </w:pPr>
    </w:p>
    <w:p>
      <w:pPr>
        <w:ind w:left="1280" w:right="260" w:hanging="310"/>
        <w:spacing w:after="0" w:line="257" w:lineRule="auto"/>
        <w:tabs>
          <w:tab w:leader="none" w:pos="12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8"/>
          <w:szCs w:val="18"/>
          <w:color w:val="auto"/>
        </w:rPr>
      </w:pPr>
    </w:p>
    <w:p>
      <w:pPr>
        <w:ind w:left="640" w:right="240" w:hanging="311"/>
        <w:spacing w:after="0" w:line="262"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280" w:right="100" w:hanging="310"/>
        <w:spacing w:after="0" w:line="262" w:lineRule="auto"/>
        <w:tabs>
          <w:tab w:leader="none" w:pos="12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280" w:right="40" w:hanging="310"/>
        <w:spacing w:after="0" w:line="277" w:lineRule="auto"/>
        <w:tabs>
          <w:tab w:leader="none" w:pos="12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ind w:left="60"/>
        <w:spacing w:after="0"/>
        <w:tabs>
          <w:tab w:leader="none" w:pos="4780" w:val="left"/>
          <w:tab w:leader="none" w:pos="5340" w:val="left"/>
        </w:tabs>
        <w:rPr>
          <w:sz w:val="20"/>
          <w:szCs w:val="20"/>
          <w:color w:val="auto"/>
        </w:rPr>
      </w:pPr>
      <w:r>
        <w:rPr>
          <w:rFonts w:ascii="Times New Roman" w:cs="Times New Roman" w:eastAsia="Times New Roman" w:hAnsi="Times New Roman"/>
          <w:sz w:val="18"/>
          <w:szCs w:val="18"/>
          <w:color w:val="auto"/>
        </w:rPr>
        <w:t>Date: March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Vikram Verghese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33020</wp:posOffset>
            </wp:positionV>
            <wp:extent cx="25444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2544445" cy="8255"/>
                    </a:xfrm>
                    <a:prstGeom prst="rect">
                      <a:avLst/>
                    </a:prstGeom>
                    <a:noFill/>
                  </pic:spPr>
                </pic:pic>
              </a:graphicData>
            </a:graphic>
          </wp:anchor>
        </w:drawing>
      </w:r>
    </w:p>
    <w:p>
      <w:pPr>
        <w:spacing w:after="0" w:line="5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Vikram Verghese</w:t>
      </w:r>
    </w:p>
    <w:p>
      <w:pPr>
        <w:spacing w:after="0" w:line="8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8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539115</wp:posOffset>
            </wp:positionV>
            <wp:extent cx="5954395"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5954395" cy="50800"/>
                    </a:xfrm>
                    <a:prstGeom prst="rect">
                      <a:avLst/>
                    </a:prstGeom>
                    <a:noFill/>
                  </pic:spPr>
                </pic:pic>
              </a:graphicData>
            </a:graphic>
          </wp:anchor>
        </w:drawing>
      </w:r>
    </w:p>
    <w:p>
      <w:pPr>
        <w:sectPr>
          <w:pgSz w:w="11900" w:h="16838" w:orient="portrait"/>
          <w:cols w:equalWidth="0" w:num="1">
            <w:col w:w="9320"/>
          </w:cols>
          <w:pgMar w:left="1280" w:top="117" w:right="1299" w:bottom="1440" w:gutter="0" w:footer="0" w:header="0"/>
        </w:sectPr>
      </w:pPr>
    </w:p>
    <w:bookmarkStart w:id="155" w:name="page156"/>
    <w:bookmarkEnd w:id="155"/>
    <w:p>
      <w:pPr>
        <w:spacing w:after="0" w:line="200"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34" w:lineRule="exact"/>
        <w:rPr>
          <w:sz w:val="20"/>
          <w:szCs w:val="20"/>
          <w:color w:val="auto"/>
        </w:rPr>
      </w:pPr>
    </w:p>
    <w:p>
      <w:pPr>
        <w:ind w:left="1360" w:right="60" w:firstLine="641"/>
        <w:spacing w:after="0" w:line="247" w:lineRule="auto"/>
        <w:rPr>
          <w:sz w:val="20"/>
          <w:szCs w:val="20"/>
          <w:color w:val="auto"/>
        </w:rPr>
      </w:pPr>
      <w:r>
        <w:rPr>
          <w:rFonts w:ascii="Times New Roman" w:cs="Times New Roman" w:eastAsia="Times New Roman" w:hAnsi="Times New Roman"/>
          <w:sz w:val="18"/>
          <w:szCs w:val="18"/>
          <w:color w:val="auto"/>
        </w:rPr>
        <w:t>In connection with the Annual Report of Heartflow, Inc. (the “Company”) on Form 10-K for the year ended December 31, 2025 as filed with the Securities and Exchange Commission on the date hereof (the “Report”), I certify that, to the best of my knowledge, pursuant to 18 U.S.C. § 1350, as adopted pursuant to § 906 of the Sarbanes-Oxley Act of 2002, that:</w:t>
      </w:r>
    </w:p>
    <w:p>
      <w:pPr>
        <w:spacing w:after="0" w:line="216" w:lineRule="exact"/>
        <w:rPr>
          <w:sz w:val="20"/>
          <w:szCs w:val="20"/>
          <w:color w:val="auto"/>
        </w:rPr>
      </w:pPr>
    </w:p>
    <w:p>
      <w:pPr>
        <w:ind w:left="2000" w:right="260" w:firstLine="642"/>
        <w:spacing w:after="0" w:line="247" w:lineRule="auto"/>
        <w:tabs>
          <w:tab w:leader="none" w:pos="28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 w:lineRule="exact"/>
        <w:rPr>
          <w:rFonts w:ascii="Times New Roman" w:cs="Times New Roman" w:eastAsia="Times New Roman" w:hAnsi="Times New Roman"/>
          <w:sz w:val="18"/>
          <w:szCs w:val="18"/>
          <w:color w:val="auto"/>
        </w:rPr>
      </w:pPr>
    </w:p>
    <w:p>
      <w:pPr>
        <w:spacing w:after="0" w:line="1" w:lineRule="exact"/>
        <w:rPr>
          <w:rFonts w:ascii="Times New Roman" w:cs="Times New Roman" w:eastAsia="Times New Roman" w:hAnsi="Times New Roman"/>
          <w:sz w:val="18"/>
          <w:szCs w:val="18"/>
          <w:color w:val="auto"/>
        </w:rPr>
      </w:pPr>
    </w:p>
    <w:p>
      <w:pPr>
        <w:ind w:left="2000" w:right="340" w:firstLine="642"/>
        <w:spacing w:after="0" w:line="247" w:lineRule="auto"/>
        <w:tabs>
          <w:tab w:leader="none" w:pos="28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tbl>
      <w:tblPr>
        <w:tblLayout w:type="fixed"/>
        <w:tblInd w:w="720" w:type="dxa"/>
        <w:tblCellMar>
          <w:top w:w="0" w:type="dxa"/>
          <w:left w:w="0" w:type="dxa"/>
          <w:bottom w:w="0" w:type="dxa"/>
          <w:right w:w="0" w:type="dxa"/>
        </w:tblCellMar>
      </w:tblPr>
      <w:tr>
        <w:trPr>
          <w:trHeight w:val="233"/>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March 18, 2026</w:t>
            </w:r>
          </w:p>
        </w:tc>
        <w:tc>
          <w:tcPr>
            <w:tcW w:w="18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John C.M. Farquhar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94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940" w:type="dxa"/>
            <w:vAlign w:val="bottom"/>
            <w:vMerge w:val="continue"/>
          </w:tcPr>
          <w:p>
            <w:pPr>
              <w:spacing w:after="0"/>
              <w:rPr>
                <w:sz w:val="23"/>
                <w:szCs w:val="23"/>
                <w:color w:val="auto"/>
              </w:rPr>
            </w:pPr>
          </w:p>
        </w:tc>
        <w:tc>
          <w:tcPr>
            <w:tcW w:w="188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John C.M. Farquhar</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2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9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388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6828155</wp:posOffset>
            </wp:positionH>
            <wp:positionV relativeFrom="paragraph">
              <wp:posOffset>-37465</wp:posOffset>
            </wp:positionV>
            <wp:extent cx="33655"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-37465</wp:posOffset>
            </wp:positionV>
            <wp:extent cx="33655"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7038" w:orient="portrait"/>
          <w:cols w:equalWidth="0" w:num="1">
            <w:col w:w="10780"/>
          </w:cols>
          <w:pgMar w:left="0" w:top="117" w:right="1119" w:bottom="0" w:gutter="0" w:footer="0" w:header="0"/>
        </w:sectPr>
      </w:pPr>
    </w:p>
    <w:bookmarkStart w:id="156" w:name="page157"/>
    <w:bookmarkEnd w:id="156"/>
    <w:p>
      <w:pPr>
        <w:ind w:left="91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34" w:lineRule="exact"/>
        <w:rPr>
          <w:sz w:val="20"/>
          <w:szCs w:val="20"/>
          <w:color w:val="auto"/>
        </w:rPr>
      </w:pPr>
    </w:p>
    <w:p>
      <w:pPr>
        <w:ind w:left="640" w:right="60" w:firstLine="641"/>
        <w:spacing w:after="0" w:line="247" w:lineRule="auto"/>
        <w:rPr>
          <w:sz w:val="20"/>
          <w:szCs w:val="20"/>
          <w:color w:val="auto"/>
        </w:rPr>
      </w:pPr>
      <w:r>
        <w:rPr>
          <w:rFonts w:ascii="Times New Roman" w:cs="Times New Roman" w:eastAsia="Times New Roman" w:hAnsi="Times New Roman"/>
          <w:sz w:val="18"/>
          <w:szCs w:val="18"/>
          <w:color w:val="auto"/>
        </w:rPr>
        <w:t>In connection with the Annual Report of Heartflow, Inc. (the “Company”) on Form 10-K for the year ended December 31, 2025 as filed with the Securities and Exchange Commission on the date hereof (the “Report”), I certify that, to the best of my knowledge, pursuant to 18 U.S.C. § 1350, as adopted pursuant to § 906 of the Sarbanes-Oxley Act of 2002, that:</w:t>
      </w:r>
    </w:p>
    <w:p>
      <w:pPr>
        <w:spacing w:after="0" w:line="216" w:lineRule="exact"/>
        <w:rPr>
          <w:sz w:val="20"/>
          <w:szCs w:val="20"/>
          <w:color w:val="auto"/>
        </w:rPr>
      </w:pPr>
    </w:p>
    <w:p>
      <w:pPr>
        <w:ind w:left="1280" w:right="260" w:firstLine="642"/>
        <w:spacing w:after="0" w:line="247" w:lineRule="auto"/>
        <w:tabs>
          <w:tab w:leader="none" w:pos="20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5" w:lineRule="exact"/>
        <w:rPr>
          <w:sz w:val="20"/>
          <w:szCs w:val="20"/>
          <w:color w:val="auto"/>
        </w:rPr>
      </w:pPr>
    </w:p>
    <w:p>
      <w:pPr>
        <w:ind w:left="1280" w:right="340" w:firstLine="642"/>
        <w:spacing w:after="0" w:line="247" w:lineRule="auto"/>
        <w:tabs>
          <w:tab w:leader="none" w:pos="209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March 18, 2026</w:t>
            </w: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Vikram Verghese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06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060" w:type="dxa"/>
            <w:vAlign w:val="bottom"/>
            <w:vMerge w:val="continue"/>
          </w:tcPr>
          <w:p>
            <w:pPr>
              <w:spacing w:after="0"/>
              <w:rPr>
                <w:sz w:val="23"/>
                <w:szCs w:val="23"/>
                <w:color w:val="auto"/>
              </w:rPr>
            </w:pPr>
          </w:p>
        </w:tc>
        <w:tc>
          <w:tcPr>
            <w:tcW w:w="2020" w:type="dxa"/>
            <w:vAlign w:val="bottom"/>
          </w:tcPr>
          <w:p>
            <w:pPr>
              <w:spacing w:after="0"/>
              <w:rPr>
                <w:sz w:val="23"/>
                <w:szCs w:val="23"/>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Vikram Verghese</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3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3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EEEEEE"/>
            </w:tcBorders>
          </w:tcPr>
          <w:p>
            <w:pPr>
              <w:spacing w:after="0" w:line="20" w:lineRule="exact"/>
              <w:rPr>
                <w:sz w:val="1"/>
                <w:szCs w:val="1"/>
                <w:color w:val="auto"/>
              </w:rPr>
            </w:pPr>
          </w:p>
        </w:tc>
        <w:tc>
          <w:tcPr>
            <w:tcW w:w="2020" w:type="dxa"/>
            <w:vAlign w:val="bottom"/>
            <w:tcBorders>
              <w:bottom w:val="single" w:sz="8" w:color="EEEEEE"/>
            </w:tcBorders>
          </w:tcPr>
          <w:p>
            <w:pPr>
              <w:spacing w:after="0" w:line="20" w:lineRule="exact"/>
              <w:rPr>
                <w:sz w:val="1"/>
                <w:szCs w:val="1"/>
                <w:color w:val="auto"/>
              </w:rPr>
            </w:pPr>
          </w:p>
        </w:tc>
        <w:tc>
          <w:tcPr>
            <w:tcW w:w="43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6370955</wp:posOffset>
            </wp:positionH>
            <wp:positionV relativeFrom="paragraph">
              <wp:posOffset>-37465</wp:posOffset>
            </wp:positionV>
            <wp:extent cx="33655"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-37465</wp:posOffset>
            </wp:positionV>
            <wp:extent cx="3365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10060"/>
          </w:cols>
          <w:pgMar w:left="720" w:top="117" w:right="1119" w:bottom="1440" w:gutter="0" w:footer="0" w:header="0"/>
        </w:sectPr>
      </w:pPr>
    </w:p>
    <w:bookmarkStart w:id="157" w:name="page158"/>
    <w:bookmarkEnd w:id="157"/>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HEARTFLOW,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POLICY REGARDING THE RECOUPMENT OF CERTAIN COMPENSATION PAYMENTS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(Adopted on July 17, 2025)</w:t>
      </w:r>
    </w:p>
    <w:p>
      <w:pPr>
        <w:spacing w:after="0" w:line="200" w:lineRule="exact"/>
        <w:rPr>
          <w:sz w:val="20"/>
          <w:szCs w:val="20"/>
          <w:color w:val="auto"/>
        </w:rPr>
      </w:pPr>
    </w:p>
    <w:p>
      <w:pPr>
        <w:spacing w:after="0" w:line="211" w:lineRule="exact"/>
        <w:rPr>
          <w:sz w:val="20"/>
          <w:szCs w:val="20"/>
          <w:color w:val="auto"/>
        </w:rPr>
      </w:pPr>
    </w:p>
    <w:p>
      <w:pPr>
        <w:jc w:val="both"/>
        <w:ind w:left="160" w:right="179" w:firstLine="641"/>
        <w:spacing w:after="0" w:line="253" w:lineRule="auto"/>
        <w:rPr>
          <w:sz w:val="20"/>
          <w:szCs w:val="20"/>
          <w:color w:val="auto"/>
        </w:rPr>
      </w:pPr>
      <w:r>
        <w:rPr>
          <w:rFonts w:ascii="Times New Roman" w:cs="Times New Roman" w:eastAsia="Times New Roman" w:hAnsi="Times New Roman"/>
          <w:sz w:val="18"/>
          <w:szCs w:val="18"/>
          <w:color w:val="auto"/>
        </w:rPr>
        <w:t>In the event Heartflow,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shall recover reasonably promptly the amount of any erroneously awarded Incentive-Based Compensation from each Covered Individual (each as defined below) unless an exception (set forth below) applies.</w:t>
      </w:r>
    </w:p>
    <w:p>
      <w:pPr>
        <w:spacing w:after="0" w:line="186" w:lineRule="exact"/>
        <w:rPr>
          <w:sz w:val="20"/>
          <w:szCs w:val="20"/>
          <w:color w:val="auto"/>
        </w:rPr>
      </w:pPr>
    </w:p>
    <w:p>
      <w:pPr>
        <w:jc w:val="both"/>
        <w:ind w:left="160" w:right="179" w:firstLine="641"/>
        <w:spacing w:after="0" w:line="265" w:lineRule="auto"/>
        <w:rPr>
          <w:sz w:val="20"/>
          <w:szCs w:val="20"/>
          <w:color w:val="auto"/>
        </w:rPr>
      </w:pPr>
      <w:r>
        <w:rPr>
          <w:rFonts w:ascii="Times New Roman" w:cs="Times New Roman" w:eastAsia="Times New Roman" w:hAnsi="Times New Roman"/>
          <w:sz w:val="17"/>
          <w:szCs w:val="17"/>
          <w:color w:val="auto"/>
        </w:rPr>
        <w:t>Incentive-Based Compensation shall be considered “erroneously awarded” under this policy to the extent such Incentive-Based Compensation (1) is received by the Covered Individual on or after October 2, 2023 (the effective date of Rule 5608 of The Nasdaq Stock Market LLC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listing rules) and while the Company has a class of securities listed on a national securities exchange or a national securities association, (2) is received by the Covered Individual during the three completed fiscal years immediately preceding the date that the Company is required to prepare the accounting restatement (and any transition period applicable to a change in the Company’s fiscal year as required by Nasdaq listing rules) and (3) the amount of such received Incentive-Based Compensation exceeds the amount of the Incentive-Based Compensation that would have been received by the Covered Individual had it been determined based on the restated financial results (with such Incentive-Based Compensation computed in each case without regard to any taxes paid). For purposes of this policy, the date that the Company is required to prepare the accounting restatement is the earlier to occur of (A) the date the Company’s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or a committee of the Board, or the officer or officers of the Company authorized to take such action if Board action is not required, concludes or reasonably should have concluded, that the Company is required to prepare such accounting restatement, or (B) the date a court, regulator or other legally authorized body directs the Company to prepare such accounting restatement.</w:t>
      </w:r>
    </w:p>
    <w:p>
      <w:pPr>
        <w:spacing w:after="0" w:line="184" w:lineRule="exact"/>
        <w:rPr>
          <w:sz w:val="20"/>
          <w:szCs w:val="20"/>
          <w:color w:val="auto"/>
        </w:rPr>
      </w:pPr>
    </w:p>
    <w:p>
      <w:pPr>
        <w:jc w:val="both"/>
        <w:ind w:left="160" w:right="179" w:firstLine="641"/>
        <w:spacing w:after="0" w:line="265" w:lineRule="auto"/>
        <w:rPr>
          <w:sz w:val="20"/>
          <w:szCs w:val="20"/>
          <w:color w:val="auto"/>
        </w:rPr>
      </w:pPr>
      <w:r>
        <w:rPr>
          <w:rFonts w:ascii="Times New Roman" w:cs="Times New Roman" w:eastAsia="Times New Roman" w:hAnsi="Times New Roman"/>
          <w:sz w:val="17"/>
          <w:szCs w:val="17"/>
          <w:color w:val="auto"/>
        </w:rPr>
        <w:t>For purposes of this policy, Incentive-Based Compensation is considered “received” by a Covered Individual in the Company’s fiscal period during which the Financial Reporting Measure (as defined below) applicable to the Incentive-Based Compensation is attained, even if the payment or grant of the Incentive-Based Compensation occurs after the end of that fiscal period.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determined by the Compensation Committee of the Board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based on a reasonable estimate of the effect of the accounting restatement on the stock price or total shareholder return upon which the Incentive-Based Compensation was received. The Company must maintain documentation of the determination of that reasonable estimate and provide such documentation to Nasdaq as required by Nasdaq listing rules. If the erroneously awarded Incentive-Based Compensation consists of shares (including share-denominated equity awards) or options that are still held by the Covered Individual at the time of recovery, the recoverable amount is the number of shares or options received in excess of the number of shares or options that would have been received based on the accounting restatement (or the value of that excess number). If the options have been exercised but the underlying shares have not been sold, the recoverable amount is the number of shares underlying the excess options based on the restatement (or the value thereof).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472440</wp:posOffset>
            </wp:positionV>
            <wp:extent cx="5547360"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8" w:name="page159"/>
    <w:bookmarkEnd w:id="158"/>
    <w:p>
      <w:pPr>
        <w:jc w:val="both"/>
        <w:ind w:left="160" w:right="179"/>
        <w:spacing w:after="0" w:line="257" w:lineRule="auto"/>
        <w:rPr>
          <w:sz w:val="20"/>
          <w:szCs w:val="20"/>
          <w:color w:val="auto"/>
        </w:rPr>
      </w:pPr>
      <w:r>
        <w:rPr>
          <w:rFonts w:ascii="Times New Roman" w:cs="Times New Roman" w:eastAsia="Times New Roman" w:hAnsi="Times New Roman"/>
          <w:sz w:val="18"/>
          <w:szCs w:val="18"/>
          <w:color w:val="auto"/>
        </w:rPr>
        <w:t>shares have been sold, the recoverable amount is the proceeds that were received in connection with the sale of the excess number of shares. Amounts credited under plans (other than tax-qualified plans for which the exception set forth below applies) based on erroneously awarded Incentive-Based Compensation and any accrued earnings thereon are also recoverable under this policy.</w:t>
      </w:r>
    </w:p>
    <w:p>
      <w:pPr>
        <w:spacing w:after="0" w:line="182" w:lineRule="exact"/>
        <w:rPr>
          <w:sz w:val="20"/>
          <w:szCs w:val="20"/>
          <w:color w:val="auto"/>
        </w:rPr>
      </w:pPr>
    </w:p>
    <w:p>
      <w:pPr>
        <w:jc w:val="both"/>
        <w:ind w:left="160" w:right="179" w:firstLine="641"/>
        <w:spacing w:after="0" w:line="251" w:lineRule="auto"/>
        <w:rPr>
          <w:sz w:val="20"/>
          <w:szCs w:val="20"/>
          <w:color w:val="auto"/>
        </w:rPr>
      </w:pPr>
      <w:r>
        <w:rPr>
          <w:rFonts w:ascii="Times New Roman" w:cs="Times New Roman" w:eastAsia="Times New Roman" w:hAnsi="Times New Roman"/>
          <w:sz w:val="18"/>
          <w:szCs w:val="18"/>
          <w:color w:val="auto"/>
        </w:rPr>
        <w:t>The Company shall not be required under this policy to recover erroneously awarded Incentive-Based Compensation if the Committee has made a determination that recovery would be impracticable and any of the following conditions are met: (1) after making a reasonable attempt to recover such erroneously awarded Incentive-Based Compensation, the Committee determines that the direct expense paid to a third party to assist in enforcing this policy would exceed the amount to be recovered (documentation evidencing the reasonable attempt to recover the erroneously awarded Incentive-Based Compensation must be maintained and provided to Nasdaq as required by Nasdaq listing rules) or (2) the recovery would likely cause an otherwise tax-qualified retirement plan, under which benefits are broadly available to employees of the Company, to fail to meet the requirements of Internal Revenue Code Section 401(a)(13) or Internal Revenue Code Section 411(a) and the regulations thereunder.</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purposes of this policy, the following definitions will apply:</w:t>
      </w:r>
    </w:p>
    <w:p>
      <w:pPr>
        <w:spacing w:after="0" w:line="216" w:lineRule="exact"/>
        <w:rPr>
          <w:sz w:val="20"/>
          <w:szCs w:val="20"/>
          <w:color w:val="auto"/>
        </w:rPr>
      </w:pPr>
    </w:p>
    <w:p>
      <w:pPr>
        <w:jc w:val="both"/>
        <w:ind w:left="1120" w:right="179" w:hanging="310"/>
        <w:spacing w:after="0" w:line="203" w:lineRule="auto"/>
        <w:tabs>
          <w:tab w:leader="none" w:pos="1120" w:val="left"/>
        </w:tabs>
        <w:numPr>
          <w:ilvl w:val="0"/>
          <w:numId w:val="69"/>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Individual</w:t>
      </w:r>
      <w:r>
        <w:rPr>
          <w:rFonts w:ascii="Times New Roman" w:cs="Times New Roman" w:eastAsia="Times New Roman" w:hAnsi="Times New Roman"/>
          <w:sz w:val="18"/>
          <w:szCs w:val="18"/>
          <w:color w:val="auto"/>
        </w:rPr>
        <w:t>” means any current or former officer of the Company who is or was subject to Section 16 of the Securities Exchange Act of 1934, as amended, at any time during the applicable performance period for the relevant Incentive-Based Compensation, regardless of whether such individual continues to hold such position or continues to be employed by the Company or any of its subsidiaries.</w:t>
      </w:r>
    </w:p>
    <w:p>
      <w:pPr>
        <w:spacing w:after="0" w:line="193" w:lineRule="exact"/>
        <w:rPr>
          <w:rFonts w:ascii="Times New Roman" w:cs="Times New Roman" w:eastAsia="Times New Roman" w:hAnsi="Times New Roman"/>
          <w:sz w:val="36"/>
          <w:szCs w:val="36"/>
          <w:color w:val="auto"/>
          <w:vertAlign w:val="subscript"/>
        </w:rPr>
      </w:pPr>
    </w:p>
    <w:p>
      <w:pPr>
        <w:ind w:left="1120" w:right="179" w:hanging="310"/>
        <w:spacing w:after="0" w:line="180" w:lineRule="auto"/>
        <w:tabs>
          <w:tab w:leader="none" w:pos="1120" w:val="left"/>
        </w:tabs>
        <w:numPr>
          <w:ilvl w:val="0"/>
          <w:numId w:val="69"/>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Incentive-Based Compensation</w:t>
      </w:r>
      <w:r>
        <w:rPr>
          <w:rFonts w:ascii="Times New Roman" w:cs="Times New Roman" w:eastAsia="Times New Roman" w:hAnsi="Times New Roman"/>
          <w:sz w:val="17"/>
          <w:szCs w:val="17"/>
          <w:color w:val="auto"/>
        </w:rPr>
        <w:t>” means any compensation that is granted, earned, or vested based wholly or in part upon the attainment of a Financial Reporting Measure.</w:t>
      </w:r>
    </w:p>
    <w:p>
      <w:pPr>
        <w:spacing w:after="0" w:line="192" w:lineRule="exact"/>
        <w:rPr>
          <w:rFonts w:ascii="Times New Roman" w:cs="Times New Roman" w:eastAsia="Times New Roman" w:hAnsi="Times New Roman"/>
          <w:sz w:val="35"/>
          <w:szCs w:val="35"/>
          <w:color w:val="auto"/>
          <w:vertAlign w:val="subscript"/>
        </w:rPr>
      </w:pPr>
    </w:p>
    <w:p>
      <w:pPr>
        <w:jc w:val="both"/>
        <w:ind w:left="1120" w:right="179" w:hanging="310"/>
        <w:spacing w:after="0" w:line="210" w:lineRule="auto"/>
        <w:tabs>
          <w:tab w:leader="none" w:pos="1120" w:val="left"/>
        </w:tabs>
        <w:numPr>
          <w:ilvl w:val="0"/>
          <w:numId w:val="69"/>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that are derived wholly or in part from such measures (including, for purposes of this policy, stock price and total shareholder return). A Financial Reporting Measure need not be presented within the Company’s financial statements or included in a filing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left="160" w:right="179" w:firstLine="641"/>
        <w:spacing w:after="0" w:line="252" w:lineRule="auto"/>
        <w:rPr>
          <w:sz w:val="20"/>
          <w:szCs w:val="20"/>
          <w:color w:val="auto"/>
        </w:rPr>
      </w:pPr>
      <w:r>
        <w:rPr>
          <w:rFonts w:ascii="Times New Roman" w:cs="Times New Roman" w:eastAsia="Times New Roman" w:hAnsi="Times New Roman"/>
          <w:sz w:val="18"/>
          <w:szCs w:val="18"/>
          <w:color w:val="auto"/>
        </w:rPr>
        <w:t>This policy is intended to comply with the requirements of Rule 10D-1 promulgated by the SEC and the related listing rules of Nasdaq, and the terms hereof shall be construed consistent with that intent. This policy does not limit any other remedies the Company may have available to it in the circumstances, which may include, without limitation, dismissing an employee or initiating other disciplinary procedures. The provisions of this policy are in addition to (and not in lieu of) any rights to repayment the Company may have under Section 304 of the Sarbanes-Oxley Act of 2002 (applicable to the Chief Executive Officer and Chief Financial Officer only) and other applicable laws. The Company shall not indemnify any Covered Individual against the loss of erroneously-awarded Incentive-Based Compensation that is recovered by the Company pursuant to this policy.</w:t>
      </w:r>
    </w:p>
    <w:p>
      <w:pPr>
        <w:spacing w:after="0" w:line="185" w:lineRule="exact"/>
        <w:rPr>
          <w:sz w:val="20"/>
          <w:szCs w:val="20"/>
          <w:color w:val="auto"/>
        </w:rPr>
      </w:pPr>
    </w:p>
    <w:p>
      <w:pPr>
        <w:jc w:val="both"/>
        <w:ind w:left="160" w:right="179" w:firstLine="641"/>
        <w:spacing w:after="0" w:line="262" w:lineRule="auto"/>
        <w:rPr>
          <w:sz w:val="20"/>
          <w:szCs w:val="20"/>
          <w:color w:val="auto"/>
        </w:rPr>
      </w:pPr>
      <w:r>
        <w:rPr>
          <w:rFonts w:ascii="Times New Roman" w:cs="Times New Roman" w:eastAsia="Times New Roman" w:hAnsi="Times New Roman"/>
          <w:sz w:val="18"/>
          <w:szCs w:val="18"/>
          <w:color w:val="auto"/>
        </w:rPr>
        <w:t>The Committee shall have the sole authority to construe and interpret this policy and to make all determinations required to be made pursuant to this policy. Any such construction, interpretation or determination by the Committee shall be final and binding.</w:t>
      </w:r>
    </w:p>
    <w:p>
      <w:pPr>
        <w:spacing w:after="0" w:line="1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Committee may revise this policy from time to time.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71120</wp:posOffset>
            </wp:positionV>
            <wp:extent cx="5547360"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5547360" cy="508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lowerRoman"/>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2"/>
    </w:lvl>
  </w:abstractNum>
  <w:abstractNum w:abstractNumId="46">
    <w:nsid w:val="235BA861"/>
    <w:multiLevelType w:val="hybridMultilevel"/>
    <w:lvl w:ilvl="0">
      <w:lvlJc w:val="left"/>
      <w:lvlText w:val="(%1)"/>
      <w:numFmt w:val="lowerLetter"/>
      <w:start w:val="3"/>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quot;"/>
      <w:numFmt w:val="bullet"/>
      <w:start w:val="1"/>
    </w:lvl>
  </w:abstractNum>
  <w:abstractNum w:abstractNumId="49">
    <w:nsid w:val="15B5AF5C"/>
    <w:multiLevelType w:val="hybridMultilevel"/>
    <w:lvl w:ilvl="0">
      <w:lvlJc w:val="left"/>
      <w:lvlText w:val="&quot;"/>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decimal"/>
      <w:start w:val="5"/>
    </w:lvl>
    <w:lvl w:ilvl="1">
      <w:lvlJc w:val="left"/>
      <w:lvlText w:val="%2."/>
      <w:numFmt w:val="upperLetter"/>
      <w:start w:val="1"/>
    </w:lvl>
  </w:abstractNum>
  <w:abstractNum w:abstractNumId="56">
    <w:nsid w:val="77AE35EB"/>
    <w:multiLevelType w:val="hybridMultilevel"/>
    <w:lvl w:ilvl="0">
      <w:lvlJc w:val="left"/>
      <w:lvlText w:val="%1."/>
      <w:numFmt w:val="decimal"/>
      <w:start w:val="8"/>
    </w:lvl>
    <w:lvl w:ilvl="1">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lvl w:ilvl="1">
      <w:lvlJc w:val="left"/>
      <w:lvlText w:val="o"/>
      <w:numFmt w:val="bullet"/>
      <w:start w:val="1"/>
    </w:lvl>
  </w:abstractNum>
  <w:abstractNum w:abstractNumId="59">
    <w:nsid w:val="5FF87E05"/>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lvl w:ilvl="1">
      <w:lvlJc w:val="left"/>
      <w:lvlText w:val="●"/>
      <w:numFmt w:val="bullet"/>
      <w:start w:val="1"/>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decimal"/>
      <w:start w:val="1"/>
    </w:lvl>
    <w:lvl w:ilvl="1">
      <w:lvlJc w:val="left"/>
      <w:lvlText w:val="%2."/>
      <w:numFmt w:val="lowerLetter"/>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2"/>
    </w:lvl>
  </w:abstractNum>
  <w:abstractNum w:abstractNumId="68">
    <w:nsid w:val="6590700B"/>
    <w:multiLevelType w:val="hybridMultilevel"/>
    <w:lvl w:ilvl="0">
      <w:lvlJc w:val="left"/>
      <w:lvlText w:val="Ï"/>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46" Type="http://schemas.openxmlformats.org/officeDocument/2006/relationships/hyperlink" Target="http://www.sec.gov/Archives/edgar/data/1464521/000162828025039636/exhibit31-8xk.htm" TargetMode="External"/><Relationship Id="rId147" Type="http://schemas.openxmlformats.org/officeDocument/2006/relationships/hyperlink" Target="http://www.sec.gov/Archives/edgar/data/1464521/000162828025039636/exhibit32-8xk.htm" TargetMode="External"/><Relationship Id="rId148" Type="http://schemas.openxmlformats.org/officeDocument/2006/relationships/hyperlink" Target="http://www.sec.gov/Archives/edgar/data/1464521/000162828025035242/exhibit102-sx1.htm" TargetMode="External"/><Relationship Id="rId149" Type="http://schemas.openxmlformats.org/officeDocument/2006/relationships/hyperlink" Target="http://www.sec.gov/Archives/edgar/data/1464521/000146452125000012/exhibit103-q2202510xq.htm" TargetMode="External"/><Relationship Id="rId150" Type="http://schemas.openxmlformats.org/officeDocument/2006/relationships/hyperlink" Target="http://www.sec.gov/Archives/edgar/data/1464521/000146452125000012/exhibit104-q2202510xq.htm" TargetMode="External"/><Relationship Id="rId151" Type="http://schemas.openxmlformats.org/officeDocument/2006/relationships/hyperlink" Target="http://www.sec.gov/Archives/edgar/data/1464521/000146452125000012/exhibit105-q2202510xq.htm" TargetMode="External"/><Relationship Id="rId152" Type="http://schemas.openxmlformats.org/officeDocument/2006/relationships/hyperlink" Target="http://www.sec.gov/Archives/edgar/data/1464521/000162828025035242/exhibit103-sx1.htm" TargetMode="External"/><Relationship Id="rId153" Type="http://schemas.openxmlformats.org/officeDocument/2006/relationships/hyperlink" Target="http://www.sec.gov/Archives/edgar/data/1464521/000162828025035242/exhibit104-sx1.htm" TargetMode="External"/><Relationship Id="rId154" Type="http://schemas.openxmlformats.org/officeDocument/2006/relationships/hyperlink" Target="http://www.sec.gov/Archives/edgar/data/1464521/000162828025037144/exhibit109-sx1a1.htm" TargetMode="External"/><Relationship Id="rId155" Type="http://schemas.openxmlformats.org/officeDocument/2006/relationships/hyperlink" Target="http://www.sec.gov/Archives/edgar/data/1464521/000162828025035242/exhibit106-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2026-03-18T15:28:44Z</dcterms:created>
  <dcterms:modified xsi:type="dcterms:W3CDTF">2026-03-18T15:28:44Z</dcterms:modified>
</cp:coreProperties>
</file>