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Farquhar John C.M.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HEARTFLOW,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135 MAIN STREET, SUITE 1000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Heartflow,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HTFL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15,560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39.06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420,720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in this Form 4 was effected pursuant to a Rule 10b5-1 trading plan adopted by the Reporting Person on September 12,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Nga Van,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00415" TargetMode="External"/><Relationship Id="rId5" Type="http://schemas.openxmlformats.org/officeDocument/2006/relationships/hyperlink" Target="http://www.sec.gov/cgi-bin/browse-edgar?action=getcompany&amp;CIK=0001464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3218</Characters>
  <CharactersWithSpaces>3746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