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0001585724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Rogers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19682</w:t>
            </w:r>
          </w:p>
        </w:tc>
        <w:tc>
          <w:tcPr>
            <w:tcW w:w="1377" w:type="dxa"/>
            <w:tcBorders/>
            <w:vAlign w:val="center"/>
          </w:tcPr>
          <w:p>
            <w:pPr>
              <w:pStyle w:val="TableContents"/>
              <w:bidi w:val="0"/>
              <w:spacing w:before="0" w:after="283"/>
              <w:jc w:val="left"/>
              <w:rPr/>
            </w:pPr>
            <w:r>
              <w:rPr/>
              <w:t>987052.30</w:t>
            </w:r>
          </w:p>
        </w:tc>
        <w:tc>
          <w:tcPr>
            <w:tcW w:w="1552" w:type="dxa"/>
            <w:tcBorders/>
            <w:vAlign w:val="center"/>
          </w:tcPr>
          <w:p>
            <w:pPr>
              <w:pStyle w:val="TableContents"/>
              <w:bidi w:val="0"/>
              <w:spacing w:before="0" w:after="283"/>
              <w:jc w:val="left"/>
              <w:rPr/>
            </w:pPr>
            <w:r>
              <w:rPr/>
              <w:t>86953627</w:t>
            </w:r>
          </w:p>
        </w:tc>
        <w:tc>
          <w:tcPr>
            <w:tcW w:w="1567" w:type="dxa"/>
            <w:tcBorders/>
            <w:vAlign w:val="center"/>
          </w:tcPr>
          <w:p>
            <w:pPr>
              <w:pStyle w:val="TableContents"/>
              <w:bidi w:val="0"/>
              <w:spacing w:before="0" w:after="283"/>
              <w:jc w:val="left"/>
              <w:rPr/>
            </w:pPr>
            <w:r>
              <w:rPr/>
              <w:t>09/18/2026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03/01/2021</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6503</w:t>
            </w:r>
          </w:p>
        </w:tc>
        <w:tc>
          <w:tcPr>
            <w:tcW w:w="1078" w:type="dxa"/>
            <w:tcBorders/>
            <w:vAlign w:val="center"/>
          </w:tcPr>
          <w:p>
            <w:pPr>
              <w:pStyle w:val="TableContents"/>
              <w:bidi w:val="0"/>
              <w:spacing w:before="0" w:after="283"/>
              <w:jc w:val="left"/>
              <w:rPr/>
            </w:pPr>
            <w:r>
              <w:rPr/>
              <w:t>03/01/2021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13179</w:t>
            </w:r>
          </w:p>
        </w:tc>
        <w:tc>
          <w:tcPr>
            <w:tcW w:w="1078" w:type="dxa"/>
            <w:tcBorders/>
            <w:vAlign w:val="center"/>
          </w:tcPr>
          <w:p>
            <w:pPr>
              <w:pStyle w:val="TableContents"/>
              <w:bidi w:val="0"/>
              <w:spacing w:before="0" w:after="283"/>
              <w:jc w:val="left"/>
              <w:rPr/>
            </w:pPr>
            <w:r>
              <w:rPr/>
              <w:t>09/18/2026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Campbell D. Rogers</w:t>
              <w:br/>
              <w:t>135 Main Street</w:t>
              <w:br/>
              <w:t>Suite 1000</w:t>
              <w:br/>
              <w:t>San Francisco   CA   94105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07/15/2026</w:t>
            </w:r>
          </w:p>
        </w:tc>
        <w:tc>
          <w:tcPr>
            <w:tcW w:w="1570" w:type="dxa"/>
            <w:tcBorders/>
            <w:vAlign w:val="center"/>
          </w:tcPr>
          <w:p>
            <w:pPr>
              <w:pStyle w:val="TableContents"/>
              <w:bidi w:val="0"/>
              <w:spacing w:before="0" w:after="283"/>
              <w:jc w:val="left"/>
              <w:rPr/>
            </w:pPr>
            <w:r>
              <w:rPr/>
              <w:t>9219</w:t>
            </w:r>
          </w:p>
        </w:tc>
        <w:tc>
          <w:tcPr>
            <w:tcW w:w="1770" w:type="dxa"/>
            <w:tcBorders/>
            <w:vAlign w:val="center"/>
          </w:tcPr>
          <w:p>
            <w:pPr>
              <w:pStyle w:val="TableContents"/>
              <w:bidi w:val="0"/>
              <w:spacing w:before="0" w:after="283"/>
              <w:jc w:val="left"/>
              <w:rPr/>
            </w:pPr>
            <w:r>
              <w:rPr/>
              <w:t>237112.68</w:t>
            </w:r>
          </w:p>
        </w:tc>
      </w:tr>
      <w:tr>
        <w:trPr/>
        <w:tc>
          <w:tcPr>
            <w:tcW w:w="2941" w:type="dxa"/>
            <w:tcBorders/>
            <w:vAlign w:val="center"/>
          </w:tcPr>
          <w:p>
            <w:pPr>
              <w:pStyle w:val="TableContents"/>
              <w:bidi w:val="0"/>
              <w:spacing w:before="0" w:after="283"/>
              <w:jc w:val="left"/>
              <w:rPr/>
            </w:pPr>
            <w:r>
              <w:rPr/>
              <w:t>Campbell D. Rogers</w:t>
              <w:br/>
              <w:t>135 Main Street</w:t>
              <w:br/>
              <w:t>Suite 1000</w:t>
              <w:br/>
              <w:t>San Francisco   CA   94105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08/17/2026</w:t>
            </w:r>
          </w:p>
        </w:tc>
        <w:tc>
          <w:tcPr>
            <w:tcW w:w="1570" w:type="dxa"/>
            <w:tcBorders/>
            <w:vAlign w:val="center"/>
          </w:tcPr>
          <w:p>
            <w:pPr>
              <w:pStyle w:val="TableContents"/>
              <w:bidi w:val="0"/>
              <w:spacing w:before="0" w:after="283"/>
              <w:jc w:val="left"/>
              <w:rPr/>
            </w:pPr>
            <w:r>
              <w:rPr/>
              <w:t>9219</w:t>
            </w:r>
          </w:p>
        </w:tc>
        <w:tc>
          <w:tcPr>
            <w:tcW w:w="1770" w:type="dxa"/>
            <w:tcBorders/>
            <w:vAlign w:val="center"/>
          </w:tcPr>
          <w:p>
            <w:pPr>
              <w:pStyle w:val="TableContents"/>
              <w:bidi w:val="0"/>
              <w:spacing w:before="0" w:after="283"/>
              <w:jc w:val="left"/>
              <w:rPr/>
            </w:pPr>
            <w:r>
              <w:rPr/>
              <w:t>380099.37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96"/>
        <w:gridCol w:w="6609"/>
      </w:tblGrid>
      <w:tr>
        <w:trPr/>
        <w:tc>
          <w:tcPr>
            <w:tcW w:w="3596" w:type="dxa"/>
            <w:tcBorders/>
            <w:vAlign w:val="center"/>
          </w:tcPr>
          <w:p>
            <w:pPr>
              <w:pStyle w:val="TableContents"/>
              <w:bidi w:val="0"/>
              <w:spacing w:before="0" w:after="283"/>
              <w:jc w:val="left"/>
              <w:rPr/>
            </w:pPr>
            <w:r>
              <w:rPr/>
              <w:t>Remarks</w:t>
            </w:r>
          </w:p>
        </w:tc>
        <w:tc>
          <w:tcPr>
            <w:tcW w:w="6609" w:type="dxa"/>
            <w:tcBorders/>
            <w:vAlign w:val="center"/>
          </w:tcPr>
          <w:p>
            <w:pPr>
              <w:pStyle w:val="TableContents"/>
              <w:bidi w:val="0"/>
              <w:spacing w:before="0" w:after="0"/>
              <w:jc w:val="left"/>
              <w:rPr/>
            </w:pPr>
            <w:r>
              <w:rPr/>
              <w:t>Today's sale includes 6,503 shares sold from the Sarah Rogers 2020 Irrevocable Trust of which Campbell D. Rogers is a trustee and account stakeholder.</w:t>
            </w:r>
          </w:p>
        </w:tc>
      </w:tr>
      <w:tr>
        <w:trPr/>
        <w:tc>
          <w:tcPr>
            <w:tcW w:w="3596" w:type="dxa"/>
            <w:tcBorders/>
            <w:vAlign w:val="center"/>
          </w:tcPr>
          <w:p>
            <w:pPr>
              <w:pStyle w:val="TableContents"/>
              <w:bidi w:val="0"/>
              <w:spacing w:before="0" w:after="283"/>
              <w:jc w:val="left"/>
              <w:rPr/>
            </w:pPr>
            <w:r>
              <w:rPr/>
              <w:t>Date of Notice</w:t>
            </w:r>
          </w:p>
        </w:tc>
        <w:tc>
          <w:tcPr>
            <w:tcW w:w="6609" w:type="dxa"/>
            <w:tcBorders/>
            <w:vAlign w:val="center"/>
          </w:tcPr>
          <w:p>
            <w:pPr>
              <w:pStyle w:val="TableContents"/>
              <w:bidi w:val="0"/>
              <w:spacing w:before="0" w:after="0"/>
              <w:jc w:val="left"/>
              <w:rPr/>
            </w:pPr>
            <w:r>
              <w:rPr/>
              <w:t>09/18/2026</w:t>
            </w:r>
          </w:p>
        </w:tc>
      </w:tr>
      <w:tr>
        <w:trPr/>
        <w:tc>
          <w:tcPr>
            <w:tcW w:w="3596" w:type="dxa"/>
            <w:tcBorders/>
            <w:vAlign w:val="center"/>
          </w:tcPr>
          <w:p>
            <w:pPr>
              <w:pStyle w:val="TableContents"/>
              <w:bidi w:val="0"/>
              <w:spacing w:before="0" w:after="283"/>
              <w:jc w:val="left"/>
              <w:rPr/>
            </w:pPr>
            <w:r>
              <w:rPr/>
              <w:t>Date of Plan Adoption or Giving of Instruction, If Relying on Rule 10b5-1</w:t>
            </w:r>
          </w:p>
        </w:tc>
        <w:tc>
          <w:tcPr>
            <w:tcW w:w="6609"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96" w:type="dxa"/>
            <w:tcBorders/>
            <w:vAlign w:val="center"/>
          </w:tcPr>
          <w:p>
            <w:pPr>
              <w:pStyle w:val="TableContents"/>
              <w:bidi w:val="0"/>
              <w:spacing w:before="0" w:after="283"/>
              <w:jc w:val="left"/>
              <w:rPr/>
            </w:pPr>
            <w:r>
              <w:rPr/>
              <w:t>Signature</w:t>
            </w:r>
          </w:p>
        </w:tc>
        <w:tc>
          <w:tcPr>
            <w:tcW w:w="6609" w:type="dxa"/>
            <w:tcBorders/>
            <w:vAlign w:val="center"/>
          </w:tcPr>
          <w:p>
            <w:pPr>
              <w:pStyle w:val="TableContents"/>
              <w:bidi w:val="0"/>
              <w:spacing w:before="0" w:after="0"/>
              <w:jc w:val="left"/>
              <w:rPr/>
            </w:pPr>
            <w:r>
              <w:rPr/>
              <w:t>/s/ Gary Redman, as a duly authorized representative of Fidelity Brokerage Services LLC, as attorney-in-fact for Campbell D.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3481</Characters>
  <CharactersWithSpaces>4091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