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Farquhar John C.M.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HEARTFLOW,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 MAIN STREET, 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Heartflow,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2,789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8.33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438,162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18,694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456,856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9,737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466,593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2.22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18,694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1,984,637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2,789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08/24/2031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65,703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9.58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9,737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12/26/2034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182,043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and becomes exercisable in monthly installments until July 1, 2027, subject to continued service through the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stock options are fully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vests and becomes exercisable in monthly installments until November 12, 2028, subject to continued service through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Nga Van,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0415" TargetMode="External"/><Relationship Id="rId5" Type="http://schemas.openxmlformats.org/officeDocument/2006/relationships/hyperlink" Target="http://www.sec.gov/cgi-bin/browse-edgar?action=getcompany&amp;CIK=0001464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683</Words>
  <Characters>3694</Characters>
  <CharactersWithSpaces>4255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