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Rogers Campbell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HEARTFLOW,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135 MAIN STREET, SUITE 1000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FRANCISCO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94105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Heartflow,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HTFL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Medical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41"/>
        <w:gridCol w:w="924"/>
        <w:gridCol w:w="793"/>
        <w:gridCol w:w="614"/>
        <w:gridCol w:w="347"/>
        <w:gridCol w:w="832"/>
        <w:gridCol w:w="437"/>
        <w:gridCol w:w="758"/>
        <w:gridCol w:w="1144"/>
        <w:gridCol w:w="987"/>
        <w:gridCol w:w="12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4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6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2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4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4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</w:p>
        </w:tc>
        <w:tc>
          <w:tcPr>
            <w:tcW w:w="7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9,219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</w:t>
            </w:r>
            <w:r>
              <w:rPr/>
              <w:t xml:space="preserve"> </w:t>
            </w:r>
          </w:p>
        </w:tc>
        <w:tc>
          <w:tcPr>
            <w:tcW w:w="11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97,950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</w:p>
        </w:tc>
        <w:tc>
          <w:tcPr>
            <w:tcW w:w="7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9,219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25.72</w:t>
            </w:r>
            <w:r>
              <w:rPr/>
              <w:t xml:space="preserve"> </w:t>
            </w:r>
          </w:p>
        </w:tc>
        <w:tc>
          <w:tcPr>
            <w:tcW w:w="11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88,731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22,615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Campbell Rogers 2019 Irrevocable Trust</w:t>
            </w:r>
          </w:p>
        </w:tc>
      </w:tr>
      <w:tr>
        <w:trPr/>
        <w:tc>
          <w:tcPr>
            <w:tcW w:w="214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46,159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CR Asset Protection Trust of 2023</w:t>
            </w:r>
          </w:p>
        </w:tc>
      </w:tr>
      <w:tr>
        <w:trPr/>
        <w:tc>
          <w:tcPr>
            <w:tcW w:w="214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26,012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Spouse's Trust</w:t>
            </w:r>
          </w:p>
        </w:tc>
      </w:tr>
      <w:tr>
        <w:trPr/>
        <w:tc>
          <w:tcPr>
            <w:tcW w:w="214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50,754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The Campbell Rogers Revocable Trust</w:t>
            </w:r>
          </w:p>
        </w:tc>
      </w:tr>
    </w:tbl>
    <w:tbl>
      <w:tblPr>
        <w:tblW w:w="1180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0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19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9,219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08/07/2035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9,219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92,191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option exercise and sale reported on this Form 4 were effected pursuant to a Rule 10b5-1 Trading Plan adopted by the reporting person on December 12, 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option vests and becomes exercisable in monthly installments until August 7, 2029, subject to continued service through the applicable vesting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Nga Van,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585724" TargetMode="External"/><Relationship Id="rId5" Type="http://schemas.openxmlformats.org/officeDocument/2006/relationships/hyperlink" Target="http://www.sec.gov/cgi-bin/browse-edgar?action=getcompany&amp;CIK=000146452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679</Words>
  <Characters>3634</Characters>
  <CharactersWithSpaces>4222</CharactersWithSpaces>
  <Paragraphs>133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