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Lightcap Jeffrey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HEARTFLOW,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 MAIN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Heartflow, Inc.</w:t>
              </w:r>
            </w:hyperlink>
            <w:r>
              <w:rPr/>
              <w:t xml:space="preserve"> [ </w:t>
            </w:r>
            <w:r>
              <w:rPr>
                <w:rFonts w:ascii="Times;serif" w:hAnsi="Times;serif"/>
                <w:color w:val="0000FF"/>
                <w:sz w:val="24"/>
                <w:shd w:fill="FFFFFF" w:val="clear"/>
              </w:rPr>
              <w:t>HTFL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4"/>
        <w:gridCol w:w="914"/>
        <w:gridCol w:w="784"/>
        <w:gridCol w:w="607"/>
        <w:gridCol w:w="345"/>
        <w:gridCol w:w="922"/>
        <w:gridCol w:w="438"/>
        <w:gridCol w:w="604"/>
        <w:gridCol w:w="1268"/>
        <w:gridCol w:w="984"/>
        <w:gridCol w:w="11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47,420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293,681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4,615,542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HCPCIV 1, LLC</w:t>
            </w:r>
          </w:p>
        </w:tc>
      </w:tr>
      <w:tr>
        <w:trPr/>
        <w:tc>
          <w:tcPr>
            <w:tcW w:w="21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833,075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HealthCor Partners Fund II, L.P.</w:t>
            </w:r>
            <w:r>
              <w:rPr>
                <w:rFonts w:ascii="Times;serif" w:hAnsi="Times;serif"/>
                <w:color w:val="008000"/>
                <w:position w:val="7"/>
                <w:sz w:val="16"/>
                <w:sz w:val="20"/>
                <w:shd w:fill="FFFFFF" w:val="clear"/>
              </w:rPr>
              <w:t>(1)</w:t>
            </w:r>
          </w:p>
        </w:tc>
      </w:tr>
      <w:tr>
        <w:trPr/>
        <w:tc>
          <w:tcPr>
            <w:tcW w:w="21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1,248,939</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HealthCor Partners Fund, L.P.</w:t>
            </w:r>
            <w:r>
              <w:rPr>
                <w:rFonts w:ascii="Times;serif" w:hAnsi="Times;serif"/>
                <w:color w:val="008000"/>
                <w:position w:val="7"/>
                <w:sz w:val="16"/>
                <w:sz w:val="20"/>
                <w:shd w:fill="FFFFFF" w:val="clear"/>
              </w:rPr>
              <w:t>(1)</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47,420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47,420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Lightcap is a controlling member of each of HealthCor Partners Fund II, L.P. and HealthCor Partners Fund, L.P. and may be deemed to have voting and dispositive power with respect to the shares. Mr. Lightcap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stock options are fully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Nga Van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9465" TargetMode="External"/><Relationship Id="rId5" Type="http://schemas.openxmlformats.org/officeDocument/2006/relationships/hyperlink" Target="http://www.sec.gov/cgi-bin/browse-edgar?action=getcompany&amp;CIK=0001464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3732</Characters>
  <CharactersWithSpaces>4341</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