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pPr>
      <w:hyperlink w:anchor="id1290140f1964f6aa0c38a63d928decf_7">
        <w:bookmarkStart w:id="0" w:name="htfl-20250930.htm"/>
        <w:bookmarkStart w:id="1" w:name="kshtfl20250930"/>
        <w:bookmarkEnd w:id="0"/>
        <w:bookmarkEnd w:id="1"/>
        <w:r>
          <w:rPr>
            <w:rStyle w:val="InternetLink"/>
            <w:rFonts w:ascii="Arial;sans-serif" w:hAnsi="Arial;sans-serif"/>
            <w:b w:val="false"/>
            <w:i w:val="false"/>
            <w:caps w:val="false"/>
            <w:smallCaps w:val="false"/>
            <w:color w:val="0000FF"/>
            <w:sz w:val="20"/>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Arial;sans-serif" w:hAnsi="Arial;sans-serif"/>
          <w:b/>
          <w:i w:val="false"/>
          <w:caps w:val="false"/>
          <w:smallCaps w:val="false"/>
          <w:strike w:val="false"/>
          <w:dstrike w:val="false"/>
          <w:sz w:val="36"/>
          <w:u w:val="none"/>
          <w:effect w:val="none"/>
        </w:rPr>
      </w:pPr>
      <w:r>
        <w:rPr>
          <w:rFonts w:ascii="Arial;sans-serif" w:hAnsi="Arial;sans-serif"/>
          <w:b/>
          <w:i w:val="false"/>
          <w:caps w:val="false"/>
          <w:smallCaps w:val="false"/>
          <w:strike w:val="false"/>
          <w:dstrike w:val="false"/>
          <w:sz w:val="36"/>
          <w:u w:val="none"/>
          <w:effect w:val="none"/>
        </w:rPr>
        <w:t>UNITED STATES</w:t>
      </w:r>
    </w:p>
    <w:p>
      <w:pPr>
        <w:pStyle w:val="TextBody"/>
        <w:bidi w:val="0"/>
        <w:spacing w:lineRule="atLeast" w:line="360" w:before="0" w:after="0"/>
        <w:jc w:val="left"/>
        <w:rPr>
          <w:rFonts w:ascii="Arial;sans-serif" w:hAnsi="Arial;sans-serif"/>
          <w:b/>
          <w:i w:val="false"/>
          <w:caps w:val="false"/>
          <w:smallCaps w:val="false"/>
          <w:strike w:val="false"/>
          <w:dstrike w:val="false"/>
          <w:sz w:val="36"/>
          <w:u w:val="none"/>
          <w:effect w:val="none"/>
        </w:rPr>
      </w:pPr>
      <w:r>
        <w:rPr>
          <w:rFonts w:ascii="Arial;sans-serif" w:hAnsi="Arial;sans-serif"/>
          <w:b/>
          <w:i w:val="false"/>
          <w:caps w:val="false"/>
          <w:smallCaps w:val="false"/>
          <w:strike w:val="false"/>
          <w:dstrike w:val="false"/>
          <w:sz w:val="36"/>
          <w:u w:val="none"/>
          <w:effect w:val="none"/>
        </w:rPr>
        <w:t>SECURITIES AND EXCHANGE COMMISSION</w:t>
      </w: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Washington, D.C. 20549</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_________________________</w:t>
      </w:r>
    </w:p>
    <w:p>
      <w:pPr>
        <w:pStyle w:val="TextBody"/>
        <w:bidi w:val="0"/>
        <w:spacing w:lineRule="atLeast" w:line="360" w:before="0" w:after="0"/>
        <w:jc w:val="left"/>
        <w:rPr>
          <w:rFonts w:ascii="Arial;sans-serif" w:hAnsi="Arial;sans-serif"/>
          <w:b/>
          <w:i w:val="false"/>
          <w:caps w:val="false"/>
          <w:smallCaps w:val="false"/>
          <w:strike w:val="false"/>
          <w:dstrike w:val="false"/>
          <w:sz w:val="36"/>
          <w:u w:val="none"/>
          <w:effect w:val="none"/>
        </w:rPr>
      </w:pPr>
      <w:r>
        <w:rPr>
          <w:rFonts w:ascii="Arial;sans-serif" w:hAnsi="Arial;sans-serif"/>
          <w:b/>
          <w:i w:val="false"/>
          <w:caps w:val="false"/>
          <w:smallCaps w:val="false"/>
          <w:strike w:val="false"/>
          <w:dstrike w:val="false"/>
          <w:sz w:val="36"/>
          <w:u w:val="none"/>
          <w:effect w:val="none"/>
        </w:rPr>
        <w:t>FORM 10-Q</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_________________________</w:t>
      </w:r>
    </w:p>
    <w:p>
      <w:pPr>
        <w:pStyle w:val="TextBody"/>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sz w:val="20"/>
                <w:u w:val="none"/>
                <w:effect w:val="none"/>
              </w:rPr>
            </w:pPr>
            <w:r>
              <w:rPr>
                <w:rFonts w:ascii="Wingdings;sans-serif" w:hAnsi="Wingdings;sans-serif"/>
                <w:b w:val="false"/>
                <w:i w:val="false"/>
                <w:caps w:val="false"/>
                <w:smallCaps w:val="false"/>
                <w:strike w:val="false"/>
                <w:dstrike w:val="false"/>
                <w:sz w:val="20"/>
                <w:u w:val="none"/>
                <w:effect w:val="none"/>
              </w:rPr>
              <w:t>x</w:t>
            </w:r>
          </w:p>
        </w:tc>
        <w:tc>
          <w:tcPr>
            <w:tcW w:w="9874"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QUARTERLY REPORT PURSUANT TO SECTION 13 OR 15(d) OF THE SECURITIES EXCHANGE ACT OF 1934</w:t>
            </w:r>
          </w:p>
        </w:tc>
      </w:tr>
    </w:tbl>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For the quarterly period ended September 30, 2025</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OR</w:t>
      </w:r>
    </w:p>
    <w:tbl>
      <w:tblPr>
        <w:tblW w:w="10205" w:type="dxa"/>
        <w:jc w:val="left"/>
        <w:tblInd w:w="0" w:type="dxa"/>
        <w:tblLayout w:type="fixed"/>
        <w:tblCellMar>
          <w:top w:w="28" w:type="dxa"/>
          <w:left w:w="28" w:type="dxa"/>
          <w:bottom w:w="28" w:type="dxa"/>
          <w:right w:w="28" w:type="dxa"/>
        </w:tblCellMar>
      </w:tblPr>
      <w:tblGrid>
        <w:gridCol w:w="301"/>
        <w:gridCol w:w="9904"/>
      </w:tblGrid>
      <w:tr>
        <w:trPr/>
        <w:tc>
          <w:tcPr>
            <w:tcW w:w="301" w:type="dxa"/>
            <w:tcBorders/>
            <w:vAlign w:val="center"/>
          </w:tcPr>
          <w:p>
            <w:pPr>
              <w:pStyle w:val="TableContents"/>
              <w:bidi w:val="0"/>
              <w:spacing w:before="0" w:after="283"/>
              <w:jc w:val="left"/>
              <w:rPr>
                <w:sz w:val="4"/>
                <w:szCs w:val="4"/>
              </w:rPr>
            </w:pPr>
            <w:r>
              <w:rPr>
                <w:sz w:val="4"/>
                <w:szCs w:val="4"/>
              </w:rPr>
            </w:r>
          </w:p>
        </w:tc>
        <w:tc>
          <w:tcPr>
            <w:tcW w:w="9904"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sz w:val="20"/>
                <w:u w:val="none"/>
                <w:effect w:val="none"/>
              </w:rPr>
            </w:pPr>
            <w:r>
              <w:rPr>
                <w:rFonts w:ascii="Wingdings;sans-serif" w:hAnsi="Wingdings;sans-serif"/>
                <w:b w:val="false"/>
                <w:i w:val="false"/>
                <w:caps w:val="false"/>
                <w:smallCaps w:val="false"/>
                <w:strike w:val="false"/>
                <w:dstrike w:val="false"/>
                <w:sz w:val="20"/>
                <w:u w:val="none"/>
                <w:effect w:val="none"/>
              </w:rPr>
              <w:t>o</w:t>
            </w:r>
          </w:p>
        </w:tc>
        <w:tc>
          <w:tcPr>
            <w:tcW w:w="9904"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TRANSITION REPORT PURSUANT TO SECTION 13 OR 15(d) OF THE SECURITIES EXCHANGE ACT OF 1934</w:t>
            </w:r>
          </w:p>
        </w:tc>
      </w:tr>
    </w:tbl>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For the transition period from  ____ to ____</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Commission File Number: 001-42790</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_________________________</w:t>
      </w:r>
    </w:p>
    <w:p>
      <w:pPr>
        <w:pStyle w:val="TextBody"/>
        <w:bidi w:val="0"/>
        <w:spacing w:lineRule="atLeast" w:line="360" w:before="0" w:after="0"/>
        <w:jc w:val="left"/>
        <w:rPr>
          <w:rFonts w:ascii="Arial;sans-serif" w:hAnsi="Arial;sans-serif"/>
          <w:b/>
          <w:i w:val="false"/>
          <w:caps w:val="false"/>
          <w:smallCaps w:val="false"/>
          <w:strike w:val="false"/>
          <w:dstrike w:val="false"/>
          <w:sz w:val="36"/>
          <w:u w:val="none"/>
          <w:effect w:val="none"/>
        </w:rPr>
      </w:pPr>
      <w:r>
        <w:rPr>
          <w:rFonts w:ascii="Arial;sans-serif" w:hAnsi="Arial;sans-serif"/>
          <w:b/>
          <w:i w:val="false"/>
          <w:caps w:val="false"/>
          <w:smallCaps w:val="false"/>
          <w:strike w:val="false"/>
          <w:dstrike w:val="false"/>
          <w:sz w:val="36"/>
          <w:u w:val="none"/>
          <w:effect w:val="none"/>
        </w:rPr>
        <w:t>Heartflow, Inc.</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(Exact Name of Registrant as Specified in its Charter)</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_________________________</w:t>
      </w:r>
    </w:p>
    <w:tbl>
      <w:tblPr>
        <w:tblW w:w="5395" w:type="dxa"/>
        <w:jc w:val="left"/>
        <w:tblInd w:w="0" w:type="dxa"/>
        <w:tblLayout w:type="fixed"/>
        <w:tblCellMar>
          <w:top w:w="28" w:type="dxa"/>
          <w:left w:w="28" w:type="dxa"/>
          <w:bottom w:w="28" w:type="dxa"/>
          <w:right w:w="28" w:type="dxa"/>
        </w:tblCellMar>
      </w:tblPr>
      <w:tblGrid>
        <w:gridCol w:w="3541"/>
        <w:gridCol w:w="109"/>
        <w:gridCol w:w="109"/>
        <w:gridCol w:w="1636"/>
      </w:tblGrid>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26-0506743</w:t>
            </w:r>
          </w:p>
        </w:tc>
      </w:tr>
      <w:tr>
        <w:trPr/>
        <w:tc>
          <w:tcPr>
            <w:tcW w:w="3541"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(State or other jurisdiction of</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(I.R.S. Employer</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Identification No.)</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331 E. Evelyn Avenue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Mountain View, California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94041</w:t>
            </w:r>
          </w:p>
        </w:tc>
      </w:tr>
      <w:tr>
        <w:trPr/>
        <w:tc>
          <w:tcPr>
            <w:tcW w:w="3541"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(Zip Code)</w:t>
            </w:r>
          </w:p>
        </w:tc>
      </w:tr>
    </w:tbl>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Registrant’s telephone number, including area code: (650) 241-1221</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Securities registered pursuant to Section 12(b) of the Act:</w:t>
      </w:r>
    </w:p>
    <w:tbl>
      <w:tblPr>
        <w:tblW w:w="9491" w:type="dxa"/>
        <w:jc w:val="left"/>
        <w:tblInd w:w="0" w:type="dxa"/>
        <w:tblLayout w:type="fixed"/>
        <w:tblCellMar>
          <w:top w:w="28" w:type="dxa"/>
          <w:left w:w="28" w:type="dxa"/>
          <w:bottom w:w="28" w:type="dxa"/>
          <w:right w:w="28" w:type="dxa"/>
        </w:tblCellMar>
      </w:tblPr>
      <w:tblGrid>
        <w:gridCol w:w="3661"/>
        <w:gridCol w:w="109"/>
        <w:gridCol w:w="1666"/>
        <w:gridCol w:w="109"/>
        <w:gridCol w:w="3946"/>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94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Name of each exchange on which registered</w:t>
            </w:r>
          </w:p>
        </w:tc>
      </w:tr>
      <w:tr>
        <w:trPr/>
        <w:tc>
          <w:tcPr>
            <w:tcW w:w="366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Common Stock, $0.001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HTFL</w:t>
            </w:r>
          </w:p>
        </w:tc>
        <w:tc>
          <w:tcPr>
            <w:tcW w:w="109" w:type="dxa"/>
            <w:tcBorders/>
            <w:vAlign w:val="center"/>
          </w:tcPr>
          <w:p>
            <w:pPr>
              <w:pStyle w:val="TableContents"/>
              <w:bidi w:val="0"/>
              <w:spacing w:before="0" w:after="283"/>
              <w:jc w:val="left"/>
              <w:rPr>
                <w:sz w:val="4"/>
                <w:szCs w:val="4"/>
              </w:rPr>
            </w:pPr>
            <w:r>
              <w:rPr>
                <w:sz w:val="4"/>
                <w:szCs w:val="4"/>
              </w:rPr>
            </w:r>
          </w:p>
        </w:tc>
        <w:tc>
          <w:tcPr>
            <w:tcW w:w="394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The Nasdaq Stock Market LLC </w:t>
            </w:r>
          </w:p>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(Nasdaq Global Select Market)</w:t>
            </w:r>
          </w:p>
        </w:tc>
      </w:tr>
    </w:tbl>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Indicate by check mark whether the registrant (1) has filed all reports required to be filed by Section 13 or 15(d) of the Securities </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Exchange Act of 1934 during the preceding 12 months (or for such shorter period that the registrant was required to file such reports),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19"/>
          <w:u w:val="none"/>
          <w:effect w:val="none"/>
        </w:rPr>
        <w:t>and (2) has been subject to such filing requirements for the past 90 days</w:t>
      </w:r>
      <w:r>
        <w:rPr>
          <w:rFonts w:ascii="Times New Roman;serif" w:hAnsi="Times New Roman;serif"/>
          <w:b w:val="false"/>
          <w:i w:val="false"/>
          <w:caps w:val="false"/>
          <w:smallCaps w:val="false"/>
          <w:strike w:val="false"/>
          <w:dstrike w:val="false"/>
          <w:sz w:val="19"/>
          <w:u w:val="none"/>
          <w:effect w:val="none"/>
        </w:rPr>
        <w:t>.</w:t>
      </w:r>
      <w:r>
        <w:rPr>
          <w:rFonts w:ascii="Arial;sans-serif" w:hAnsi="Arial;sans-serif"/>
          <w:b w:val="false"/>
          <w:i w:val="false"/>
          <w:caps w:val="false"/>
          <w:smallCaps w:val="false"/>
          <w:strike w:val="false"/>
          <w:dstrike w:val="false"/>
          <w:sz w:val="19"/>
          <w:u w:val="none"/>
          <w:effect w:val="none"/>
        </w:rPr>
        <w:t>Yes</w:t>
      </w:r>
      <w:r>
        <w:rPr>
          <w:caps w:val="false"/>
          <w:smallCaps w:val="false"/>
          <w:strike w:val="false"/>
          <w:dstrike w:val="false"/>
          <w:sz w:val="24"/>
          <w:u w:val="none"/>
          <w:effect w:val="none"/>
        </w:rPr>
        <w:t xml:space="preserve"> </w:t>
      </w:r>
      <w:r>
        <w:rPr>
          <w:rFonts w:ascii="Wingdings;sans-serif" w:hAnsi="Wingdings;sans-serif"/>
          <w:b w:val="false"/>
          <w:i w:val="false"/>
          <w:caps w:val="false"/>
          <w:smallCaps w:val="false"/>
          <w:strike w:val="false"/>
          <w:dstrike w:val="false"/>
          <w:sz w:val="20"/>
          <w:u w:val="none"/>
          <w:effect w:val="none"/>
        </w:rPr>
        <w:t>x</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19"/>
          <w:u w:val="none"/>
          <w:effect w:val="none"/>
        </w:rPr>
        <w:t>No</w:t>
      </w:r>
      <w:r>
        <w:rPr>
          <w:caps w:val="false"/>
          <w:smallCaps w:val="false"/>
          <w:strike w:val="false"/>
          <w:dstrike w:val="false"/>
          <w:sz w:val="24"/>
          <w:u w:val="none"/>
          <w:effect w:val="none"/>
        </w:rPr>
        <w:t xml:space="preserve">  </w:t>
      </w:r>
      <w:r>
        <w:rPr>
          <w:rFonts w:ascii="Wingdings;sans-serif" w:hAnsi="Wingdings;sans-serif"/>
          <w:b w:val="false"/>
          <w:i w:val="false"/>
          <w:caps w:val="false"/>
          <w:smallCaps w:val="false"/>
          <w:strike w:val="false"/>
          <w:dstrike w:val="false"/>
          <w:sz w:val="20"/>
          <w:u w:val="none"/>
          <w:effect w:val="none"/>
        </w:rPr>
        <w:t>o</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Indicate by check mark whether the registrant has submitted electronically every Interactive Data File required to be submitted </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pursuant to Rule 405 of Regulation S-T (§ 232.405 of this chapter) during the preceding 12 months (or for such shorter period that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19"/>
          <w:u w:val="none"/>
          <w:effect w:val="none"/>
        </w:rPr>
        <w:t>registrant was required to submit such files).</w:t>
      </w:r>
      <w:r>
        <w:rPr>
          <w:rFonts w:ascii="Arial;sans-serif" w:hAnsi="Arial;sans-serif"/>
          <w:b w:val="false"/>
          <w:i w:val="false"/>
          <w:caps w:val="false"/>
          <w:smallCaps w:val="false"/>
          <w:strike w:val="false"/>
          <w:dstrike w:val="false"/>
          <w:sz w:val="20"/>
          <w:u w:val="none"/>
          <w:effect w:val="none"/>
        </w:rPr>
        <w:t>Yes</w:t>
      </w:r>
      <w:r>
        <w:rPr>
          <w:caps w:val="false"/>
          <w:smallCaps w:val="false"/>
          <w:strike w:val="false"/>
          <w:dstrike w:val="false"/>
          <w:sz w:val="24"/>
          <w:u w:val="none"/>
          <w:effect w:val="none"/>
        </w:rPr>
        <w:t xml:space="preserve"> </w:t>
      </w:r>
      <w:r>
        <w:rPr>
          <w:rFonts w:ascii="Wingdings;sans-serif" w:hAnsi="Wingdings;sans-serif"/>
          <w:b w:val="false"/>
          <w:i w:val="false"/>
          <w:caps w:val="false"/>
          <w:smallCaps w:val="false"/>
          <w:strike w:val="false"/>
          <w:dstrike w:val="false"/>
          <w:sz w:val="20"/>
          <w:u w:val="none"/>
          <w:effect w:val="none"/>
        </w:rPr>
        <w:t>x</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 xml:space="preserve">No </w:t>
      </w:r>
      <w:r>
        <w:rPr>
          <w:rFonts w:ascii="Wingdings;sans-serif" w:hAnsi="Wingdings;sans-serif"/>
          <w:b w:val="false"/>
          <w:i w:val="false"/>
          <w:caps w:val="false"/>
          <w:smallCaps w:val="false"/>
          <w:strike w:val="false"/>
          <w:dstrike w:val="false"/>
          <w:sz w:val="20"/>
          <w:u w:val="none"/>
          <w:effect w:val="none"/>
        </w:rPr>
        <w:t>o</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Indicate by check mark whether the registrant is a large accelerated filer, an accelerated filer, a non-accelerated filer, a smaller </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reporting company, or an emerging growth company. See the definitions of “large accelerated filer,” “accelerated filer,” “smaller </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2041"/>
        <w:gridCol w:w="316"/>
        <w:gridCol w:w="109"/>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lineRule="atLeast" w:line="190"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Large accelerated filer</w:t>
            </w:r>
          </w:p>
        </w:tc>
        <w:tc>
          <w:tcPr>
            <w:tcW w:w="316"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color w:val="000000"/>
                <w:sz w:val="20"/>
                <w:u w:val="none"/>
                <w:effect w:val="none"/>
              </w:rPr>
            </w:pPr>
            <w:r>
              <w:rPr>
                <w:rFonts w:ascii="Wingdings;sans-serif" w:hAnsi="Wingdings;sans-serif"/>
                <w:b w:val="false"/>
                <w:i w:val="false"/>
                <w:caps w:val="false"/>
                <w:smallCaps w:val="false"/>
                <w:strike w:val="false"/>
                <w:dstrike w:val="false"/>
                <w:color w:val="000000"/>
                <w:sz w:val="20"/>
                <w:u w:val="none"/>
                <w:effect w:val="none"/>
              </w:rPr>
              <w:t>o</w:t>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lineRule="atLeast" w:line="190"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Accelerated filer</w:t>
            </w:r>
          </w:p>
        </w:tc>
        <w:tc>
          <w:tcPr>
            <w:tcW w:w="361"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color w:val="000000"/>
                <w:sz w:val="20"/>
                <w:u w:val="none"/>
                <w:effect w:val="none"/>
              </w:rPr>
            </w:pPr>
            <w:r>
              <w:rPr>
                <w:rFonts w:ascii="Wingdings;sans-serif" w:hAnsi="Wingdings;sans-serif"/>
                <w:b w:val="false"/>
                <w:i w:val="false"/>
                <w:caps w:val="false"/>
                <w:smallCaps w:val="false"/>
                <w:strike w:val="false"/>
                <w:dstrike w:val="false"/>
                <w:color w:val="000000"/>
                <w:sz w:val="20"/>
                <w:u w:val="none"/>
                <w:effect w:val="none"/>
              </w:rPr>
              <w:t>o</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lineRule="atLeast" w:line="190"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Non-accelerated filer</w:t>
            </w:r>
          </w:p>
        </w:tc>
        <w:tc>
          <w:tcPr>
            <w:tcW w:w="316"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sz w:val="20"/>
                <w:u w:val="none"/>
                <w:effect w:val="none"/>
              </w:rPr>
            </w:pPr>
            <w:r>
              <w:rPr>
                <w:rFonts w:ascii="Wingdings;sans-serif" w:hAnsi="Wingdings;sans-serif"/>
                <w:b w:val="false"/>
                <w:i w:val="false"/>
                <w:caps w:val="false"/>
                <w:smallCaps w:val="false"/>
                <w:strike w:val="false"/>
                <w:dstrike w:val="false"/>
                <w:sz w:val="20"/>
                <w:u w:val="none"/>
                <w:effect w:val="none"/>
              </w:rPr>
              <w:t>x</w:t>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lineRule="atLeast" w:line="190"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Smaller reporting company</w:t>
            </w:r>
          </w:p>
        </w:tc>
        <w:tc>
          <w:tcPr>
            <w:tcW w:w="361"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color w:val="000000"/>
                <w:sz w:val="20"/>
                <w:u w:val="none"/>
                <w:effect w:val="none"/>
              </w:rPr>
            </w:pPr>
            <w:r>
              <w:rPr>
                <w:rFonts w:ascii="Wingdings;sans-serif" w:hAnsi="Wingdings;sans-serif"/>
                <w:b w:val="false"/>
                <w:i w:val="false"/>
                <w:caps w:val="false"/>
                <w:smallCaps w:val="false"/>
                <w:strike w:val="false"/>
                <w:dstrike w:val="false"/>
                <w:color w:val="000000"/>
                <w:sz w:val="20"/>
                <w:u w:val="none"/>
                <w:effect w:val="none"/>
              </w:rPr>
              <w:t>o</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lineRule="atLeast" w:line="190"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Emerging growth company</w:t>
            </w:r>
          </w:p>
        </w:tc>
        <w:tc>
          <w:tcPr>
            <w:tcW w:w="361" w:type="dxa"/>
            <w:tcBorders/>
            <w:vAlign w:val="center"/>
          </w:tcPr>
          <w:p>
            <w:pPr>
              <w:pStyle w:val="TableContents"/>
              <w:bidi w:val="0"/>
              <w:spacing w:lineRule="atLeast" w:line="200" w:before="0" w:after="0"/>
              <w:jc w:val="left"/>
              <w:rPr>
                <w:rFonts w:ascii="Wingdings;sans-serif" w:hAnsi="Wingdings;sans-serif"/>
                <w:b w:val="false"/>
                <w:i w:val="false"/>
                <w:caps w:val="false"/>
                <w:smallCaps w:val="false"/>
                <w:strike w:val="false"/>
                <w:dstrike w:val="false"/>
                <w:sz w:val="20"/>
                <w:u w:val="none"/>
                <w:effect w:val="none"/>
              </w:rPr>
            </w:pPr>
            <w:r>
              <w:rPr>
                <w:rFonts w:ascii="Wingdings;sans-serif" w:hAnsi="Wingdings;sans-serif"/>
                <w:b w:val="false"/>
                <w:i w:val="false"/>
                <w:caps w:val="false"/>
                <w:smallCaps w:val="false"/>
                <w:strike w:val="false"/>
                <w:dstrike w:val="false"/>
                <w:sz w:val="20"/>
                <w:u w:val="none"/>
                <w:effect w:val="none"/>
              </w:rPr>
              <w:t>x</w:t>
            </w:r>
          </w:p>
        </w:tc>
      </w:tr>
    </w:tbl>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If an emerging growth company, indicate by check mark if the registrant has elected not to use the extended transition period for </w:t>
      </w:r>
    </w:p>
    <w:p>
      <w:pPr>
        <w:pStyle w:val="TextBody"/>
        <w:bidi w:val="0"/>
        <w:spacing w:lineRule="atLeast" w:line="190" w:before="0" w:after="0"/>
        <w:jc w:val="left"/>
        <w:rPr>
          <w:sz w:val="24"/>
        </w:rPr>
      </w:pPr>
      <w:r>
        <w:rPr>
          <w:rFonts w:ascii="Arial;sans-serif" w:hAnsi="Arial;sans-serif"/>
          <w:b w:val="false"/>
          <w:i w:val="false"/>
          <w:caps w:val="false"/>
          <w:smallCaps w:val="false"/>
          <w:strike w:val="false"/>
          <w:dstrike w:val="false"/>
          <w:sz w:val="19"/>
          <w:u w:val="none"/>
          <w:effect w:val="none"/>
        </w:rPr>
        <w:t>complying with any new or revised financial accounting standards provided pursuant to Section 13(a) of the Exchange Act.</w:t>
      </w:r>
      <w:r>
        <w:rPr>
          <w:caps w:val="false"/>
          <w:smallCaps w:val="false"/>
          <w:strike w:val="false"/>
          <w:dstrike w:val="false"/>
          <w:sz w:val="24"/>
          <w:u w:val="none"/>
          <w:effect w:val="none"/>
        </w:rPr>
        <w:t xml:space="preserve">   </w:t>
      </w:r>
      <w:r>
        <w:rPr>
          <w:rFonts w:ascii="Wingdings;sans-serif" w:hAnsi="Wingdings;sans-serif"/>
          <w:b w:val="false"/>
          <w:i w:val="false"/>
          <w:caps w:val="false"/>
          <w:smallCaps w:val="false"/>
          <w:strike w:val="false"/>
          <w:dstrike w:val="false"/>
          <w:sz w:val="19"/>
          <w:u w:val="none"/>
          <w:effect w:val="none"/>
        </w:rPr>
        <w:t>o</w:t>
      </w:r>
    </w:p>
    <w:p>
      <w:pPr>
        <w:pStyle w:val="TextBody"/>
        <w:bidi w:val="0"/>
        <w:spacing w:lineRule="atLeast" w:line="190" w:before="0" w:after="0"/>
        <w:jc w:val="left"/>
        <w:rPr>
          <w:sz w:val="24"/>
        </w:rPr>
      </w:pPr>
      <w:r>
        <w:rPr>
          <w:rFonts w:ascii="Arial;sans-serif" w:hAnsi="Arial;sans-serif"/>
          <w:b w:val="false"/>
          <w:i w:val="false"/>
          <w:caps w:val="false"/>
          <w:smallCaps w:val="false"/>
          <w:strike w:val="false"/>
          <w:dstrike w:val="false"/>
          <w:sz w:val="19"/>
          <w:u w:val="none"/>
          <w:effect w:val="none"/>
        </w:rPr>
        <w:t xml:space="preserve">Indicate by check mark whether the registrant is a shell company (as defined in Rule 12b-2 of the Act). Yes </w:t>
      </w:r>
      <w:r>
        <w:rPr>
          <w:rFonts w:ascii="Wingdings;sans-serif" w:hAnsi="Wingdings;sans-serif"/>
          <w:b w:val="false"/>
          <w:i w:val="false"/>
          <w:caps w:val="false"/>
          <w:smallCaps w:val="false"/>
          <w:strike w:val="false"/>
          <w:dstrike w:val="false"/>
          <w:sz w:val="19"/>
          <w:u w:val="none"/>
          <w:effect w:val="none"/>
        </w:rPr>
        <w:t>o</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19"/>
          <w:u w:val="none"/>
          <w:effect w:val="none"/>
        </w:rPr>
        <w:t xml:space="preserve">No </w:t>
      </w:r>
      <w:r>
        <w:rPr>
          <w:rFonts w:ascii="Wingdings;sans-serif" w:hAnsi="Wingdings;sans-serif"/>
          <w:b w:val="false"/>
          <w:i w:val="false"/>
          <w:caps w:val="false"/>
          <w:smallCaps w:val="false"/>
          <w:strike w:val="false"/>
          <w:dstrike w:val="false"/>
          <w:sz w:val="19"/>
          <w:u w:val="none"/>
          <w:effect w:val="none"/>
        </w:rPr>
        <w:t>x</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 xml:space="preserve">As of October 31, 2025, the number of outstanding shares of the registrant’s common stock, par value $0.001 per share, was </w:t>
      </w:r>
    </w:p>
    <w:p>
      <w:pPr>
        <w:pStyle w:val="TextBody"/>
        <w:bidi w:val="0"/>
        <w:spacing w:lineRule="atLeast" w:line="190" w:before="0" w:after="0"/>
        <w:jc w:val="left"/>
        <w:rPr>
          <w:rFonts w:ascii="Arial;sans-serif" w:hAnsi="Arial;sans-serif"/>
          <w:b w:val="false"/>
          <w:i w:val="false"/>
          <w:caps w:val="false"/>
          <w:smallCaps w:val="false"/>
          <w:strike w:val="false"/>
          <w:dstrike w:val="false"/>
          <w:sz w:val="19"/>
          <w:u w:val="none"/>
          <w:effect w:val="none"/>
        </w:rPr>
      </w:pPr>
      <w:r>
        <w:rPr>
          <w:rFonts w:ascii="Arial;sans-serif" w:hAnsi="Arial;sans-serif"/>
          <w:b w:val="false"/>
          <w:i w:val="false"/>
          <w:caps w:val="false"/>
          <w:smallCaps w:val="false"/>
          <w:strike w:val="false"/>
          <w:dstrike w:val="false"/>
          <w:sz w:val="19"/>
          <w:u w:val="none"/>
          <w:effect w:val="none"/>
        </w:rPr>
        <w:t>85,158,719.</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Table of Contents</w:t>
      </w:r>
    </w:p>
    <w:tbl>
      <w:tblPr>
        <w:tblW w:w="8921" w:type="dxa"/>
        <w:jc w:val="left"/>
        <w:tblInd w:w="0" w:type="dxa"/>
        <w:tblLayout w:type="fixed"/>
        <w:tblCellMar>
          <w:top w:w="28" w:type="dxa"/>
          <w:left w:w="28" w:type="dxa"/>
          <w:bottom w:w="28" w:type="dxa"/>
          <w:right w:w="28" w:type="dxa"/>
        </w:tblCellMar>
      </w:tblPr>
      <w:tblGrid>
        <w:gridCol w:w="871"/>
        <w:gridCol w:w="109"/>
        <w:gridCol w:w="7216"/>
        <w:gridCol w:w="109"/>
        <w:gridCol w:w="616"/>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Page</w:t>
            </w:r>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6" w:type="dxa"/>
            <w:gridSpan w:val="3"/>
            <w:tcBorders/>
            <w:vAlign w:val="center"/>
          </w:tcPr>
          <w:p>
            <w:pPr>
              <w:pStyle w:val="TableContents"/>
              <w:bidi w:val="0"/>
              <w:spacing w:lineRule="atLeast" w:line="200" w:before="0" w:after="0"/>
              <w:jc w:val="left"/>
              <w:rPr/>
            </w:pPr>
            <w:hyperlink w:anchor="id1290140f1964f6aa0c38a63d928decf_13">
              <w:r>
                <w:rPr>
                  <w:rStyle w:val="InternetLink"/>
                  <w:rFonts w:ascii="Arial;sans-serif" w:hAnsi="Arial;sans-serif"/>
                  <w:b w:val="false"/>
                  <w:i w:val="false"/>
                  <w:caps w:val="false"/>
                  <w:smallCaps w:val="false"/>
                  <w:color w:val="0000FF"/>
                  <w:sz w:val="20"/>
                  <w:u w:val="single"/>
                </w:rPr>
                <w:t>Part I: Financial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6">
              <w:r>
                <w:rPr>
                  <w:rStyle w:val="InternetLink"/>
                  <w:rFonts w:ascii="Arial;sans-serif" w:hAnsi="Arial;sans-serif"/>
                  <w:b w:val="false"/>
                  <w:i w:val="false"/>
                  <w:caps w:val="false"/>
                  <w:smallCaps w:val="false"/>
                  <w:color w:val="0000FF"/>
                  <w:sz w:val="20"/>
                  <w:u w:val="single"/>
                </w:rPr>
                <w:t>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6">
              <w:r>
                <w:rPr>
                  <w:rStyle w:val="InternetLink"/>
                  <w:rFonts w:ascii="Arial;sans-serif" w:hAnsi="Arial;sans-serif"/>
                  <w:b w:val="false"/>
                  <w:i w:val="false"/>
                  <w:caps w:val="false"/>
                  <w:smallCaps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6">
              <w:r>
                <w:rPr>
                  <w:rStyle w:val="InternetLink"/>
                  <w:rFonts w:ascii="Arial;sans-serif" w:hAnsi="Arial;sans-serif"/>
                  <w:b w:val="false"/>
                  <w:i w:val="false"/>
                  <w:caps w:val="false"/>
                  <w:smallCaps w:val="false"/>
                  <w:color w:val="0000FF"/>
                  <w:sz w:val="20"/>
                  <w:u w:val="single"/>
                </w:rPr>
                <w:t>Condensed Consolidated Financial Statements (unaudited)</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6">
              <w:r>
                <w:rPr>
                  <w:rStyle w:val="InternetLink"/>
                  <w:rFonts w:ascii="Arial;sans-serif" w:hAnsi="Arial;sans-serif"/>
                  <w:b w:val="false"/>
                  <w:i w:val="false"/>
                  <w:caps w:val="false"/>
                  <w:smallCaps w:val="false"/>
                  <w:color w:val="0000FF"/>
                  <w:sz w:val="20"/>
                  <w:u w:val="single"/>
                </w:rPr>
                <w:t>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6">
              <w:r>
                <w:rPr>
                  <w:rStyle w:val="InternetLink"/>
                  <w:rFonts w:ascii="Arial;sans-serif" w:hAnsi="Arial;sans-serif"/>
                  <w:b w:val="false"/>
                  <w:i w:val="false"/>
                  <w:caps w:val="false"/>
                  <w:smallCaps w:val="false"/>
                  <w:color w:val="0000FF"/>
                  <w:sz w:val="20"/>
                  <w:u w:val="single"/>
                </w:rPr>
                <w:t>Condensed Consolidated Balance Sheets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6">
              <w:r>
                <w:rPr>
                  <w:rStyle w:val="InternetLink"/>
                  <w:rFonts w:ascii="Arial;sans-serif" w:hAnsi="Arial;sans-serif"/>
                  <w:b w:val="false"/>
                  <w:i w:val="false"/>
                  <w:caps w:val="false"/>
                  <w:smallCaps w:val="false"/>
                  <w:color w:val="0000FF"/>
                  <w:sz w:val="20"/>
                  <w:u w:val="single"/>
                </w:rPr>
                <w:t>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25">
              <w:r>
                <w:rPr>
                  <w:rStyle w:val="InternetLink"/>
                  <w:rFonts w:ascii="Arial;sans-serif" w:hAnsi="Arial;sans-serif"/>
                  <w:b w:val="false"/>
                  <w:i w:val="false"/>
                  <w:caps w:val="false"/>
                  <w:smallCaps w:val="false"/>
                  <w:color w:val="0000FF"/>
                  <w:sz w:val="20"/>
                  <w:u w:val="single"/>
                </w:rPr>
                <w:t>Condensed Consolidated Statements of Operations and Comprehensive Loss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25">
              <w:r>
                <w:rPr>
                  <w:rStyle w:val="InternetLink"/>
                  <w:rFonts w:ascii="Arial;sans-serif" w:hAnsi="Arial;sans-serif"/>
                  <w:b w:val="false"/>
                  <w:i w:val="false"/>
                  <w:caps w:val="false"/>
                  <w:smallCaps w:val="false"/>
                  <w:color w:val="0000FF"/>
                  <w:sz w:val="20"/>
                  <w:u w:val="single"/>
                </w:rPr>
                <w:t>5</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28">
              <w:r>
                <w:rPr>
                  <w:rStyle w:val="InternetLink"/>
                  <w:rFonts w:ascii="Arial;sans-serif" w:hAnsi="Arial;sans-serif"/>
                  <w:b w:val="false"/>
                  <w:i w:val="false"/>
                  <w:caps w:val="false"/>
                  <w:smallCaps w:val="false"/>
                  <w:color w:val="0000FF"/>
                  <w:sz w:val="20"/>
                  <w:u w:val="single"/>
                </w:rPr>
                <w:t xml:space="preserve">Condensed Consolidated Statements of Redeemable Convertible Preferred Stock </w:t>
              </w:r>
            </w:hyperlink>
          </w:p>
          <w:p>
            <w:pPr>
              <w:pStyle w:val="TableContents"/>
              <w:bidi w:val="0"/>
              <w:spacing w:lineRule="atLeast" w:line="200" w:before="0" w:after="0"/>
              <w:jc w:val="left"/>
              <w:rPr/>
            </w:pPr>
            <w:hyperlink w:anchor="id1290140f1964f6aa0c38a63d928decf_28">
              <w:r>
                <w:rPr>
                  <w:rStyle w:val="InternetLink"/>
                  <w:rFonts w:ascii="Arial;sans-serif" w:hAnsi="Arial;sans-serif"/>
                  <w:b w:val="false"/>
                  <w:i w:val="false"/>
                  <w:caps w:val="false"/>
                  <w:smallCaps w:val="false"/>
                  <w:color w:val="0000FF"/>
                  <w:sz w:val="20"/>
                  <w:u w:val="single"/>
                </w:rPr>
                <w:t>and Stockholders’ Equity (Deficit)</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28">
              <w:r>
                <w:rPr>
                  <w:rStyle w:val="InternetLink"/>
                  <w:rFonts w:ascii="Arial;sans-serif" w:hAnsi="Arial;sans-serif"/>
                  <w:b w:val="false"/>
                  <w:i w:val="false"/>
                  <w:caps w:val="false"/>
                  <w:smallCaps w:val="false"/>
                  <w:color w:val="0000FF"/>
                  <w:sz w:val="20"/>
                  <w:u w:val="single"/>
                </w:rPr>
                <w:t>6</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31">
              <w:r>
                <w:rPr>
                  <w:rStyle w:val="InternetLink"/>
                  <w:rFonts w:ascii="Arial;sans-serif" w:hAnsi="Arial;sans-serif"/>
                  <w:b w:val="false"/>
                  <w:i w:val="false"/>
                  <w:caps w:val="false"/>
                  <w:smallCaps w:val="false"/>
                  <w:color w:val="0000FF"/>
                  <w:sz w:val="20"/>
                  <w:u w:val="single"/>
                </w:rPr>
                <w:t>Condensed Consolidated Statements of Cash Flows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31">
              <w:r>
                <w:rPr>
                  <w:rStyle w:val="InternetLink"/>
                  <w:rFonts w:ascii="Arial;sans-serif" w:hAnsi="Arial;sans-serif"/>
                  <w:b w:val="false"/>
                  <w:i w:val="false"/>
                  <w:caps w:val="false"/>
                  <w:smallCaps w:val="false"/>
                  <w:color w:val="0000FF"/>
                  <w:sz w:val="20"/>
                  <w:u w:val="single"/>
                </w:rPr>
                <w:t>8</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34">
              <w:r>
                <w:rPr>
                  <w:rStyle w:val="InternetLink"/>
                  <w:rFonts w:ascii="Arial;sans-serif" w:hAnsi="Arial;sans-serif"/>
                  <w:b w:val="false"/>
                  <w:i w:val="false"/>
                  <w:caps w:val="false"/>
                  <w:smallCaps w:val="false"/>
                  <w:color w:val="0000FF"/>
                  <w:sz w:val="20"/>
                  <w:u w:val="single"/>
                </w:rPr>
                <w:t>Notes to Condensed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34">
              <w:r>
                <w:rPr>
                  <w:rStyle w:val="InternetLink"/>
                  <w:rFonts w:ascii="Arial;sans-serif" w:hAnsi="Arial;sans-serif"/>
                  <w:b w:val="false"/>
                  <w:i w:val="false"/>
                  <w:caps w:val="false"/>
                  <w:smallCaps w:val="false"/>
                  <w:color w:val="0000FF"/>
                  <w:sz w:val="20"/>
                  <w:u w:val="single"/>
                </w:rPr>
                <w:t>9</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00">
              <w:r>
                <w:rPr>
                  <w:rStyle w:val="InternetLink"/>
                  <w:rFonts w:ascii="Arial;sans-serif" w:hAnsi="Arial;sans-serif"/>
                  <w:b w:val="false"/>
                  <w:i w:val="false"/>
                  <w:caps w:val="false"/>
                  <w:smallCaps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00">
              <w:r>
                <w:rPr>
                  <w:rStyle w:val="InternetLink"/>
                  <w:rFonts w:ascii="Arial;sans-serif" w:hAnsi="Arial;sans-serif"/>
                  <w:b w:val="false"/>
                  <w:i w:val="false"/>
                  <w:caps w:val="false"/>
                  <w:smallCaps w:val="false"/>
                  <w:color w:val="0000FF"/>
                  <w:sz w:val="20"/>
                  <w:u w:val="single"/>
                </w:rPr>
                <w:t xml:space="preserve">Management’s Discussion and Analysis of Financial Condition and Results of </w:t>
              </w:r>
            </w:hyperlink>
          </w:p>
          <w:p>
            <w:pPr>
              <w:pStyle w:val="TableContents"/>
              <w:bidi w:val="0"/>
              <w:spacing w:lineRule="atLeast" w:line="200" w:before="0" w:after="0"/>
              <w:jc w:val="left"/>
              <w:rPr/>
            </w:pPr>
            <w:hyperlink w:anchor="id1290140f1964f6aa0c38a63d928decf_100">
              <w:r>
                <w:rPr>
                  <w:rStyle w:val="InternetLink"/>
                  <w:rFonts w:ascii="Arial;sans-serif" w:hAnsi="Arial;sans-serif"/>
                  <w:b w:val="false"/>
                  <w:i w:val="false"/>
                  <w:caps w:val="false"/>
                  <w:smallCaps w:val="false"/>
                  <w:color w:val="0000FF"/>
                  <w:sz w:val="20"/>
                  <w:u w:val="single"/>
                </w:rPr>
                <w:t>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00">
              <w:r>
                <w:rPr>
                  <w:rStyle w:val="InternetLink"/>
                  <w:rFonts w:ascii="Arial;sans-serif" w:hAnsi="Arial;sans-serif"/>
                  <w:b w:val="false"/>
                  <w:i w:val="false"/>
                  <w:caps w:val="false"/>
                  <w:smallCaps w:val="false"/>
                  <w:color w:val="0000FF"/>
                  <w:sz w:val="20"/>
                  <w:u w:val="single"/>
                </w:rPr>
                <w:t>40</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03">
              <w:r>
                <w:rPr>
                  <w:rStyle w:val="InternetLink"/>
                  <w:rFonts w:ascii="Arial;sans-serif" w:hAnsi="Arial;sans-serif"/>
                  <w:b w:val="false"/>
                  <w:i w:val="false"/>
                  <w:caps w:val="false"/>
                  <w:smallCaps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03">
              <w:r>
                <w:rPr>
                  <w:rStyle w:val="InternetLink"/>
                  <w:rFonts w:ascii="Arial;sans-serif" w:hAnsi="Arial;sans-serif"/>
                  <w:b w:val="false"/>
                  <w:i w:val="false"/>
                  <w:caps w:val="false"/>
                  <w:smallCaps w:val="false"/>
                  <w:color w:val="0000FF"/>
                  <w:sz w:val="20"/>
                  <w:u w:val="singl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03">
              <w:r>
                <w:rPr>
                  <w:rStyle w:val="InternetLink"/>
                  <w:rFonts w:ascii="Arial;sans-serif" w:hAnsi="Arial;sans-serif"/>
                  <w:b w:val="false"/>
                  <w:i w:val="false"/>
                  <w:caps w:val="false"/>
                  <w:smallCaps w:val="false"/>
                  <w:color w:val="0000FF"/>
                  <w:sz w:val="20"/>
                  <w:u w:val="single"/>
                </w:rPr>
                <w:t>52</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06">
              <w:r>
                <w:rPr>
                  <w:rStyle w:val="InternetLink"/>
                  <w:rFonts w:ascii="Arial;sans-serif" w:hAnsi="Arial;sans-serif"/>
                  <w:b w:val="false"/>
                  <w:i w:val="false"/>
                  <w:caps w:val="false"/>
                  <w:smallCaps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06">
              <w:r>
                <w:rPr>
                  <w:rStyle w:val="InternetLink"/>
                  <w:rFonts w:ascii="Arial;sans-serif" w:hAnsi="Arial;sans-serif"/>
                  <w:b w:val="false"/>
                  <w:i w:val="false"/>
                  <w:caps w:val="false"/>
                  <w:smallCaps w:val="false"/>
                  <w:color w:val="0000FF"/>
                  <w:sz w:val="20"/>
                  <w:u w:val="single"/>
                </w:rPr>
                <w:t>Controls and Procedures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06">
              <w:r>
                <w:rPr>
                  <w:rStyle w:val="InternetLink"/>
                  <w:rFonts w:ascii="Arial;sans-serif" w:hAnsi="Arial;sans-serif"/>
                  <w:b w:val="false"/>
                  <w:i w:val="false"/>
                  <w:caps w:val="false"/>
                  <w:smallCaps w:val="false"/>
                  <w:color w:val="0000FF"/>
                  <w:sz w:val="20"/>
                  <w:u w:val="single"/>
                </w:rPr>
                <w:t>53</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196" w:type="dxa"/>
            <w:gridSpan w:val="3"/>
            <w:tcBorders/>
            <w:vAlign w:val="center"/>
          </w:tcPr>
          <w:p>
            <w:pPr>
              <w:pStyle w:val="TableContents"/>
              <w:bidi w:val="0"/>
              <w:spacing w:lineRule="atLeast" w:line="200" w:before="0" w:after="0"/>
              <w:jc w:val="left"/>
              <w:rPr/>
            </w:pPr>
            <w:hyperlink w:anchor="id1290140f1964f6aa0c38a63d928decf_109">
              <w:r>
                <w:rPr>
                  <w:rStyle w:val="InternetLink"/>
                  <w:rFonts w:ascii="Arial;sans-serif" w:hAnsi="Arial;sans-serif"/>
                  <w:b w:val="false"/>
                  <w:i w:val="false"/>
                  <w:caps w:val="false"/>
                  <w:smallCaps w:val="false"/>
                  <w:color w:val="0000FF"/>
                  <w:sz w:val="20"/>
                  <w:u w:val="single"/>
                </w:rPr>
                <w:t>Part II: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09">
              <w:r>
                <w:rPr>
                  <w:rStyle w:val="InternetLink"/>
                  <w:rFonts w:ascii="Arial;sans-serif" w:hAnsi="Arial;sans-serif"/>
                  <w:b w:val="false"/>
                  <w:i w:val="false"/>
                  <w:caps w:val="false"/>
                  <w:smallCaps w:val="false"/>
                  <w:color w:val="0000FF"/>
                  <w:sz w:val="20"/>
                  <w:u w:val="single"/>
                </w:rPr>
                <w:t>54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12">
              <w:r>
                <w:rPr>
                  <w:rStyle w:val="InternetLink"/>
                  <w:rFonts w:ascii="Arial;sans-serif" w:hAnsi="Arial;sans-serif"/>
                  <w:b w:val="false"/>
                  <w:i w:val="false"/>
                  <w:caps w:val="false"/>
                  <w:smallCaps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12">
              <w:r>
                <w:rPr>
                  <w:rStyle w:val="InternetLink"/>
                  <w:rFonts w:ascii="Arial;sans-serif" w:hAnsi="Arial;sans-serif"/>
                  <w:b w:val="false"/>
                  <w:i w:val="false"/>
                  <w:caps w:val="false"/>
                  <w:smallCaps w:val="false"/>
                  <w:color w:val="0000FF"/>
                  <w:sz w:val="20"/>
                  <w:u w:val="single"/>
                </w:rPr>
                <w:t>Legal Proceedings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12">
              <w:r>
                <w:rPr>
                  <w:rStyle w:val="InternetLink"/>
                  <w:rFonts w:ascii="Arial;sans-serif" w:hAnsi="Arial;sans-serif"/>
                  <w:b w:val="false"/>
                  <w:i w:val="false"/>
                  <w:caps w:val="false"/>
                  <w:smallCaps w:val="false"/>
                  <w:color w:val="0000FF"/>
                  <w:sz w:val="20"/>
                  <w:u w:val="single"/>
                </w:rPr>
                <w:t>54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15">
              <w:r>
                <w:rPr>
                  <w:rStyle w:val="InternetLink"/>
                  <w:rFonts w:ascii="Arial;sans-serif" w:hAnsi="Arial;sans-serif"/>
                  <w:b w:val="false"/>
                  <w:i w:val="false"/>
                  <w:caps w:val="false"/>
                  <w:smallCaps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15">
              <w:r>
                <w:rPr>
                  <w:rStyle w:val="InternetLink"/>
                  <w:rFonts w:ascii="Arial;sans-serif" w:hAnsi="Arial;sans-serif"/>
                  <w:b w:val="false"/>
                  <w:i w:val="false"/>
                  <w:caps w:val="false"/>
                  <w:smallCaps w:val="false"/>
                  <w:color w:val="0000FF"/>
                  <w:sz w:val="20"/>
                  <w:u w:val="singl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15">
              <w:r>
                <w:rPr>
                  <w:rStyle w:val="InternetLink"/>
                  <w:rFonts w:ascii="Arial;sans-serif" w:hAnsi="Arial;sans-serif"/>
                  <w:b w:val="false"/>
                  <w:i w:val="false"/>
                  <w:caps w:val="false"/>
                  <w:smallCaps w:val="false"/>
                  <w:color w:val="0000FF"/>
                  <w:sz w:val="20"/>
                  <w:u w:val="single"/>
                </w:rPr>
                <w:t>54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18">
              <w:r>
                <w:rPr>
                  <w:rStyle w:val="InternetLink"/>
                  <w:rFonts w:ascii="Arial;sans-serif" w:hAnsi="Arial;sans-serif"/>
                  <w:b w:val="false"/>
                  <w:i w:val="false"/>
                  <w:caps w:val="false"/>
                  <w:smallCaps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18">
              <w:r>
                <w:rPr>
                  <w:rStyle w:val="InternetLink"/>
                  <w:rFonts w:ascii="Arial;sans-serif" w:hAnsi="Arial;sans-serif"/>
                  <w:b w:val="false"/>
                  <w:i w:val="false"/>
                  <w:caps w:val="false"/>
                  <w:smallCaps w:val="false"/>
                  <w:color w:val="0000FF"/>
                  <w:sz w:val="20"/>
                  <w:u w:val="single"/>
                </w:rPr>
                <w:t>Unregistered Sales of Equity Securities and Use of Proceeds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18">
              <w:r>
                <w:rPr>
                  <w:rStyle w:val="InternetLink"/>
                  <w:rFonts w:ascii="Arial;sans-serif" w:hAnsi="Arial;sans-serif"/>
                  <w:b w:val="false"/>
                  <w:i w:val="false"/>
                  <w:caps w:val="false"/>
                  <w:smallCaps w:val="false"/>
                  <w:color w:val="0000FF"/>
                  <w:sz w:val="20"/>
                  <w:u w:val="single"/>
                </w:rPr>
                <w:t>104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21">
              <w:r>
                <w:rPr>
                  <w:rStyle w:val="InternetLink"/>
                  <w:rFonts w:ascii="Arial;sans-serif" w:hAnsi="Arial;sans-serif"/>
                  <w:b w:val="false"/>
                  <w:i w:val="false"/>
                  <w:caps w:val="false"/>
                  <w:smallCaps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21">
              <w:r>
                <w:rPr>
                  <w:rStyle w:val="InternetLink"/>
                  <w:rFonts w:ascii="Arial;sans-serif" w:hAnsi="Arial;sans-serif"/>
                  <w:b w:val="false"/>
                  <w:i w:val="false"/>
                  <w:caps w:val="false"/>
                  <w:smallCaps w:val="false"/>
                  <w:color w:val="0000FF"/>
                  <w:sz w:val="20"/>
                  <w:u w:val="singl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21">
              <w:r>
                <w:rPr>
                  <w:rStyle w:val="InternetLink"/>
                  <w:rFonts w:ascii="Arial;sans-serif" w:hAnsi="Arial;sans-serif"/>
                  <w:b w:val="false"/>
                  <w:i w:val="false"/>
                  <w:caps w:val="false"/>
                  <w:smallCaps w:val="false"/>
                  <w:color w:val="0000FF"/>
                  <w:sz w:val="20"/>
                  <w:u w:val="single"/>
                </w:rPr>
                <w:t>104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24">
              <w:r>
                <w:rPr>
                  <w:rStyle w:val="InternetLink"/>
                  <w:rFonts w:ascii="Arial;sans-serif" w:hAnsi="Arial;sans-serif"/>
                  <w:b w:val="false"/>
                  <w:i w:val="false"/>
                  <w:caps w:val="false"/>
                  <w:smallCaps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24">
              <w:r>
                <w:rPr>
                  <w:rStyle w:val="InternetLink"/>
                  <w:rFonts w:ascii="Arial;sans-serif" w:hAnsi="Arial;sans-serif"/>
                  <w:b w:val="false"/>
                  <w:i w:val="false"/>
                  <w:caps w:val="false"/>
                  <w:smallCaps w:val="false"/>
                  <w:color w:val="0000FF"/>
                  <w:sz w:val="20"/>
                  <w:u w:val="single"/>
                </w:rPr>
                <w:t>Mine Safety Disclosures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24">
              <w:r>
                <w:rPr>
                  <w:rStyle w:val="InternetLink"/>
                  <w:rFonts w:ascii="Arial;sans-serif" w:hAnsi="Arial;sans-serif"/>
                  <w:b w:val="false"/>
                  <w:i w:val="false"/>
                  <w:caps w:val="false"/>
                  <w:smallCaps w:val="false"/>
                  <w:color w:val="0000FF"/>
                  <w:sz w:val="20"/>
                  <w:u w:val="single"/>
                </w:rPr>
                <w:t>104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27">
              <w:r>
                <w:rPr>
                  <w:rStyle w:val="InternetLink"/>
                  <w:rFonts w:ascii="Arial;sans-serif" w:hAnsi="Arial;sans-serif"/>
                  <w:b w:val="false"/>
                  <w:i w:val="false"/>
                  <w:caps w:val="false"/>
                  <w:smallCaps w:val="false"/>
                  <w:color w:val="0000FF"/>
                  <w:sz w:val="20"/>
                  <w:u w:val="single"/>
                </w:rPr>
                <w:t>Item 5.</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27">
              <w:r>
                <w:rPr>
                  <w:rStyle w:val="InternetLink"/>
                  <w:rFonts w:ascii="Arial;sans-serif" w:hAnsi="Arial;sans-serif"/>
                  <w:b w:val="false"/>
                  <w:i w:val="false"/>
                  <w:caps w:val="false"/>
                  <w:smallCaps w:val="false"/>
                  <w:color w:val="0000FF"/>
                  <w:sz w:val="20"/>
                  <w:u w:val="singl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27">
              <w:r>
                <w:rPr>
                  <w:rStyle w:val="InternetLink"/>
                  <w:rFonts w:ascii="Arial;sans-serif" w:hAnsi="Arial;sans-serif"/>
                  <w:b w:val="false"/>
                  <w:i w:val="false"/>
                  <w:caps w:val="false"/>
                  <w:smallCaps w:val="false"/>
                  <w:color w:val="0000FF"/>
                  <w:sz w:val="20"/>
                  <w:u w:val="single"/>
                </w:rPr>
                <w:t>104</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200" w:before="0" w:after="0"/>
              <w:jc w:val="left"/>
              <w:rPr/>
            </w:pPr>
            <w:hyperlink w:anchor="id1290140f1964f6aa0c38a63d928decf_130">
              <w:r>
                <w:rPr>
                  <w:rStyle w:val="InternetLink"/>
                  <w:rFonts w:ascii="Arial;sans-serif" w:hAnsi="Arial;sans-serif"/>
                  <w:b w:val="false"/>
                  <w:i w:val="false"/>
                  <w:caps w:val="false"/>
                  <w:smallCaps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30">
              <w:r>
                <w:rPr>
                  <w:rStyle w:val="InternetLink"/>
                  <w:rFonts w:ascii="Arial;sans-serif" w:hAnsi="Arial;sans-serif"/>
                  <w:b w:val="false"/>
                  <w:i w:val="false"/>
                  <w:caps w:val="false"/>
                  <w:smallCaps w:val="false"/>
                  <w:color w:val="0000FF"/>
                  <w:sz w:val="20"/>
                  <w:u w:val="single"/>
                </w:rPr>
                <w:t>Exhibits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30">
              <w:r>
                <w:rPr>
                  <w:rStyle w:val="InternetLink"/>
                  <w:rFonts w:ascii="Arial;sans-serif" w:hAnsi="Arial;sans-serif"/>
                  <w:b w:val="false"/>
                  <w:i w:val="false"/>
                  <w:caps w:val="false"/>
                  <w:smallCaps w:val="false"/>
                  <w:color w:val="0000FF"/>
                  <w:sz w:val="20"/>
                  <w:u w:val="single"/>
                </w:rPr>
                <w:t>106</w:t>
              </w:r>
            </w:hyperlink>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lineRule="atLeast" w:line="200" w:before="0" w:after="0"/>
              <w:jc w:val="left"/>
              <w:rPr/>
            </w:pPr>
            <w:hyperlink w:anchor="id1290140f1964f6aa0c38a63d928decf_133">
              <w:r>
                <w:rPr>
                  <w:rStyle w:val="InternetLink"/>
                  <w:rFonts w:ascii="Arial;sans-serif" w:hAnsi="Arial;sans-serif"/>
                  <w:b w:val="false"/>
                  <w:i w:val="false"/>
                  <w:caps w:val="false"/>
                  <w:smallCaps w:val="false"/>
                  <w:color w:val="0000FF"/>
                  <w:sz w:val="20"/>
                  <w:u w:val="singl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pPr>
            <w:hyperlink w:anchor="id1290140f1964f6aa0c38a63d928decf_133">
              <w:r>
                <w:rPr>
                  <w:rStyle w:val="InternetLink"/>
                  <w:rFonts w:ascii="Arial;sans-serif" w:hAnsi="Arial;sans-serif"/>
                  <w:b w:val="false"/>
                  <w:i w:val="false"/>
                  <w:caps w:val="false"/>
                  <w:smallCaps w:val="false"/>
                  <w:color w:val="0000FF"/>
                  <w:sz w:val="20"/>
                  <w:u w:val="single"/>
                </w:rPr>
                <w:t>107</w:t>
              </w:r>
            </w:hyperlink>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SPECIAL NOTE REGARDING FORWARD-LOOKING STATEMENTS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This Quarterly Report on Form 10-Q contains express or implied forward-looking statements within the meaning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the Private Securities Litigation Reform Act of 1995 that involve substantial risks and uncertainties. We intend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forward-looking statements contained in this Quarterly Report on Form 10-Q to be covered by the safe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harbor provisions for forward-looking statements contained in Section 27A of the Securities Act of 1933,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amended, and Section 21E of the Securities Exchange Act of 1934, as amended. All statements other than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statements of historical facts contained in this Quarterly Report on Form 10-Q, including statements regarding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strategy, future financial condition, future operations, projected costs, prospects, plans, objectives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management, and expected market growth, are forward-looking statements. In some cases, you can identify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forward-looking statements by words such as “may,” “will,” “shall,” “should,” “expects,” “plans,” “anticipates,”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could,” “intends,” “target,” “projects,” “contemplates,” “believes,” “estimates,” “predicts,” “potential,” “goal,”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objective,” “seeks,” or “continue” or the negative of these words or other similar terms or expressions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concern our expectations, strategy, plans, or intentions.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Forward-looking statements contained in this Quarterly Report on Form 10-Q include, but are not limited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statements regarding our future results of operations and financial positions, plans for our current and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anticipated product launches, the impact of macroeconomic conditions, industry and business trends,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our expectations regarding business strategy, plans, market growth, regulatory climate, competitive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landscape and our objectives for future operations.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You should not rely on forward-looking statements as predictions of future events. We have based the forward-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looking statements contained in this Quarterly Report on Form 10-Q primarily on our current expectations,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estimates, forecasts, and projections about future events and trends that we believe may affect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financial condition, results of operations, and prospects. Although we believe that we have a reasonable basis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each forward-looking statement contained in this Quarterly Report on Form 10-Q, we cannot guarantee that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results, levels of activity, performance, or events and circumstances reflected in the forward-looking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statements will be achieved or occur at all. Forward-looking statements involve known and unknown risks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uncertainties and are subject to other important factors that may cause our actual results, performance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achievements to be materially different from any future results, performance or achievements expressed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implied by the forward-looking statements, including, but not limited to, those factors discussed in Part II, Item 1A,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Risk Factors” in this Quarterly Report on Form 10-Q, as such risks and uncertainties may be amended,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supplemented or superseded from time to time by our subsequent periodic reports on Form 10-Q and Form 10-K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file with the United States Securities and Exchange Commission. We qualify all of our forward-looking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statements by these cautionary statements. Moreover, we operate in a very competitive and rapidly changing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environment. New risks and uncertainties emerge from time to time, and it is not possible for us to predict all risks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uncertainties that could have an impact on the forward-looking statements contained in this Quarterly Report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Form 10-Q.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forward-looking statements made in this Quarterly Report on Form 10-Q relate only to events as of the date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which the statements are made. We undertake no obligation to update any forward-looking statements made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this Quarterly Report on Form 10-Q to reflect events or circumstances after the date of this Quarterly Report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Form 10-Q or to reflect new information or the occurrence of unanticipated events, except as required by law.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not actually achieve the plans, intentions, or expectations disclosed in our forward-looking statements,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you should not place undue reliance on our forward-looking statements.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1. Condensed Consolidated Financial Statements (unaudited)</w:t>
      </w:r>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Condensed Consolidated Balance Sheets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(in thousands, except share and per share amounts)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tbl>
      <w:tblPr>
        <w:tblW w:w="9817" w:type="dxa"/>
        <w:jc w:val="left"/>
        <w:tblInd w:w="0" w:type="dxa"/>
        <w:tblLayout w:type="fixed"/>
        <w:tblCellMar>
          <w:top w:w="28" w:type="dxa"/>
          <w:left w:w="28" w:type="dxa"/>
          <w:bottom w:w="28" w:type="dxa"/>
          <w:right w:w="28" w:type="dxa"/>
        </w:tblCellMar>
      </w:tblPr>
      <w:tblGrid>
        <w:gridCol w:w="7261"/>
        <w:gridCol w:w="1231"/>
        <w:gridCol w:w="109"/>
        <w:gridCol w:w="1216"/>
      </w:tblGrid>
      <w:tr>
        <w:trPr/>
        <w:tc>
          <w:tcPr>
            <w:tcW w:w="726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726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op w:val="single" w:sz="16" w:space="0" w:color="000000"/>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16" w:space="0" w:color="000000"/>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December 31,</w:t>
            </w:r>
          </w:p>
        </w:tc>
      </w:tr>
      <w:tr>
        <w:trPr/>
        <w:tc>
          <w:tcPr>
            <w:tcW w:w="7261" w:type="dxa"/>
            <w:tcBorders/>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2024</w:t>
            </w:r>
          </w:p>
        </w:tc>
      </w:tr>
      <w:tr>
        <w:trPr/>
        <w:tc>
          <w:tcPr>
            <w:tcW w:w="7261" w:type="dxa"/>
            <w:tcBorders/>
            <w:shd w:fill="CCEE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Assets</w:t>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Current assets:</w:t>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Cash and 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$291,167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$51,367</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Accounts receivable,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27,858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24,639</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Restricted cash, current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Prepaid expenses and other 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8,761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6,132</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Total 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327,786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82,288</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Property and equipment,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7,984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8,920</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Operating lease right-of-use assets,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17,108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18,805</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Restricted cash, non-current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4,325</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Other non-current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7,045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4,366</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Total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$364,398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$118,704</w:t>
            </w:r>
          </w:p>
        </w:tc>
      </w:tr>
      <w:tr>
        <w:trPr/>
        <w:tc>
          <w:tcPr>
            <w:tcW w:w="7261"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tcBorders/>
            <w:shd w:fill="FFFFFF" w:val="cle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 xml:space="preserve">Liabilities, redeemable convertible preferred stock and stockholders' equity </w:t>
            </w:r>
          </w:p>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(deficit)</w:t>
            </w:r>
          </w:p>
        </w:tc>
        <w:tc>
          <w:tcPr>
            <w:tcW w:w="12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r>
      <w:tr>
        <w:trPr/>
        <w:tc>
          <w:tcPr>
            <w:tcW w:w="726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Current liabilities:</w:t>
            </w:r>
          </w:p>
        </w:tc>
        <w:tc>
          <w:tcPr>
            <w:tcW w:w="12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before="0" w:after="283"/>
              <w:jc w:val="left"/>
              <w:rPr>
                <w:sz w:val="4"/>
                <w:szCs w:val="4"/>
              </w:rPr>
            </w:pPr>
            <w:r>
              <w:rPr>
                <w:sz w:val="4"/>
                <w:szCs w:val="4"/>
              </w:rPr>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$2,870</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Accrued expenses and other current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30,368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25,319</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Operating lease liabilities, current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5,416</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Total current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37,849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33,605</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Term loan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136,431</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Common stock warrant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55,421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20,835</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 xml:space="preserve">Operating lease liabilities, non-current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16,266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18,537</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Other non-current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214</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Total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109,830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209,622</w:t>
            </w:r>
          </w:p>
        </w:tc>
      </w:tr>
      <w:tr>
        <w:trPr/>
        <w:tc>
          <w:tcPr>
            <w:tcW w:w="726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Commitments and contingencies (Note 7)</w:t>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tcBorders/>
            <w:shd w:fill="FFFFFF" w:val="cle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Redeemable convertible preferred stock issuable in series, $0.001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par value; none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and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122,231,454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shares authorized, issued and outstanding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and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December 31, 2024, respectively; aggregate liquidation value of none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and $951,917</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as of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and December 31, 2024, respectively</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r>
      <w:tr>
        <w:trPr/>
        <w:tc>
          <w:tcPr>
            <w:tcW w:w="726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Stockholders’ equity (deficit):</w:t>
            </w:r>
          </w:p>
        </w:tc>
        <w:tc>
          <w:tcPr>
            <w:tcW w:w="12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tcBorders/>
            <w:shd w:fill="FFFFFF" w:val="cle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Preferred stock, $0.001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par value; 50,000,000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and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shares authorized as of September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30, 2025 and December 31, 2024, respectively;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shares issued and outstanding as of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September 30, 2025 and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261" w:type="dxa"/>
            <w:tcBorders/>
            <w:shd w:fill="CCEEFF" w:val="clear"/>
            <w:vAlign w:val="center"/>
          </w:tcPr>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Common stock, $0.001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par value; 250,000,000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and 210,300,000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shares authorized as of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and December 31, 2024, respectively; 83,473,696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and 6,122,048</w:t>
            </w:r>
            <w:r>
              <w:rPr>
                <w:caps w:val="false"/>
                <w:smallCaps w:val="false"/>
                <w:strike w:val="false"/>
                <w:dstrike w:val="false"/>
                <w:sz w:val="24"/>
                <w:u w:val="none"/>
                <w:effect w:val="none"/>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16"/>
                <w:u w:val="none"/>
                <w:effect w:val="none"/>
              </w:rPr>
              <w:t>shares issued and outstanding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16"/>
                <w:u w:val="none"/>
                <w:effect w:val="none"/>
              </w:rPr>
              <w:t xml:space="preserve">and December 31, 2024,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respectively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Additional paid-in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1,318,352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112,241</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Accumulated other comprehensive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(772)</w:t>
            </w:r>
          </w:p>
        </w:tc>
      </w:tr>
      <w:tr>
        <w:trPr/>
        <w:tc>
          <w:tcPr>
            <w:tcW w:w="7261"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Accumulated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(1,063,355)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(970,959)</w:t>
            </w:r>
          </w:p>
        </w:tc>
      </w:tr>
      <w:tr>
        <w:trPr/>
        <w:tc>
          <w:tcPr>
            <w:tcW w:w="7261"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Total stockholders’ equity (deficit)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254,568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(859,484)</w:t>
            </w:r>
          </w:p>
        </w:tc>
      </w:tr>
      <w:tr>
        <w:trPr/>
        <w:tc>
          <w:tcPr>
            <w:tcW w:w="726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Total liabilities, redeemable convertible preferred stock and stockholders’ equity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(deficit)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2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$364,398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$118,704</w:t>
            </w:r>
          </w:p>
        </w:tc>
      </w:tr>
      <w:tr>
        <w:trPr/>
        <w:tc>
          <w:tcPr>
            <w:tcW w:w="72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strike w:val="false"/>
          <w:dstrike w:val="false"/>
          <w:sz w:val="18"/>
          <w:u w:val="none"/>
          <w:effect w:val="none"/>
        </w:rPr>
      </w:pPr>
      <w:r>
        <w:rPr>
          <w:rFonts w:ascii="Arial;sans-serif" w:hAnsi="Arial;sans-serif"/>
          <w:b w:val="false"/>
          <w:i/>
          <w:strike w:val="false"/>
          <w:dstrike w:val="false"/>
          <w:sz w:val="18"/>
          <w:u w:val="none"/>
          <w:effect w:val="none"/>
        </w:rPr>
        <w:t>The accompanying notes are an integral part of these condensed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Condensed Consolidated Statements of Operations and Comprehensive Loss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(in thousands, except share and per share amounts)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tbl>
      <w:tblPr>
        <w:tblW w:w="9137" w:type="dxa"/>
        <w:jc w:val="left"/>
        <w:tblInd w:w="0" w:type="dxa"/>
        <w:tblLayout w:type="fixed"/>
        <w:tblCellMar>
          <w:top w:w="28" w:type="dxa"/>
          <w:left w:w="28" w:type="dxa"/>
          <w:bottom w:w="28" w:type="dxa"/>
          <w:right w:w="28" w:type="dxa"/>
        </w:tblCellMar>
      </w:tblPr>
      <w:tblGrid>
        <w:gridCol w:w="4831"/>
        <w:gridCol w:w="1036"/>
        <w:gridCol w:w="109"/>
        <w:gridCol w:w="931"/>
        <w:gridCol w:w="109"/>
        <w:gridCol w:w="1036"/>
        <w:gridCol w:w="109"/>
        <w:gridCol w:w="976"/>
      </w:tblGrid>
      <w:tr>
        <w:trPr/>
        <w:tc>
          <w:tcPr>
            <w:tcW w:w="48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8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4831"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$46,276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$32,934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$126,904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$90,831</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Cost of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10,861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7,997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30,770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22,632</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Gross profit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35,415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24,937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96,134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68,199</w:t>
            </w:r>
          </w:p>
        </w:tc>
      </w:tr>
      <w:tr>
        <w:trPr/>
        <w:tc>
          <w:tcPr>
            <w:tcW w:w="4831"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Operating expenses:</w:t>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Research and development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17,297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11,863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46,253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31,238</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Selling, 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33,217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28,003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96,197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82,125</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Total operating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50,514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39,866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142,450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113,363</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Loss from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(15,099)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(14,929)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(46,316)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(45,164)</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Interest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2,903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3,474</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(3,451)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(5,298)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(15,165)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(17,616)</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color w:val="000000"/>
                <w:sz w:val="18"/>
                <w:u w:val="none"/>
                <w:effect w:val="none"/>
              </w:rPr>
              <w:t>Change in fair value of common stock warrant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(32,117)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(34,586)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(4,490)</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color w:val="000000"/>
                <w:sz w:val="18"/>
                <w:u w:val="none"/>
                <w:effect w:val="none"/>
              </w:rPr>
              <w:t>Change in fair value of derivative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4,818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7,311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(222)</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color w:val="000000"/>
                <w:sz w:val="18"/>
                <w:u w:val="none"/>
                <w:effect w:val="none"/>
              </w:rPr>
              <w:t>Loss on extinguishment of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Other income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852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615</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color w:val="000000"/>
                <w:sz w:val="18"/>
                <w:u w:val="none"/>
                <w:effect w:val="none"/>
              </w:rPr>
              <w:t>Loss before 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(50,825)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(19,140)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(92,307)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(63,403)</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color w:val="000000"/>
                <w:sz w:val="18"/>
                <w:u w:val="none"/>
                <w:effect w:val="none"/>
              </w:rPr>
              <w:t>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(48)</w:t>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$(50,855)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$(19,140)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$(92,396)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$(63,451)</w:t>
            </w:r>
          </w:p>
        </w:tc>
      </w:tr>
      <w:tr>
        <w:trPr/>
        <w:tc>
          <w:tcPr>
            <w:tcW w:w="4831"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Comprehensive loss:</w:t>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$(50,855)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$(19,140)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$(92,396)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$(63,451)</w:t>
            </w:r>
          </w:p>
        </w:tc>
      </w:tr>
      <w:tr>
        <w:trPr/>
        <w:tc>
          <w:tcPr>
            <w:tcW w:w="4831" w:type="dxa"/>
            <w:tcBorders/>
            <w:shd w:fill="FFFF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Other comprehensive loss:</w:t>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before="0" w:after="283"/>
              <w:jc w:val="left"/>
              <w:rPr>
                <w:sz w:val="4"/>
                <w:szCs w:val="4"/>
              </w:rPr>
            </w:pPr>
            <w:r>
              <w:rPr>
                <w:sz w:val="4"/>
                <w:szCs w:val="4"/>
              </w:rPr>
            </w:r>
          </w:p>
        </w:tc>
      </w:tr>
      <w:tr>
        <w:trPr/>
        <w:tc>
          <w:tcPr>
            <w:tcW w:w="4831" w:type="dxa"/>
            <w:tcBorders/>
            <w:shd w:fill="CCEE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Foreign currency translation gain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(504)</w:t>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Total comprehensive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$(50,650)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$(19,545)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$(92,136)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$(63,955)</w:t>
            </w:r>
          </w:p>
        </w:tc>
      </w:tr>
      <w:tr>
        <w:trPr/>
        <w:tc>
          <w:tcPr>
            <w:tcW w:w="483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Net loss per share, basic and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bottom w:val="doub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doub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$(3.43)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bottom w:val="doub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bottom w:val="doub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$(12.24)</w:t>
            </w:r>
          </w:p>
        </w:tc>
      </w:tr>
      <w:tr>
        <w:trPr/>
        <w:tc>
          <w:tcPr>
            <w:tcW w:w="4831" w:type="dxa"/>
            <w:tcBorders/>
            <w:shd w:fill="CCEEFF" w:val="cle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sz w:val="18"/>
                <w:u w:val="none"/>
                <w:effect w:val="none"/>
              </w:rPr>
            </w:pPr>
            <w:r>
              <w:rPr>
                <w:rFonts w:ascii="Arial;sans-serif" w:hAnsi="Arial;sans-serif"/>
                <w:b w:val="false"/>
                <w:i w:val="false"/>
                <w:caps w:val="false"/>
                <w:smallCaps w:val="false"/>
                <w:strike w:val="false"/>
                <w:dstrike w:val="false"/>
                <w:sz w:val="18"/>
                <w:u w:val="none"/>
                <w:effect w:val="none"/>
              </w:rPr>
              <w:t xml:space="preserve">Weighted-average shares used to compute net loss per </w:t>
            </w:r>
          </w:p>
          <w:p>
            <w:pPr>
              <w:pStyle w:val="TableContents"/>
              <w:bidi w:val="0"/>
              <w:spacing w:lineRule="atLeast" w:line="180" w:before="0" w:after="0"/>
              <w:jc w:val="left"/>
              <w:rPr/>
            </w:pPr>
            <w:r>
              <w:rPr>
                <w:rFonts w:ascii="Arial;sans-serif" w:hAnsi="Arial;sans-serif"/>
                <w:b w:val="false"/>
                <w:i w:val="false"/>
                <w:caps w:val="false"/>
                <w:smallCaps w:val="false"/>
                <w:strike w:val="false"/>
                <w:dstrike w:val="false"/>
                <w:sz w:val="18"/>
                <w:u w:val="none"/>
                <w:effect w:val="none"/>
              </w:rPr>
              <w:t>share, basic and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49,106,752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5,586,424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20,686,526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5,185,007</w:t>
            </w:r>
          </w:p>
        </w:tc>
      </w:tr>
      <w:tr>
        <w:trPr/>
        <w:tc>
          <w:tcPr>
            <w:tcW w:w="48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strike w:val="false"/>
          <w:dstrike w:val="false"/>
          <w:sz w:val="18"/>
          <w:u w:val="none"/>
          <w:effect w:val="none"/>
        </w:rPr>
      </w:pPr>
      <w:r>
        <w:rPr>
          <w:rFonts w:ascii="Arial;sans-serif" w:hAnsi="Arial;sans-serif"/>
          <w:b w:val="false"/>
          <w:i/>
          <w:strike w:val="false"/>
          <w:dstrike w:val="false"/>
          <w:sz w:val="18"/>
          <w:u w:val="none"/>
          <w:effect w:val="none"/>
        </w:rPr>
        <w:t>The accompanying notes are an integral part of these condensed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Condensed Consolidated Statements of Redeemable Convertible Preferred Stock and Stockholders’ Equity (Deficit)</w:t>
      </w:r>
    </w:p>
    <w:p>
      <w:pPr>
        <w:pStyle w:val="TextBody"/>
        <w:bidi w:val="0"/>
        <w:spacing w:lineRule="atLeast" w:line="200" w:before="0" w:after="0"/>
        <w:jc w:val="left"/>
        <w:rPr/>
      </w:pPr>
      <w:r>
        <w:rPr>
          <w:rFonts w:ascii="Arial;sans-serif" w:hAnsi="Arial;sans-serif"/>
          <w:b/>
          <w:i w:val="false"/>
          <w:caps w:val="false"/>
          <w:smallCaps w:val="false"/>
          <w:strike w:val="false"/>
          <w:dstrike w:val="false"/>
          <w:sz w:val="20"/>
          <w:u w:val="none"/>
          <w:effect w:val="none"/>
        </w:rPr>
        <w:t>(in thousands, except share and per share amounts</w:t>
      </w:r>
      <w:r>
        <w:rPr>
          <w:rFonts w:ascii="Arial;sans-serif" w:hAnsi="Arial;sans-serif"/>
          <w:b/>
          <w:i w:val="false"/>
          <w:caps w:val="false"/>
          <w:smallCaps w:val="false"/>
          <w:sz w:val="20"/>
        </w:rPr>
        <w:t>)</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tbl>
      <w:tblPr>
        <w:tblW w:w="11981" w:type="dxa"/>
        <w:jc w:val="left"/>
        <w:tblInd w:w="0" w:type="dxa"/>
        <w:tblLayout w:type="fixed"/>
        <w:tblCellMar>
          <w:top w:w="28" w:type="dxa"/>
          <w:left w:w="28" w:type="dxa"/>
          <w:bottom w:w="28" w:type="dxa"/>
          <w:right w:w="28" w:type="dxa"/>
        </w:tblCellMar>
      </w:tblPr>
      <w:tblGrid>
        <w:gridCol w:w="2956"/>
        <w:gridCol w:w="1066"/>
        <w:gridCol w:w="109"/>
        <w:gridCol w:w="781"/>
        <w:gridCol w:w="109"/>
        <w:gridCol w:w="109"/>
        <w:gridCol w:w="916"/>
        <w:gridCol w:w="109"/>
        <w:gridCol w:w="751"/>
        <w:gridCol w:w="109"/>
        <w:gridCol w:w="931"/>
        <w:gridCol w:w="109"/>
        <w:gridCol w:w="1351"/>
        <w:gridCol w:w="109"/>
        <w:gridCol w:w="1156"/>
        <w:gridCol w:w="109"/>
        <w:gridCol w:w="1201"/>
      </w:tblGrid>
      <w:tr>
        <w:trPr/>
        <w:tc>
          <w:tcPr>
            <w:tcW w:w="29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29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Redeemable Convertible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Preferred Stock</w:t>
            </w:r>
          </w:p>
        </w:tc>
        <w:tc>
          <w:tcPr>
            <w:tcW w:w="109" w:type="dxa"/>
            <w:tcBorders>
              <w:top w:val="single" w:sz="16"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Stock</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Capital</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Loss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Deficit</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Equity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(Deficit)</w:t>
            </w:r>
          </w:p>
        </w:tc>
      </w:tr>
      <w:tr>
        <w:trPr/>
        <w:tc>
          <w:tcPr>
            <w:tcW w:w="2956"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Amount</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December 31, 2024</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6,122,048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$112,241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$(970,959)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$(859,484)</w:t>
            </w:r>
          </w:p>
        </w:tc>
      </w:tr>
      <w:tr>
        <w:trPr/>
        <w:tc>
          <w:tcPr>
            <w:tcW w:w="295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Issuance of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130,813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578</w:t>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2,492</w:t>
            </w:r>
          </w:p>
        </w:tc>
      </w:tr>
      <w:tr>
        <w:trPr/>
        <w:tc>
          <w:tcPr>
            <w:tcW w:w="295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Foreign currency translation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(236)</w:t>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(32,345)</w:t>
            </w:r>
          </w:p>
        </w:tc>
      </w:tr>
      <w:tr>
        <w:trPr/>
        <w:tc>
          <w:tcPr>
            <w:tcW w:w="2956" w:type="dxa"/>
            <w:tcBorders/>
            <w:shd w:fill="FFFF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March 31, 2025</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6,252,861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115,311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(1,003,304)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(888,995)</w:t>
            </w:r>
          </w:p>
        </w:tc>
      </w:tr>
      <w:tr>
        <w:trPr/>
        <w:tc>
          <w:tcPr>
            <w:tcW w:w="295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Issuance of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136,583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852</w:t>
            </w:r>
          </w:p>
        </w:tc>
      </w:tr>
      <w:tr>
        <w:trPr/>
        <w:tc>
          <w:tcPr>
            <w:tcW w:w="295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2,253</w:t>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291</w:t>
            </w:r>
          </w:p>
        </w:tc>
      </w:tr>
      <w:tr>
        <w:trPr/>
        <w:tc>
          <w:tcPr>
            <w:tcW w:w="295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(9,196)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(9,196)</w:t>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June 30, 2025</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6,389,444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118,416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(1,012,500)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(894,795)</w:t>
            </w:r>
          </w:p>
        </w:tc>
      </w:tr>
      <w:tr>
        <w:trPr/>
        <w:tc>
          <w:tcPr>
            <w:tcW w:w="295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Conversion of redeemable convertible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preferred stock to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IPO</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51,226,348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r>
      <w:tr>
        <w:trPr/>
        <w:tc>
          <w:tcPr>
            <w:tcW w:w="295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Issuance of common stock upon IPO, </w:t>
            </w:r>
          </w:p>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net of underwriting discounts,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commissions and offering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19,166,667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332,318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332,337</w:t>
            </w:r>
          </w:p>
        </w:tc>
      </w:tr>
      <w:tr>
        <w:trPr/>
        <w:tc>
          <w:tcPr>
            <w:tcW w:w="295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 xml:space="preserve">Conversion of convertible notes to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 xml:space="preserve">common stock upon IPO, net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6,470,743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94,133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94,139</w:t>
            </w:r>
          </w:p>
        </w:tc>
      </w:tr>
      <w:tr>
        <w:trPr/>
        <w:tc>
          <w:tcPr>
            <w:tcW w:w="295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Issuance of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220,494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1,011</w:t>
            </w:r>
          </w:p>
        </w:tc>
      </w:tr>
      <w:tr>
        <w:trPr/>
        <w:tc>
          <w:tcPr>
            <w:tcW w:w="295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3,960</w:t>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205</w:t>
            </w:r>
          </w:p>
        </w:tc>
      </w:tr>
      <w:tr>
        <w:trPr/>
        <w:tc>
          <w:tcPr>
            <w:tcW w:w="295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(50,855)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(50,855)</w:t>
            </w:r>
          </w:p>
        </w:tc>
      </w:tr>
      <w:tr>
        <w:trPr/>
        <w:tc>
          <w:tcPr>
            <w:tcW w:w="2956" w:type="dxa"/>
            <w:tcBorders/>
            <w:shd w:fill="CCEE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September 30, 2025</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83,473,696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$1,318,352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$(1,063,355)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$254,568</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tbl>
      <w:tblPr>
        <w:tblW w:w="11471" w:type="dxa"/>
        <w:jc w:val="left"/>
        <w:tblInd w:w="0" w:type="dxa"/>
        <w:tblLayout w:type="fixed"/>
        <w:tblCellMar>
          <w:top w:w="28" w:type="dxa"/>
          <w:left w:w="28" w:type="dxa"/>
          <w:bottom w:w="28" w:type="dxa"/>
          <w:right w:w="28" w:type="dxa"/>
        </w:tblCellMar>
      </w:tblPr>
      <w:tblGrid>
        <w:gridCol w:w="2596"/>
        <w:gridCol w:w="1006"/>
        <w:gridCol w:w="109"/>
        <w:gridCol w:w="781"/>
        <w:gridCol w:w="109"/>
        <w:gridCol w:w="109"/>
        <w:gridCol w:w="826"/>
        <w:gridCol w:w="109"/>
        <w:gridCol w:w="751"/>
        <w:gridCol w:w="109"/>
        <w:gridCol w:w="931"/>
        <w:gridCol w:w="109"/>
        <w:gridCol w:w="1351"/>
        <w:gridCol w:w="109"/>
        <w:gridCol w:w="1156"/>
        <w:gridCol w:w="109"/>
        <w:gridCol w:w="1201"/>
      </w:tblGrid>
      <w:tr>
        <w:trPr/>
        <w:tc>
          <w:tcPr>
            <w:tcW w:w="25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Redeemable Convertible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Preferred Stock</w:t>
            </w:r>
          </w:p>
        </w:tc>
        <w:tc>
          <w:tcPr>
            <w:tcW w:w="109" w:type="dxa"/>
            <w:tcBorders>
              <w:top w:val="single" w:sz="16"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Stock</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Capital</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Loss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Deficit</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vMerge w:val="restart"/>
            <w:tcBorders>
              <w:top w:val="single" w:sz="16"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Stockholders’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Deficit</w:t>
            </w:r>
          </w:p>
        </w:tc>
      </w:tr>
      <w:tr>
        <w:trPr/>
        <w:tc>
          <w:tcPr>
            <w:tcW w:w="2596"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Amount</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continue"/>
            <w:tcBorders>
              <w:top w:val="single" w:sz="16" w:space="0" w:color="000000"/>
              <w:bottom w:val="single" w:sz="8" w:space="0" w:color="000000"/>
            </w:tcBorders>
            <w:tcMar>
              <w:left w:w="0" w:type="dxa"/>
              <w:right w:w="0" w:type="dxa"/>
            </w:tcMar>
            <w:vAlign w:val="center"/>
          </w:tcPr>
          <w:p>
            <w:pPr>
              <w:pStyle w:val="Normal"/>
              <w:bidi w:val="0"/>
              <w:jc w:val="left"/>
              <w:rPr/>
            </w:pPr>
            <w:r>
              <w:rPr/>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December 31, 2023</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4,940,925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$97,465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$(874,533)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$(777,564)</w:t>
            </w:r>
          </w:p>
        </w:tc>
      </w:tr>
      <w:tr>
        <w:trPr/>
        <w:tc>
          <w:tcPr>
            <w:tcW w:w="259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Issuance of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10,561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77</w:t>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2,723</w:t>
            </w:r>
          </w:p>
        </w:tc>
      </w:tr>
      <w:tr>
        <w:trPr/>
        <w:tc>
          <w:tcPr>
            <w:tcW w:w="259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(20,932)</w:t>
            </w:r>
          </w:p>
        </w:tc>
      </w:tr>
      <w:tr>
        <w:trPr/>
        <w:tc>
          <w:tcPr>
            <w:tcW w:w="2596" w:type="dxa"/>
            <w:tcBorders/>
            <w:shd w:fill="FFFF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March 31, 2024</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0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4,951,486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100,265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(895,465)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(795,695)</w:t>
            </w:r>
          </w:p>
        </w:tc>
      </w:tr>
      <w:tr>
        <w:trPr/>
        <w:tc>
          <w:tcPr>
            <w:tcW w:w="259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Issuance of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613,614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1,617</w:t>
            </w:r>
          </w:p>
        </w:tc>
      </w:tr>
      <w:tr>
        <w:trPr/>
        <w:tc>
          <w:tcPr>
            <w:tcW w:w="259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2,640</w:t>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Foreign currency translation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w:t>
            </w:r>
          </w:p>
        </w:tc>
      </w:tr>
      <w:tr>
        <w:trPr/>
        <w:tc>
          <w:tcPr>
            <w:tcW w:w="259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(23,379)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(23,379)</w:t>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June 30, 2024</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5,565,100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104,521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(918,844)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(814,917)</w:t>
            </w:r>
          </w:p>
        </w:tc>
      </w:tr>
      <w:tr>
        <w:trPr/>
        <w:tc>
          <w:tcPr>
            <w:tcW w:w="259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Issuance of common stock upon </w:t>
            </w:r>
          </w:p>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260,692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1,501</w:t>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2,336</w:t>
            </w:r>
          </w:p>
        </w:tc>
      </w:tr>
      <w:tr>
        <w:trPr/>
        <w:tc>
          <w:tcPr>
            <w:tcW w:w="2596" w:type="dxa"/>
            <w:tcBorders/>
            <w:shd w:fill="FFFF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sz w:val="16"/>
                <w:u w:val="none"/>
                <w:effect w:val="none"/>
              </w:rPr>
              <w:t>Foreign currency translation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(405)</w:t>
            </w:r>
          </w:p>
        </w:tc>
      </w:tr>
      <w:tr>
        <w:trPr/>
        <w:tc>
          <w:tcPr>
            <w:tcW w:w="2596" w:type="dxa"/>
            <w:tcBorders/>
            <w:shd w:fill="CCEEFF" w:val="clear"/>
            <w:vAlign w:val="center"/>
          </w:tcPr>
          <w:p>
            <w:pPr>
              <w:pStyle w:val="TableContents"/>
              <w:bidi w:val="0"/>
              <w:spacing w:lineRule="atLeast" w:line="160" w:before="0" w:after="0"/>
              <w:jc w:val="left"/>
              <w:rPr/>
            </w:pPr>
            <w:r>
              <w:rPr>
                <w:rFonts w:ascii="Arial;sans-serif" w:hAnsi="Arial;sans-serif"/>
                <w:b w:val="false"/>
                <w:i w:val="false"/>
                <w:caps w:val="false"/>
                <w:smallCaps w:val="false"/>
                <w:strike w:val="false"/>
                <w:dstrike w:val="false"/>
                <w:color w:val="000000"/>
                <w:sz w:val="16"/>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0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(19,140)</w:t>
            </w:r>
          </w:p>
        </w:tc>
      </w:tr>
      <w:tr>
        <w:trPr/>
        <w:tc>
          <w:tcPr>
            <w:tcW w:w="2596" w:type="dxa"/>
            <w:tcBorders/>
            <w:shd w:fill="FFFFFF" w:val="clear"/>
            <w:vAlign w:val="center"/>
          </w:tcPr>
          <w:p>
            <w:pPr>
              <w:pStyle w:val="TableContents"/>
              <w:bidi w:val="0"/>
              <w:spacing w:lineRule="atLeast" w:line="160" w:before="0" w:after="0"/>
              <w:jc w:val="left"/>
              <w:rPr/>
            </w:pPr>
            <w:r>
              <w:rPr>
                <w:rFonts w:ascii="Arial;sans-serif" w:hAnsi="Arial;sans-serif"/>
                <w:b/>
                <w:i w:val="false"/>
                <w:caps w:val="false"/>
                <w:smallCaps w:val="false"/>
                <w:strike w:val="false"/>
                <w:dstrike w:val="false"/>
                <w:color w:val="000000"/>
                <w:sz w:val="16"/>
                <w:u w:val="none"/>
                <w:effect w:val="none"/>
              </w:rPr>
              <w:t>Balance at September 30, 2024</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w:t>
            </w:r>
          </w:p>
        </w:tc>
        <w:tc>
          <w:tcPr>
            <w:tcW w:w="10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122,231,454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$768,566</w:t>
            </w:r>
          </w:p>
        </w:tc>
        <w:tc>
          <w:tcPr>
            <w:tcW w:w="10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5,825,792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$108,358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$(937,984)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$(830,625)</w:t>
            </w:r>
          </w:p>
        </w:tc>
      </w:tr>
    </w:tbl>
    <w:p>
      <w:pPr>
        <w:pStyle w:val="TextBody"/>
        <w:bidi w:val="0"/>
        <w:spacing w:lineRule="atLeast" w:line="180" w:before="0" w:after="0"/>
        <w:jc w:val="left"/>
        <w:rPr>
          <w:rFonts w:ascii="Arial;sans-serif" w:hAnsi="Arial;sans-serif"/>
          <w:b w:val="false"/>
          <w:i/>
          <w:strike w:val="false"/>
          <w:dstrike w:val="false"/>
          <w:sz w:val="18"/>
          <w:u w:val="none"/>
          <w:effect w:val="none"/>
        </w:rPr>
      </w:pPr>
      <w:r>
        <w:rPr>
          <w:rFonts w:ascii="Arial;sans-serif" w:hAnsi="Arial;sans-serif"/>
          <w:b w:val="false"/>
          <w:i/>
          <w:strike w:val="false"/>
          <w:dstrike w:val="false"/>
          <w:sz w:val="18"/>
          <w:u w:val="none"/>
          <w:effect w:val="none"/>
        </w:rPr>
        <w:t>The accompanying notes are an integral part of these condensed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Condensed Consolidated Statements of Cash Flows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(in thousands)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tbl>
      <w:tblPr>
        <w:tblW w:w="10205" w:type="dxa"/>
        <w:jc w:val="left"/>
        <w:tblInd w:w="0" w:type="dxa"/>
        <w:tblLayout w:type="fixed"/>
        <w:tblCellMar>
          <w:top w:w="28" w:type="dxa"/>
          <w:left w:w="28" w:type="dxa"/>
          <w:bottom w:w="28" w:type="dxa"/>
          <w:right w:w="28" w:type="dxa"/>
        </w:tblCellMar>
      </w:tblPr>
      <w:tblGrid>
        <w:gridCol w:w="8380"/>
        <w:gridCol w:w="109"/>
        <w:gridCol w:w="781"/>
        <w:gridCol w:w="109"/>
        <w:gridCol w:w="826"/>
      </w:tblGrid>
      <w:tr>
        <w:trPr/>
        <w:tc>
          <w:tcPr>
            <w:tcW w:w="8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8380"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Nine Months Ended</w:t>
            </w:r>
          </w:p>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September 30,</w:t>
            </w:r>
          </w:p>
        </w:tc>
      </w:tr>
      <w:tr>
        <w:trPr/>
        <w:tc>
          <w:tcPr>
            <w:tcW w:w="8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2024</w:t>
            </w:r>
          </w:p>
        </w:tc>
      </w:tr>
      <w:tr>
        <w:trPr/>
        <w:tc>
          <w:tcPr>
            <w:tcW w:w="8380" w:type="dxa"/>
            <w:tcBorders/>
            <w:shd w:fill="CCEEFF" w:val="cle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Cash flows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$(92,396)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$(63,451)</w:t>
            </w:r>
          </w:p>
        </w:tc>
      </w:tr>
      <w:tr>
        <w:trPr/>
        <w:tc>
          <w:tcPr>
            <w:tcW w:w="8380"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Adjustments to reconcile net loss to net cash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4,069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3,767</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Stock-based compensation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8,705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7,699</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Amortization of debt discount and 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5,367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1,473</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Amortization of right-of-use asset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2,033</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Change in fair value of common stock warrant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34,586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4,490</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Change in fair value of derivative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(7,311)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222</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Loss on extinguishment of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6,360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Non-cash interest charges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1,097</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Change in allowance for credit losses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Changes in assets and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Accounts receivable,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(3,048)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(2,539)</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Prepaid expenses and other 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(1,431)</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Other non-current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(2,679)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(1,436)</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(919)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(1,600)</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Accrued expenses and other current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5,955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(2,869)</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Operating lease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(2,380)</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Other non-current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(38)</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Net cash used in operating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(43,427)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(54,963)</w:t>
            </w:r>
          </w:p>
        </w:tc>
      </w:tr>
      <w:tr>
        <w:trPr/>
        <w:tc>
          <w:tcPr>
            <w:tcW w:w="8380" w:type="dxa"/>
            <w:tcBorders/>
            <w:shd w:fill="FFFFFF" w:val="cle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Cash flows from 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Purchase of property and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(3,126)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(4,025)</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 xml:space="preserve">Net cash used in investing activities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(3,126)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(4,025)</w:t>
            </w:r>
          </w:p>
        </w:tc>
      </w:tr>
      <w:tr>
        <w:trPr/>
        <w:tc>
          <w:tcPr>
            <w:tcW w:w="8380" w:type="dxa"/>
            <w:tcBorders/>
            <w:shd w:fill="CCEEFF" w:val="cle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Cash flows from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Proceeds from IPO, net of offering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332,784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Proceeds from convertible notes offering, net of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72,769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Proceeds from 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2,441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3,195</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Repayment of principal under term loan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(115,137)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Payments of exit, prepayment penalty and lender fees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(6,764)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(1,809)</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 xml:space="preserve">Net cash provided by financing activities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286,093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1,386</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Effect of foreign exchange rates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(504)</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Net increase (decrease) in cash, cash equivalents and restricted cash</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239,800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(58,106)</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Balance,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55,842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127,234</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Balance,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$295,642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$69,128</w:t>
            </w:r>
          </w:p>
        </w:tc>
      </w:tr>
      <w:tr>
        <w:trPr/>
        <w:tc>
          <w:tcPr>
            <w:tcW w:w="8380" w:type="dxa"/>
            <w:tcBorders/>
            <w:shd w:fill="FFFFFF" w:val="cle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Supplemental disclosure of cash flow information: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Cash paid (refunded) for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$(72)</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Cash paid for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$8,573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$15,067</w:t>
            </w:r>
          </w:p>
        </w:tc>
      </w:tr>
      <w:tr>
        <w:trPr/>
        <w:tc>
          <w:tcPr>
            <w:tcW w:w="8380" w:type="dxa"/>
            <w:tcBorders/>
            <w:shd w:fill="CCEEFF" w:val="clear"/>
            <w:vAlign w:val="center"/>
          </w:tcPr>
          <w:p>
            <w:pPr>
              <w:pStyle w:val="TableContents"/>
              <w:bidi w:val="0"/>
              <w:spacing w:lineRule="atLeast" w:line="150" w:before="0" w:after="0"/>
              <w:jc w:val="left"/>
              <w:rPr>
                <w:rFonts w:ascii="Arial;sans-serif" w:hAnsi="Arial;sans-serif"/>
                <w:b/>
                <w:i w:val="false"/>
                <w:caps w:val="false"/>
                <w:smallCaps w:val="false"/>
                <w:strike w:val="false"/>
                <w:dstrike w:val="false"/>
                <w:color w:val="000000"/>
                <w:sz w:val="15"/>
                <w:u w:val="none"/>
                <w:effect w:val="none"/>
              </w:rPr>
            </w:pPr>
            <w:r>
              <w:rPr>
                <w:rFonts w:ascii="Arial;sans-serif" w:hAnsi="Arial;sans-serif"/>
                <w:b/>
                <w:i w:val="false"/>
                <w:caps w:val="false"/>
                <w:smallCaps w:val="false"/>
                <w:strike w:val="false"/>
                <w:dstrike w:val="false"/>
                <w:color w:val="000000"/>
                <w:sz w:val="15"/>
                <w:u w:val="none"/>
                <w:effect w:val="none"/>
              </w:rPr>
              <w:t>Supplemental disclosure of non-cash investing and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Purchases of property and equipment included in accounts payable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$59</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Derecognition of derivative liability in connection with debt refinancing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$1,125</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Right-of-use asset obtained in exchange for lease obligation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$561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Conversion of redeemable convertible preferred stock to common stock upon IPO</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$768,566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Conversion of convertible notes to common stock upon IPO</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$94,139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Conversion of term loan principal to convertible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shd w:fill="FFFF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Issuance of convertible notes to certain employees in lieu of cash compensation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$1,353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shd w:fill="CCEEFF" w:val="clear"/>
            <w:vAlign w:val="center"/>
          </w:tcPr>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sz w:val="15"/>
                <w:u w:val="none"/>
                <w:effect w:val="none"/>
              </w:rPr>
              <w:t>Reclassification of term loan debt discount to convertible notes debt discount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$239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 xml:space="preserve">Unpaid IPO offering costs included in accounts payable and accrued expenses and other current </w:t>
            </w:r>
          </w:p>
          <w:p>
            <w:pPr>
              <w:pStyle w:val="TableContents"/>
              <w:bidi w:val="0"/>
              <w:spacing w:lineRule="atLeast" w:line="150" w:before="0" w:after="0"/>
              <w:jc w:val="left"/>
              <w:rPr/>
            </w:pPr>
            <w:r>
              <w:rPr>
                <w:rFonts w:ascii="Arial;sans-serif" w:hAnsi="Arial;sans-serif"/>
                <w:b w:val="false"/>
                <w:i w:val="false"/>
                <w:caps w:val="false"/>
                <w:smallCaps w:val="false"/>
                <w:strike w:val="false"/>
                <w:dstrike w:val="false"/>
                <w:color w:val="000000"/>
                <w:sz w:val="15"/>
                <w:u w:val="none"/>
                <w:effect w:val="none"/>
              </w:rPr>
              <w:t>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5"/>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$447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50" w:before="0" w:after="0"/>
              <w:jc w:val="left"/>
              <w:rPr>
                <w:rFonts w:ascii="Arial;sans-serif" w:hAnsi="Arial;sans-serif"/>
                <w:b w:val="false"/>
                <w:i w:val="false"/>
                <w:caps w:val="false"/>
                <w:smallCaps w:val="false"/>
                <w:strike w:val="false"/>
                <w:dstrike w:val="false"/>
                <w:color w:val="000000"/>
                <w:sz w:val="15"/>
                <w:u w:val="none"/>
                <w:effect w:val="none"/>
              </w:rPr>
            </w:pPr>
            <w:r>
              <w:rPr>
                <w:rFonts w:ascii="Arial;sans-serif" w:hAnsi="Arial;sans-serif"/>
                <w:b w:val="false"/>
                <w:i w:val="false"/>
                <w:caps w:val="false"/>
                <w:smallCaps w:val="false"/>
                <w:strike w:val="false"/>
                <w:dstrike w:val="false"/>
                <w:color w:val="000000"/>
                <w:sz w:val="15"/>
                <w:u w:val="none"/>
                <w:effect w:val="none"/>
              </w:rPr>
              <w:t>$—</w:t>
            </w:r>
          </w:p>
        </w:tc>
      </w:tr>
      <w:tr>
        <w:trPr/>
        <w:tc>
          <w:tcPr>
            <w:tcW w:w="838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Arial;sans-serif" w:hAnsi="Arial;sans-serif"/>
          <w:b w:val="false"/>
          <w:i/>
          <w:strike w:val="false"/>
          <w:dstrike w:val="false"/>
          <w:sz w:val="18"/>
          <w:u w:val="none"/>
          <w:effect w:val="none"/>
        </w:rPr>
      </w:pPr>
      <w:r>
        <w:rPr>
          <w:rFonts w:ascii="Arial;sans-serif" w:hAnsi="Arial;sans-serif"/>
          <w:b w:val="false"/>
          <w:i/>
          <w:strike w:val="false"/>
          <w:dstrike w:val="false"/>
          <w:sz w:val="18"/>
          <w:u w:val="none"/>
          <w:effect w:val="none"/>
        </w:rPr>
        <w:t>The accompanying notes are an integral part of these condensed consolidated financial statements.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 Business Overview</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Description of Business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HeartFlow Holding, Inc. was incorporated in the state of Delaware in July 2007 as Cardiovascular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Simulation, Inc. and changed its name to HeartFlow, Inc. in May 2009. On March 1, 2021, HeartFlow, Inc.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completed an internal reorganization in which a newly formed parent holding company, HeartFlow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Holding, Inc., was established.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July 17, 2025, HeartFlow Holding, Inc.’s stockholders and Board of Directors approved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consolidation of HeartFlow Holding, Inc. with and into HeartFlow, Inc., with HeartFlow, Inc. continuing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surviving company. The previous holders of HeartFlow Holding, Inc.’s common stock and preferred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securities became holders of HeartFlow, Inc.’s common stock and preferred securities based on a 1-to-1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conversion ratio, and the equity incentive plan, outstanding equity awards, outstanding warrants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certain other equity-related agreements of HeartFlow Holding, Inc. were assumed by HeartFlow, Inc.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connection with this consolidation, HeartFlow, Inc. changed its name to Heartflow, Inc. (the “Company”).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is a commercial-stage medical technology company that has pioneered the use of software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artificial intelligence (“AI”) to deliver a non-invasive solution for diagnosing and managing coronary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artery disease (“CAD”). The Company’s novel Heartflow Platform uses AI and advanced computational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fluid dynamics to create a personalized 3D model of a patient’s heart based off a single coronary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computed tomography angiography (“CCTA”). This results in actionable data on blood flow, stenosis,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plaque volume and plaque composition.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The Company’s Heartflow FFR</w:t>
      </w:r>
      <w:r>
        <w:rPr>
          <w:rFonts w:ascii="Arial;sans-serif" w:hAnsi="Arial;sans-serif"/>
          <w:b w:val="false"/>
          <w:i w:val="false"/>
          <w:caps w:val="false"/>
          <w:smallCaps w:val="false"/>
          <w:strike w:val="false"/>
          <w:dstrike w:val="false"/>
          <w:sz w:val="13"/>
          <w:u w:val="none"/>
          <w:effect w:val="none"/>
          <w:shd w:fill="FFFFFF" w:val="clear"/>
        </w:rPr>
        <w:t xml:space="preserve">CT </w:t>
      </w:r>
      <w:r>
        <w:rPr>
          <w:rFonts w:ascii="Arial;sans-serif" w:hAnsi="Arial;sans-serif"/>
          <w:b w:val="false"/>
          <w:i w:val="false"/>
          <w:caps w:val="false"/>
          <w:smallCaps w:val="false"/>
          <w:strike w:val="false"/>
          <w:dstrike w:val="false"/>
          <w:sz w:val="20"/>
          <w:u w:val="none"/>
          <w:effect w:val="none"/>
          <w:shd w:fill="FFFFFF" w:val="clear"/>
        </w:rPr>
        <w:t xml:space="preserve">Analysis and Plaque Analysis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software assists physicians in diagnosing, managing and delivering precision care to patients with CAD.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The Company was awarded Conformité Européene Mark for its Heartflow FFR</w:t>
      </w:r>
      <w:r>
        <w:rPr>
          <w:rFonts w:ascii="Arial;sans-serif" w:hAnsi="Arial;sans-serif"/>
          <w:b w:val="false"/>
          <w:i w:val="false"/>
          <w:caps w:val="false"/>
          <w:smallCaps w:val="false"/>
          <w:strike w:val="false"/>
          <w:dstrike w:val="false"/>
          <w:sz w:val="13"/>
          <w:u w:val="none"/>
          <w:effect w:val="none"/>
          <w:shd w:fill="FFFFFF" w:val="clear"/>
        </w:rPr>
        <w:t xml:space="preserve">CT </w:t>
      </w:r>
      <w:r>
        <w:rPr>
          <w:rFonts w:ascii="Arial;sans-serif" w:hAnsi="Arial;sans-serif"/>
          <w:b w:val="false"/>
          <w:i w:val="false"/>
          <w:caps w:val="false"/>
          <w:smallCaps w:val="false"/>
          <w:strike w:val="false"/>
          <w:dstrike w:val="false"/>
          <w:sz w:val="20"/>
          <w:u w:val="none"/>
          <w:effect w:val="none"/>
          <w:shd w:fill="FFFFFF" w:val="clear"/>
        </w:rPr>
        <w:t xml:space="preserve">Analysis in July 2011.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Th</w:t>
      </w:r>
      <w:r>
        <w:rPr>
          <w:rFonts w:ascii="Arial;sans-serif" w:hAnsi="Arial;sans-serif"/>
          <w:b w:val="false"/>
          <w:i w:val="false"/>
          <w:caps w:val="false"/>
          <w:smallCaps w:val="false"/>
          <w:strike w:val="false"/>
          <w:dstrike w:val="false"/>
          <w:sz w:val="20"/>
          <w:u w:val="none"/>
          <w:effect w:val="none"/>
        </w:rPr>
        <w:t xml:space="preserve">e Company received clearance from the U.S. Food and Drug Administration (“FDA”) in November 2014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for its </w:t>
      </w:r>
      <w:r>
        <w:rPr>
          <w:rFonts w:ascii="Arial;sans-serif" w:hAnsi="Arial;sans-serif"/>
          <w:b w:val="false"/>
          <w:i w:val="false"/>
          <w:caps w:val="false"/>
          <w:smallCaps w:val="false"/>
          <w:strike w:val="false"/>
          <w:dstrike w:val="false"/>
          <w:sz w:val="20"/>
          <w:u w:val="none"/>
          <w:effect w:val="none"/>
          <w:shd w:fill="FFFFFF" w:val="clear"/>
        </w:rPr>
        <w:t>Heartflow FFR</w:t>
      </w:r>
      <w:r>
        <w:rPr>
          <w:rFonts w:ascii="Arial;sans-serif" w:hAnsi="Arial;sans-serif"/>
          <w:b w:val="false"/>
          <w:i w:val="false"/>
          <w:caps w:val="false"/>
          <w:smallCaps w:val="false"/>
          <w:strike w:val="false"/>
          <w:dstrike w:val="false"/>
          <w:sz w:val="13"/>
          <w:u w:val="none"/>
          <w:effect w:val="none"/>
          <w:shd w:fill="FFFFFF" w:val="clear"/>
        </w:rPr>
        <w:t xml:space="preserve">CT </w:t>
      </w:r>
      <w:r>
        <w:rPr>
          <w:rFonts w:ascii="Arial;sans-serif" w:hAnsi="Arial;sans-serif"/>
          <w:b w:val="false"/>
          <w:i w:val="false"/>
          <w:caps w:val="false"/>
          <w:smallCaps w:val="false"/>
          <w:strike w:val="false"/>
          <w:dstrike w:val="false"/>
          <w:sz w:val="20"/>
          <w:u w:val="none"/>
          <w:effect w:val="none"/>
          <w:shd w:fill="FFFFFF" w:val="clear"/>
        </w:rPr>
        <w:t>Analysis and in October 2022 for its Plaque Analysis</w:t>
      </w:r>
      <w:r>
        <w:rPr>
          <w:rFonts w:ascii="Arial;sans-serif" w:hAnsi="Arial;sans-serif"/>
          <w:b w:val="false"/>
          <w:i w:val="false"/>
          <w:caps w:val="false"/>
          <w:smallCaps w:val="false"/>
          <w:strike w:val="false"/>
          <w:dstrike w:val="false"/>
          <w:sz w:val="20"/>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Company’s headquarters is located in Mountain View, California, and the Company also has offices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Santa Rosa and San Francisco, California, Austin, Texas, and Tokyo, Japan.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had the following wholly-owned subsidiaries as of September 30, 2025: </w:t>
      </w:r>
    </w:p>
    <w:tbl>
      <w:tblPr>
        <w:tblW w:w="6816" w:type="dxa"/>
        <w:jc w:val="left"/>
        <w:tblInd w:w="0" w:type="dxa"/>
        <w:tblLayout w:type="fixed"/>
        <w:tblCellMar>
          <w:top w:w="28" w:type="dxa"/>
          <w:left w:w="28" w:type="dxa"/>
          <w:bottom w:w="28" w:type="dxa"/>
          <w:right w:w="28" w:type="dxa"/>
        </w:tblCellMar>
      </w:tblPr>
      <w:tblGrid>
        <w:gridCol w:w="4471"/>
        <w:gridCol w:w="109"/>
        <w:gridCol w:w="2236"/>
      </w:tblGrid>
      <w:tr>
        <w:trPr/>
        <w:tc>
          <w:tcPr>
            <w:tcW w:w="4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44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Entity Name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Country of Incorporation</w:t>
            </w:r>
          </w:p>
        </w:tc>
      </w:tr>
      <w:tr>
        <w:trPr/>
        <w:tc>
          <w:tcPr>
            <w:tcW w:w="44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HeartFlow Japan G.K.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Japan</w:t>
            </w:r>
          </w:p>
        </w:tc>
      </w:tr>
      <w:tr>
        <w:trPr/>
        <w:tc>
          <w:tcPr>
            <w:tcW w:w="44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HeartFlow U.K. Ltd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United Kingdom</w:t>
            </w:r>
          </w:p>
        </w:tc>
      </w:tr>
      <w:tr>
        <w:trPr/>
        <w:tc>
          <w:tcPr>
            <w:tcW w:w="44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HeartFlow Technology U.K. Limited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United Kingdom</w:t>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Effective July 2024, HeartFlow International Sarl, a wholly-owned subsidiary in Switzerland,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dissolved.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Reverse Stock Split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July 31, 2025, the Company’s Board of Directors approved an amendment to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amended and restated certificate of incorporation to immediately effect a reverse stock split of the shares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of the Company’s outstanding common stock at a ratio of 1.0-for-2.92</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(the “Reverse Stock Split”).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number of authorized shares and par value per share were not adjusted as a result of the Reverse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Split. All references to shares, options to purchase common stock, share amounts, per share amounts,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related information contained in the condensed consolidated financial statements have been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retrospectively adjusted to reflect the effect of the Reverse Stock Split for all periods presented.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shares of common stock underlying outstanding stock options and other equity instruments were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proportionately reduced, and the respective exercise prices, if applicable, were proportionately increased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accordance with the terms of the agreements governing such securities. In addition, the conversion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ratios for each series of the Company’s redeemable convertible preferred stock, which automatically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converted into shares of common stock upon the closing of the Company’s initial public offering (“IPO”)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common stock, were proportionally adjusted.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Initial Public Offering</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On August 11, 2025, the Company completed its IPO of 19,166,667</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of its common stock, which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included an additional 2,500,000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of common stock purchased by the underwriters pursuant to their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option to purchase additional shares, at a price to the public of $19.00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per share. The gross proceeds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from the IPO were approximately $364.2 million, before deducting underwriting discounts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commissions and estimated offering expenses payable by the Company of $31.8 million. Immediately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the closing of the Company’s IPO, all of the outstanding shares of the Company’s redeemable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convertible preferred stock converted into shares of the Company’s common stock. Additionally, upon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closing of the Company’s IPO, the aggregate outstanding principal balance under the 2025 Convertible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Notes (as defined in Note 2) automatically converted into shares of the Company’s common stock.</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Liquidity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has incurred operating losses and negative cash flows from operations since its inception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has an accumulated deficit of approximately $1.1 billion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$971.0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of September 30, 2025</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December 31, 2024, respectively. The Company expects to incur losses for the foreseeable future.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Historically, the Company’s activities have been financed through sales of shares of redeemable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convertible preferred stock, common stock and convertible promissory notes, borrowings under term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loans and revenue received from customers.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As of </w:t>
      </w:r>
      <w:r>
        <w:rPr>
          <w:rFonts w:ascii="Arial;sans-serif" w:hAnsi="Arial;sans-serif"/>
          <w:b w:val="false"/>
          <w:i w:val="false"/>
          <w:caps w:val="false"/>
          <w:smallCaps w:val="false"/>
          <w:strike w:val="false"/>
          <w:dstrike w:val="false"/>
          <w:sz w:val="20"/>
          <w:u w:val="none"/>
          <w:effect w:val="none"/>
        </w:rPr>
        <w:t>September 30, 2025</w:t>
      </w:r>
      <w:r>
        <w:rPr>
          <w:rFonts w:ascii="Arial;sans-serif" w:hAnsi="Arial;sans-serif"/>
          <w:b w:val="false"/>
          <w:i w:val="false"/>
          <w:caps w:val="false"/>
          <w:smallCaps w:val="false"/>
          <w:strike w:val="false"/>
          <w:dstrike w:val="false"/>
          <w:sz w:val="20"/>
          <w:u w:val="none"/>
          <w:effect w:val="none"/>
          <w:shd w:fill="FFFFFF" w:val="clear"/>
        </w:rPr>
        <w:t xml:space="preserve">, the Company had </w:t>
      </w:r>
      <w:r>
        <w:rPr>
          <w:rFonts w:ascii="Arial;sans-serif" w:hAnsi="Arial;sans-serif"/>
          <w:b w:val="false"/>
          <w:i w:val="false"/>
          <w:caps w:val="false"/>
          <w:smallCaps w:val="false"/>
          <w:strike w:val="false"/>
          <w:dstrike w:val="false"/>
          <w:sz w:val="20"/>
          <w:u w:val="none"/>
          <w:effect w:val="none"/>
        </w:rPr>
        <w:t>$291.2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in cash and cash equivalents.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Based on the Company’s current operating plan, the Company believes that the expected cash generated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from revenue transactions with customers and its existing cash and cash equivalents will be sufficient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fund the Company’s planned operating expenses and capital expenditure requirements for at least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next 12 months from the date these condensed consolidated financial statements were available to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issued.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However, the Company may experience lower than expected cash generated from operating activities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greater than expected capital expenditures, cost of revenue, or operating expenses and may need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raise additional capital to fund operations, further research and development activities, or acquire, invest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or license other businesses, assets, or technologies. The Company’s future capital needs will depend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upon many factors, including the market’s acceptance of the Company’s products, the cost and pace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developing new products, and the costs of supporting sales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2. Summary of Significant Accounting Policies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Basis of Presentation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accompanying condensed consolidated financial statements include the accounts of the Company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well as its wholly owned subsidiaries and have been prepared in accordance with accounting principles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generally accepted in the United States of America (“U.S. GAAP”). All significant intercompany balances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transactions have been eliminated in consolidation.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unaudited interim condensed consolidated financial statements have been prepared on the same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basis as the annual consolidated financial statements and, in the opinion of management, reflect all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adjustments, which include only normal recurring adjustments, necessary to a fair statement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Company’s consolidated financial position as of September 30, 2025, and the results of its operations for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three 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cash flows for the nine months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The condensed consolidated balance sheet at December 31,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2024, was derived from audited annual consolidated financial statements but does not contain all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footnote disclosures from the annual financial statements. These interim financial results are not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necessarily indicative of results expected for the full fiscal year or for any subsequent interim period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should be read in conjunction with the annual consolidated financial statements included in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Company’s registration statement on Form S-1 (File No. 333-288733), which became effective on August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7, 2025.</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Use of Estimates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preparation of financial statements in conformity with U.S. GAAP requires management to make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estimates and assumptions that affect the amounts reported in the financial statements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accompanying notes. Management used significant judgment when making estimates in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determination of the fair value of its common stock and stock options, deferred income tax valuation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allowance, capitalized internal-use software, depreciation of property and equipment, allowance for credit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losses, revenue recognition, valuation of operating lease right-of-use (“ROU”) assets and operating lease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liabilities, and the fair value of convertible debt, common stock warrant liability and derivative liability.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Management evaluates its estimates and assumptions on an ongoing basis using historical experience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other factors and adjusts those estimates and assumptions as facts and circumstances dictate.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Actual results could materially differ from those estimates.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Segment Information</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operates and manages its business as one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reportable and operating segment, which is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business of non-invasive CAD detection solutions. The Company’s Chief Executive Officer, who is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Chief Operating Decision Maker (“CODM”), reviews financial information, including revenue and net loss,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presented on a consolidated basis for purposes of making operating decisions, allocating resources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evaluating financial performance.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Company’s measure of segment profit or loss is consolidated net loss, which is used by the CODM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measure actual results versus expectations, set performance metrics, and develop the annual budget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achieve the Company’s long-term objectives. Significant segment expenses within consolidated net loss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includes cost of revenue, research and development, and selling, general and administrative expenses,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which are each separately presented on the Company’s condensed consolidated statements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operations and comprehensive loss. Other expense items that are presented on the condensed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consolidated statements of operations include interest income, interest expense, changes in fair value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warrant liability, other income, net, and provision for income taxes.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is representative of the significant expense categories regularly provided to the CODM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when managing the Company’s single reporting segment and includes a reconciliation to the consolidated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net loss shown in the condensed consolidated statements of operations and comprehensive loss for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three 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thousands):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tbl>
      <w:tblPr>
        <w:tblW w:w="7967" w:type="dxa"/>
        <w:jc w:val="left"/>
        <w:tblInd w:w="0" w:type="dxa"/>
        <w:tblLayout w:type="fixed"/>
        <w:tblCellMar>
          <w:top w:w="28" w:type="dxa"/>
          <w:left w:w="28" w:type="dxa"/>
          <w:bottom w:w="28" w:type="dxa"/>
          <w:right w:w="28" w:type="dxa"/>
        </w:tblCellMar>
      </w:tblPr>
      <w:tblGrid>
        <w:gridCol w:w="3946"/>
        <w:gridCol w:w="916"/>
        <w:gridCol w:w="109"/>
        <w:gridCol w:w="916"/>
        <w:gridCol w:w="109"/>
        <w:gridCol w:w="901"/>
        <w:gridCol w:w="109"/>
        <w:gridCol w:w="961"/>
      </w:tblGrid>
      <w:tr>
        <w:trPr/>
        <w:tc>
          <w:tcPr>
            <w:tcW w:w="39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94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394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$32,934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$126,904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$90,831</w:t>
            </w:r>
          </w:p>
        </w:tc>
      </w:tr>
      <w:tr>
        <w:trPr/>
        <w:tc>
          <w:tcPr>
            <w:tcW w:w="394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Less</w:t>
            </w:r>
            <w:r>
              <w:rPr>
                <w:rFonts w:ascii="Arial;sans-serif" w:hAnsi="Arial;sans-serif"/>
                <w:b w:val="false"/>
                <w:i w:val="false"/>
                <w:caps w:val="false"/>
                <w:smallCaps w:val="false"/>
                <w:strike w:val="false"/>
                <w:dstrike w:val="false"/>
                <w:sz w:val="13"/>
                <w:u w:val="none"/>
                <w:effect w:val="none"/>
              </w:rPr>
              <w:t>(1)</w:t>
            </w:r>
            <w:r>
              <w:rPr>
                <w:rFonts w:ascii="Arial;sans-serif" w:hAnsi="Arial;sans-serif"/>
                <w:b w:val="false"/>
                <w:i w:val="false"/>
                <w:caps w:val="false"/>
                <w:smallCaps w:val="false"/>
                <w:strike w:val="false"/>
                <w:dstrike w:val="false"/>
                <w:sz w:val="20"/>
                <w:u w:val="none"/>
                <w:effect w:val="none"/>
              </w:rPr>
              <w:t xml:space="preserve">: </w:t>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394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Cost of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30,770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22,632</w:t>
            </w:r>
          </w:p>
        </w:tc>
      </w:tr>
      <w:tr>
        <w:trPr/>
        <w:tc>
          <w:tcPr>
            <w:tcW w:w="394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Research and development expenses:</w:t>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394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Research and development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10,260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27,582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19,107</w:t>
            </w:r>
          </w:p>
        </w:tc>
      </w:tr>
      <w:tr>
        <w:trPr/>
        <w:tc>
          <w:tcPr>
            <w:tcW w:w="394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Regulatory and clinical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7,037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4,877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18,671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12,131</w:t>
            </w:r>
          </w:p>
        </w:tc>
      </w:tr>
      <w:tr>
        <w:trPr/>
        <w:tc>
          <w:tcPr>
            <w:tcW w:w="39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Selling, general and administrative </w:t>
            </w:r>
          </w:p>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expenses:</w:t>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Sales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18,869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16,981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54,307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49,943</w:t>
            </w:r>
          </w:p>
        </w:tc>
      </w:tr>
      <w:tr>
        <w:trPr/>
        <w:tc>
          <w:tcPr>
            <w:tcW w:w="394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Marketing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9,416</w:t>
            </w:r>
          </w:p>
        </w:tc>
      </w:tr>
      <w:tr>
        <w:trPr/>
        <w:tc>
          <w:tcPr>
            <w:tcW w:w="394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9,698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7,458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28,078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22,766</w:t>
            </w:r>
          </w:p>
        </w:tc>
      </w:tr>
      <w:tr>
        <w:trPr/>
        <w:tc>
          <w:tcPr>
            <w:tcW w:w="394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Loss from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(15,099)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(14,929)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(45,164)</w:t>
            </w:r>
          </w:p>
        </w:tc>
      </w:tr>
      <w:tr>
        <w:trPr/>
        <w:tc>
          <w:tcPr>
            <w:tcW w:w="394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Other income (expense), net</w:t>
            </w:r>
            <w:r>
              <w:rPr>
                <w:rFonts w:ascii="Arial;sans-serif" w:hAnsi="Arial;sans-serif"/>
                <w:b w:val="false"/>
                <w:i w:val="false"/>
                <w:caps w:val="false"/>
                <w:smallCaps w:val="false"/>
                <w:strike w:val="false"/>
                <w:dstrike w:val="false"/>
                <w:sz w:val="13"/>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(35,726)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(4,211)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(45,991)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(18,239)</w:t>
            </w:r>
          </w:p>
        </w:tc>
      </w:tr>
      <w:tr>
        <w:trPr/>
        <w:tc>
          <w:tcPr>
            <w:tcW w:w="394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w:t>
            </w:r>
          </w:p>
        </w:tc>
      </w:tr>
      <w:tr>
        <w:trPr/>
        <w:tc>
          <w:tcPr>
            <w:tcW w:w="394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Segment 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$(50,855)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(92,396)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$(63,451)</w:t>
            </w:r>
          </w:p>
        </w:tc>
      </w:tr>
      <w:tr>
        <w:trPr/>
        <w:tc>
          <w:tcPr>
            <w:tcW w:w="39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(1)The significant expense categories and amounts align with the segment-level information that is regularly provided to the CODM.</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 xml:space="preserve">(2)Other income (expense), net represents the consolidated amounts for interest income, interest expense, change in fair value of </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 xml:space="preserve">common stock warrant liability, change in fair value of derivative liability, loss on extinguishment of debt and other income (expense), </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net as shown on the condensed consolidated statements of operations and comprehensive loss.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derives revenue and has long-lived assets primarily in the United States of America.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Revenue by geography is further described in Note 3.</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Cash, Cash Equivalents and Restricted Cash</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considers all highly liquid investments that are readily convertible to known amounts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cash and purchased with an original maturity of three months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or less to be cash equivalents. Cash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equivalents consist primarily of amounts invested in money market accounts.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provides a reconciliation of cash, cash equivalents and restricted cash to the total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shown in the condensed consolidated statements of cash flows (in thousands):</w:t>
      </w:r>
    </w:p>
    <w:tbl>
      <w:tblPr>
        <w:tblW w:w="8261" w:type="dxa"/>
        <w:jc w:val="left"/>
        <w:tblInd w:w="0" w:type="dxa"/>
        <w:tblLayout w:type="fixed"/>
        <w:tblCellMar>
          <w:top w:w="28" w:type="dxa"/>
          <w:left w:w="28" w:type="dxa"/>
          <w:bottom w:w="28" w:type="dxa"/>
          <w:right w:w="28" w:type="dxa"/>
        </w:tblCellMar>
      </w:tblPr>
      <w:tblGrid>
        <w:gridCol w:w="6301"/>
        <w:gridCol w:w="901"/>
        <w:gridCol w:w="109"/>
        <w:gridCol w:w="796"/>
        <w:gridCol w:w="154"/>
      </w:tblGrid>
      <w:tr>
        <w:trPr/>
        <w:tc>
          <w:tcPr>
            <w:tcW w:w="63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54"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Cash and 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$291,167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$64,661</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630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Restricted cash</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4,467</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630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cash, cash equivalents and restricted cash</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$295,642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$69,128</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r>
        <w:trPr/>
        <w:tc>
          <w:tcPr>
            <w:tcW w:w="63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December 31, 2024, restricted cash represents deposits held as security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 connection with the Company’s facility lease agreements.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Fair Value of Financial Instruments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measures certain financial assets and liabilities at fair value on a recurring basis. Fair value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 an exit price, representing the amount that would be received to sell an asset or paid to transfer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liability in an orderly transaction between market participants. As such, fair value is a market-based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measurement that should be determined based on assumptions that market participants would use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pricing an asset or a liability.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discloses and recognizes the fair value of its assets and liabilities using a hierarchy that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prioritizes the inputs to valuation techniques used to measure fair value. The hierarchy gives the highest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priority to valuations based upon unadjusted quoted prices in active markets for identical assets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liabilities (Level 1 measurements) and the lowest priority to valuations based upon unobservable inputs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that are significant to the valuation (Level 3 measurements). The accounting guidance establishes three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levels of the fair value hierarchy as follows:</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Level 1 -</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Observable inputs, such as quoted prices in active markets for identical assets or liabilities;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Level 2 -</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Observable inputs other than Level 1 prices, such as quoted prices for similar assets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liabilities, quoted prices in markets that are not active, or other inputs that are observable or can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corroborated by observable market data for substantially the full term of the assets or liabilities; and</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Level 3 -</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Unobservable inputs that are supported by little or no market activity and that are significant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fair value of the assets or liabilities.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Assets and liabilities measured at fair value are classified in their entirety based on the lowest level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input that is significant to the fair value measurement. The Company’s assessment of the significance of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particular input to the fair value measurement in its entirety requires management to make judgments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considers factors specific to the asset or liability.</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December 31, 2024, the carrying amounts of the Company’s financial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instruments, including cash equivalents, accounts receivable, accounts payable and accrued liabilities,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approximate fair value due to their relatively short maturities and market interest rates, if applicable.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Management believes that the Company’s Term Loan (as defined in Note 8) and 2025 Convertible Notes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 defined below in this Note 2) then outstanding bear interest at the prevailing market rates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instruments with similar characteristics; accordingly, the carrying value of these instruments approximated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their fair value as of December 31, 2024. Fair value accounting is applied to the common stock warrant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liability and derivative liability.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derivative liability was outstanding as of September 30, 2025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December 31, 2024.</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Concentration of Credit Risk and Significant Customers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Financial instruments that potentially subject the Company to credit risk consist primarily of cash and cash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equivalents, restricted cash and accounts receivable. The Company maintains bank deposits in federally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insured financial institutions, and these deposits may at times exceed federally insured limits. To date,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 has not experienced any losses on its cash deposits. The Company currently has full control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its cash and cash equivalents balance.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single customer represented more than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the Company’s revenue during the three and nine</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single customer represented more than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Company’s accounts receivable as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December 31, 2024.</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Deferred Offering Costs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capitalizes certain legal, accounting and other third-party fees that are directly associated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with in-process equity financings as deferred offering costs until such financings are consummated. After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consummation of the equity financing, these costs are recorded as a reduction of the proceeds from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offering, either as a reduction of the carrying value of preferred stock or in stockholders’ equity (deficit) as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 reduction of additional paid-in capital generated as a result of the offering. As of September 30, 2025</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December 31, 2024, deferred offering costs of $0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$413,000, respectively, were capitalized within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other non-current assets in the condensed consolidated balance sheets. The deferred offering costs were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reclassified as a reduction to equity as a result of the closing of the IPO in August 2025.</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Leases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At the inception of a contractual arrangement, the Company determines whether the contract contains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lease by assessing whether there is an identified asset and whether the contract conveys the right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control the use of the identified asset in exchange for consideration over a period of time.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 ROU asset and corresponding lease liability are recorded on the condensed consolidated balance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sheets based on the present value of lease payments over the lease term. An ROU asset represents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right to control the use of an identified asset over the lease term, and a lease liability represents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obligation to make lease payments arising from the lease. Leases with an initial term of 12 months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or less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are not recorded in the condensed consolidated balance sheets. The Company uses its incremental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borrowing rate to determine the present value of lease payments, as the discount rate implicit in the lease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 not readily available. The lease terms used to calculate the ROU asset and related lease liabilities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include options to extend or terminate the lease when it is reasonably certain that the Company will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exercise that option. The Company elected to account for contracts that contain lease and non-lease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components as a single lease component. For the three 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2024, the Company’s only leases were for its facilities, which are classified as operating leases with lease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expense recognized on a straight-line basis over the lease term. Variable lease costs, which primarily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consist of common area maintenance, taxes, and utility charges, are expensed as incurred.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Company does not have any finance leases.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Term Loan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its repayment in August 2025, the Term Loan (as defined in Note 8) was accounted for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amortized cost. Original debt issuance costs were deferred and presented as a reduction to the carrying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value of the Term Loan. Debt discount and debt issuance costs were amortized using the effective interest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method and recorded in interest expense within the condensed consolidated statements of operations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comprehensive loss. See Note 8 for information about the repayment of the 2024 Term Loan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termination of the 2024 Credit Agreement.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Upon repayment of the 2024 Term Loan, the remaining unamortized debt discount and debt issuance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costs were recognized as a loss on extinguishment of debt within the condensed consolidated statements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of operations and comprehensive loss.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2025 Convertible Notes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issued convertible notes in January 2025 and March 2025 (the “2025 Convertible Notes”)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to various investors and certain employees (the “Requisite Holders”), which were accounted for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amortized cost. Debt issuance costs were deferred and presented as a reduction to the carrying value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2025 Convertible Notes prior to its conversion upon the IPO. The Company determined that certain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features of the 2025 Convertible Notes contained embedded derivatives that provided the Requisite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Holders with multiple settlement alternatives, and the embedded features that qualified as derivatives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were accounted for separately. Debt discount and debt issuance costs were amortized using the effective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interest method and recorded to interest expense within the condensed consolidated statements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operations and comprehensive loss. The Company recognized the changes in fair value of the derivative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liability as changes in fair value of derivative liability within the condensed consolidated statements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operations and comprehensive loss through the IPO date. </w:t>
      </w:r>
      <w:r>
        <w:rPr>
          <w:rFonts w:ascii="Arial;sans-serif" w:hAnsi="Arial;sans-serif"/>
          <w:b w:val="false"/>
          <w:i w:val="false"/>
          <w:caps w:val="false"/>
          <w:smallCaps w:val="false"/>
          <w:strike w:val="false"/>
          <w:dstrike w:val="false"/>
          <w:sz w:val="20"/>
          <w:u w:val="none"/>
          <w:effect w:val="none"/>
          <w:shd w:fill="FFFFFF" w:val="clear"/>
        </w:rPr>
        <w:t xml:space="preserve">Upon the closing of the Company’s IPO,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aggregate principal balance of the 2025 Convertible Notes of </w:t>
      </w:r>
      <w:r>
        <w:rPr>
          <w:rFonts w:ascii="Arial;sans-serif" w:hAnsi="Arial;sans-serif"/>
          <w:b w:val="false"/>
          <w:i w:val="false"/>
          <w:caps w:val="false"/>
          <w:smallCaps w:val="false"/>
          <w:strike w:val="false"/>
          <w:dstrike w:val="false"/>
          <w:sz w:val="20"/>
          <w:u w:val="none"/>
          <w:effect w:val="none"/>
        </w:rPr>
        <w:t>$98.3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converted into </w:t>
      </w:r>
      <w:r>
        <w:rPr>
          <w:rFonts w:ascii="Arial;sans-serif" w:hAnsi="Arial;sans-serif"/>
          <w:b w:val="false"/>
          <w:i w:val="false"/>
          <w:caps w:val="false"/>
          <w:smallCaps w:val="false"/>
          <w:strike w:val="false"/>
          <w:dstrike w:val="false"/>
          <w:sz w:val="20"/>
          <w:u w:val="none"/>
          <w:effect w:val="none"/>
        </w:rPr>
        <w:t>6,470,743</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shares of common stock, and the derivative liability balance of </w:t>
      </w:r>
      <w:r>
        <w:rPr>
          <w:rFonts w:ascii="Arial;sans-serif" w:hAnsi="Arial;sans-serif"/>
          <w:b w:val="false"/>
          <w:i w:val="false"/>
          <w:caps w:val="false"/>
          <w:smallCaps w:val="false"/>
          <w:strike w:val="false"/>
          <w:dstrike w:val="false"/>
          <w:sz w:val="20"/>
          <w:u w:val="none"/>
          <w:effect w:val="none"/>
        </w:rPr>
        <w:t>$24.6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and the remaining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unamortized debt discount and debt issuance costs of </w:t>
      </w:r>
      <w:r>
        <w:rPr>
          <w:rFonts w:ascii="Arial;sans-serif" w:hAnsi="Arial;sans-serif"/>
          <w:b w:val="false"/>
          <w:i w:val="false"/>
          <w:caps w:val="false"/>
          <w:smallCaps w:val="false"/>
          <w:strike w:val="false"/>
          <w:dstrike w:val="false"/>
          <w:sz w:val="20"/>
          <w:u w:val="none"/>
          <w:effect w:val="none"/>
        </w:rPr>
        <w:t>$28.8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were reclassified to additional paid-in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capital. R</w:t>
      </w:r>
      <w:r>
        <w:rPr>
          <w:rFonts w:ascii="Arial;sans-serif" w:hAnsi="Arial;sans-serif"/>
          <w:b w:val="false"/>
          <w:i w:val="false"/>
          <w:caps w:val="false"/>
          <w:smallCaps w:val="false"/>
          <w:strike w:val="false"/>
          <w:dstrike w:val="false"/>
          <w:sz w:val="20"/>
          <w:u w:val="none"/>
          <w:effect w:val="none"/>
        </w:rPr>
        <w:t>efer to Note 9 and Note 13 for additional information.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Common Stock Warrants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Company’s warrants to purchase common stock that were issued in connection with the Term Loan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are classified as a liability. The warrants are recorded at fair value upon issuance and are subject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remeasurement to fair value at each balance sheet date, with any changes in fair value recognized as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change in fair value of common stock warrant within the condensed consolidated statements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operations and comprehensive loss.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Refer to Note 12 and Note 18 for additional information.</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Embedded Derivatives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its refinancing in June 2024, the Term Loan (as defined in Note 8) contained certain prepayment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features, a default put option and default interest adjustment features that were determined to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embedded derivatives requiring bifurcation and separate accounting as a single compound derivative,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discussed in Note 13. The impact of bifurcation of the embedded derivative on the date of issuance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reflected as a debt discount. The fair value of the derivative liability related to the Company’s Term Loan,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 discussed in Note 8, was estimated using a scenario-based analysis comparing the probability-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weighted present value of the Term Loan payoff at maturity with and without the bifurcated features. This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method isolates the value of the embedded derivative by measuring the difference in the host contract’s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value with and without the isolated features. The resulting cash flows are discounted at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borrowing rate, as adjusted for fluctuations in the market interest rate from the inception of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comparative borrowings to the reporting date, to measure the fair value of the embedded derivative. Until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its derecognition in June 2024, the derivative liability was remeasured to fair value at each reporting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period, and the related change was reflected as change in fair value of derivative liability on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condensed consolidated statements of operations and comprehensive loss.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their conversion upon the IPO, the 2025 Convertible Notes contained certain settlement features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default put options that were determined to be embedded derivatives requiring bifurcation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separate accounting as a single compound derivative, as discussed in Note 13. The impact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bifurcation of the embedded derivatives on the date of issuances in January and March 2025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reflected as a debt discount. The fair value of the derivative liability related to the Company’s 2025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Convertible Notes, as discussed in Note 9, were estimated using a scenario-based analysis comparing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probability-weighted present value of the 2025 Convertible Notes with and without the bifurcated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features. This method isolates the value of the embedded derivatives by measuring the difference in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host contract’s value with and without the isolated features. To measure the fair value of the embedded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derivatives, the resulting cash flows were discounted using appropriate discount rates that reflect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overall implied risk of the instruments based on their purchase prices and adjusted for fluctuations in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market and Company interest rates when necessary. Prior to the Company’s IPO, the derivative liability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was remeasured to fair value at each reporting period and the related change was reflected as a change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fair value of derivative liability on the condensed consolidated statements of operations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comprehensive loss until the conversion of the 2025 Convertible Notes in connection with the IPO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August 2025.</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Redeemable Convertible Preferred Stock</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its IPO, the Company recorded redeemable convertible preferred stock at fair value on the dates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issuance, net of issuance costs, which was classified outside of stockholders’ equity (deficit) because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preferred shares were contingently redeemable upon the occurrence of an event that is outside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Company’s control. Upon the closing of the Company's IPO, all shares of convertible preferred stock then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outstanding automatically converted into an aggregate of 51,226,348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of common stock. Refer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Note 10 for additional information.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Revenue Recognition</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w:t>
      </w:r>
      <w:r>
        <w:rPr>
          <w:rFonts w:ascii="Arial;sans-serif" w:hAnsi="Arial;sans-serif"/>
          <w:b w:val="false"/>
          <w:i w:val="false"/>
          <w:caps w:val="false"/>
          <w:smallCaps w:val="false"/>
          <w:strike w:val="false"/>
          <w:dstrike w:val="false"/>
          <w:sz w:val="20"/>
          <w:u w:val="none"/>
          <w:effect w:val="none"/>
          <w:shd w:fill="FFFFFF" w:val="clear"/>
        </w:rPr>
        <w:t xml:space="preserve">ny sells its </w:t>
      </w:r>
      <w:r>
        <w:rPr>
          <w:rFonts w:ascii="Arial;sans-serif" w:hAnsi="Arial;sans-serif"/>
          <w:b w:val="false"/>
          <w:i w:val="false"/>
          <w:caps w:val="false"/>
          <w:smallCaps w:val="false"/>
          <w:strike w:val="false"/>
          <w:dstrike w:val="false"/>
          <w:sz w:val="20"/>
          <w:u w:val="none"/>
          <w:effect w:val="none"/>
        </w:rPr>
        <w:t>Heartflow Platform</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to medical providers in the United States and in select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international markets. </w:t>
      </w:r>
      <w:r>
        <w:rPr>
          <w:rFonts w:ascii="Arial;sans-serif" w:hAnsi="Arial;sans-serif"/>
          <w:b w:val="false"/>
          <w:i w:val="false"/>
          <w:caps w:val="false"/>
          <w:smallCaps w:val="false"/>
          <w:strike w:val="false"/>
          <w:dstrike w:val="false"/>
          <w:sz w:val="20"/>
          <w:u w:val="none"/>
          <w:effect w:val="none"/>
        </w:rPr>
        <w:t>The Company determines revenue recognition through the following steps: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Identification of the contract, or contracts, with a customer;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Identification of the performance obligations in the contract;</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Determination of the transaction price;</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Allocation of the transaction price to the performance obligations in the contract; and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Recognition of revenue when, or as, the Company satisfies a performance obligation.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identified a single performance obligation, which is comprised of a highly interdependent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bundle of goods or services that are not distinct on their own but are as a group and consists of providing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implementation services and the requested analysis, including an image file and related licenses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support. Revenue recognition commences only after completion of installation, implementation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training for new customer accounts. The Company’s service consists of providing a visualization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patient’s coronary arteries and enables physicians to create more effective treatment plans. This service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 normally billable upon delivery of the analysis to the physician. Payment terms are generally net 30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days.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Substantially all of the </w:t>
      </w:r>
      <w:r>
        <w:rPr>
          <w:rFonts w:ascii="Arial;sans-serif" w:hAnsi="Arial;sans-serif"/>
          <w:b w:val="false"/>
          <w:i w:val="false"/>
          <w:caps w:val="false"/>
          <w:smallCaps w:val="false"/>
          <w:strike w:val="false"/>
          <w:dstrike w:val="false"/>
          <w:sz w:val="20"/>
          <w:u w:val="none"/>
          <w:effect w:val="none"/>
        </w:rPr>
        <w:t>Company’s revenue is from usage-driven fees and generated 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 “pay-per-click”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basis </w:t>
      </w:r>
      <w:r>
        <w:rPr>
          <w:rFonts w:ascii="Arial;sans-serif" w:hAnsi="Arial;sans-serif"/>
          <w:b w:val="false"/>
          <w:i w:val="false"/>
          <w:caps w:val="false"/>
          <w:smallCaps w:val="false"/>
          <w:strike w:val="false"/>
          <w:dstrike w:val="false"/>
          <w:sz w:val="20"/>
          <w:u w:val="none"/>
          <w:effect w:val="none"/>
        </w:rPr>
        <w:t xml:space="preserve">each time a physician </w:t>
      </w:r>
      <w:r>
        <w:rPr>
          <w:rFonts w:ascii="Arial;sans-serif" w:hAnsi="Arial;sans-serif"/>
          <w:b w:val="false"/>
          <w:i w:val="false"/>
          <w:caps w:val="false"/>
          <w:smallCaps w:val="false"/>
          <w:strike w:val="false"/>
          <w:dstrike w:val="false"/>
          <w:sz w:val="20"/>
          <w:u w:val="none"/>
          <w:effect w:val="none"/>
          <w:shd w:fill="FFFFFF" w:val="clear"/>
        </w:rPr>
        <w:t xml:space="preserve">orders the Company’s Heartflow </w:t>
      </w:r>
      <w:r>
        <w:rPr>
          <w:rFonts w:ascii="Arial;sans-serif" w:hAnsi="Arial;sans-serif"/>
          <w:b w:val="false"/>
          <w:i w:val="false"/>
          <w:caps w:val="false"/>
          <w:smallCaps w:val="false"/>
          <w:strike w:val="false"/>
          <w:dstrike w:val="false"/>
          <w:sz w:val="20"/>
          <w:u w:val="none"/>
          <w:effect w:val="none"/>
        </w:rPr>
        <w:t>FFR</w:t>
      </w:r>
      <w:r>
        <w:rPr>
          <w:rFonts w:ascii="Arial;sans-serif" w:hAnsi="Arial;sans-serif"/>
          <w:b w:val="false"/>
          <w:i w:val="false"/>
          <w:caps w:val="false"/>
          <w:smallCaps w:val="false"/>
          <w:strike w:val="false"/>
          <w:dstrike w:val="false"/>
          <w:sz w:val="13"/>
          <w:u w:val="none"/>
          <w:effect w:val="none"/>
        </w:rPr>
        <w:t>CT</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Analysis and Plaque Analysis.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Revenue is recognized when control of these services is transferred to the customer, at an amount that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reflects the consideration the Company expects to be entitled to receive in exchange for those services.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The Company recognizes usage-driven fee revenue </w:t>
      </w:r>
      <w:r>
        <w:rPr>
          <w:rFonts w:ascii="Arial;sans-serif" w:hAnsi="Arial;sans-serif"/>
          <w:b w:val="false"/>
          <w:i w:val="false"/>
          <w:caps w:val="false"/>
          <w:smallCaps w:val="false"/>
          <w:strike w:val="false"/>
          <w:dstrike w:val="false"/>
          <w:sz w:val="20"/>
          <w:u w:val="none"/>
          <w:effect w:val="none"/>
          <w:shd w:fill="FFFFFF" w:val="clear"/>
        </w:rPr>
        <w:t xml:space="preserve">upon delivery of the requested analysis to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physician, which is when </w:t>
      </w:r>
      <w:r>
        <w:rPr>
          <w:rFonts w:ascii="Arial;sans-serif" w:hAnsi="Arial;sans-serif"/>
          <w:b w:val="false"/>
          <w:i w:val="false"/>
          <w:caps w:val="false"/>
          <w:smallCaps w:val="false"/>
          <w:strike w:val="false"/>
          <w:dstrike w:val="false"/>
          <w:sz w:val="20"/>
          <w:u w:val="none"/>
          <w:effect w:val="none"/>
        </w:rPr>
        <w:t xml:space="preserve">control of these services is transferred to the customer. The Company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recognizes revenue on a straight-line basis over the contract term for subscriptions where the customer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pays a fixed amount upfront for unlimited analyses. Contracts with customers typically include a fixed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amount of consideration and are generally cancellable with 30 days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written notice.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transaction price consists of fixed consideration and variable consideration related to utilization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volume rebates for reimbursement claims from government and commercial payors which are known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determinable based on the number of analyses delivered within each quarterly period. The transaction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price (inclusive of both fixed consideration and variable consideration that is not constrained) is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recognized as revenue when control transfers. The Company uses a portfolio approach to estimate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variable consideration using the expected value method.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Unbilled Receivables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Unbilled receivables generally represent revenue in which the Company has satisfied its performance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obligation prior to invoicing. The Company records unbilled receivables within accounts receivable, net 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condensed consolidated balance sheets, based on the Company’s unconditional right to payment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end of the applicable period.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Contract Costs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Costs associated with product revenue include a flat rate commission per analysis and new customer site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commissions as well as implementation and onboarding costs. The Company capitalizes new customer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site commissions and certain contract fulfillment costs, which include implementation and onboarding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costs that are considered to be incremental to the acquisition of new customer contracts. Capitalized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contract fulfillment costs are amortized over an estimated period of benefit of two 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capitalized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new site commission costs are amortized over an estimated period of benefit of three years.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estimated period of benefit is determined by evaluating average customer life, the nature of the related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benefit, and the specific facts and circumstances of the arrangements. The Company evaluates these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assumptions at least annually and periodically reviews whether events or changes in circumstances have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occurred that could impact the period of benefit.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expenses flat rate commissions when incurred as commensurate with its usage-driven fee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revenue recognition and amortizes capitalized new customer site commissions to selling, general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administrative expense in the condensed consolidated statements of operations and comprehensive loss.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amortizes capitalized contract fulfillment costs to cost of revenue in the condensed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consolidated statements of operations and comprehensive loss. Short-term capitalized contract costs 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included in prepaid expenses and other current assets, and the long-term portion is included in other non-</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current assets in the condensed consolidated balance sheets.</w:t>
      </w:r>
      <w:r>
        <w:rPr>
          <w:caps w:val="false"/>
          <w:smallCaps w:val="false"/>
          <w:strike w:val="false"/>
          <w:dstrike w:val="false"/>
          <w:sz w:val="24"/>
          <w:u w:val="none"/>
          <w:effect w:val="none"/>
        </w:rPr>
        <w:t>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Remaining Performance Obligations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Revenue allocated to remaining performance obligations represents the transaction price allocated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performance obligations that are unsatisfied, or partially unsatisfied. It includes contract liabilities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amounts that will be invoiced and recognized as revenue in future periods and does not include contracts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where the customer is not committed. The customer is considered not committed when they are able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terminate for convenience without payment of a substantive penalty under the contract. Additionally, as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practical expedient, the Company has not disclosed the value of unsatisfied performance obligations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contracts with an original expected length of one year or less.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Contract Liabilities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records contract liabilities when billings or payments are received in advance of revenue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recognition from subscription services. The contract liabilities balance is reduced as the revenue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recognition criteria is met, generally within 12 months. Once services are available to customers,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 records amounts due in accounts receivable, net and contract liabilities within accrued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expenses and other current liabilities on the condensed consolidated balance sheets. To the extent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 bills customers in advance of the billing period commencement date, the accounts receivable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corresponding contract liabilities amount are netted to zero on the condensed consolidated balance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sheets, unless such amounts have been paid as of the balance sheet date.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Cost of Revenue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Cost of revenue includes, but is not limited to, personnel and related expenses, stock-based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compensation costs, third-party hosting fees, amortization of capitalized internal-use software,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amortization of contract fulfillment costs as well as royalties associated with technology licenses used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connection with the delivery of the Company’s Heartflow Platform and allocated overhead, including rent,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equipment, depreciation, technology services and utilities, related to the Company’s production team.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role of the production team is to support the Company’s patient case volume revenue by performing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defined quality-related activities on CCTA scans submitted by its customers for analysis. The production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team also supports activities in the Company’s clinical trials and research and development, which 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allocated as research and development expense.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Stock-Based Compensation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accounts for share-based payments at fair value. The grant date fair value of options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granted is measured using the Black-Scholes option pricing model. Option awards vest based on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satisfaction of a service requirement, and stock-based compensation expense is recorded on a straight-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line basis over the applicable service period, which is generally four years. For performance-based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the Company will assess the probability of performance conditions being achieved in each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reporting period. The amount of stock-based compensation expense recognized in any one period related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to performance-based stock options can vary based on the achievement or anticipated achievement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performance conditions. Forfeitures are recognized in the period in which the forfeiture occurs.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accounts for stock-based compensation for restricted stock units at their fair value, based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the closing market price of the Company’s common stock on the date of grant. These costs 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recognized on a straight-line basis over the requisite service period, which is usually the vesting period.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accounts for stock-based compensation for its employee stock purchase plan based on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estimated fair value of the options on the date of grant. The Company estimates the grant date fair value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using the Black-Scholes option pricing model for each purchase period. These costs are recognized on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straight-line basis over the offering period.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Income Taxes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accounts for income taxes under the asset and liability method. Under this method,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deferred tax assets and liabilities are determined based on the temporary differences between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financial statement and tax basis of assets and liabilities using enacted tax rates in effect for the year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which the differences are expected to reverse. As a result of the history of net operating losses,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 has provided for a full valuation allowance against the deferred tax assets for assets that 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not more-likely-than-not to be realized.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applies a comprehensive model for the recognition, measurement, presentation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disclosure in the condensed consolidated financial statements of any uncertain tax positions that have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been taken or are expected to be taken on a tax return using a two-step approach. The first step is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evaluate the tax position taken or expected to be taken in a tax return by determining if the weight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available evidence indicates that it is more likely than not that the tax position will be sustained upon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examination by the relevant taxing authorities, based on the technical merits of the position. For tax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positions that are more likely than not to be sustained upon audit, the second step is to measure the tax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benefit in the financial statements as the largest benefit that has a greater than 50%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likelihood of being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sustained upon settlement. Significant judgment is required to evaluate uncertain tax positions. Changes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facts and circumstances could have a material impact on the Company’s effective tax rate and results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operations. The Company recognizes interest and penalties, if any, related to unrecognized tax benefits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 a component of provision for income taxes in the condensed consolidated statements of operations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comprehensive loss.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Comprehensive Loss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Comprehensive loss is comprised of net loss and foreign currency translation gains and losses.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Foreign Currency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functional currency of the Company’s foreign subsidiaries is the local currency except for HeartFlow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International Sarl, which was the U.S. Dollar. For all non-functional currency balances,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remeasurement of such balances to the functional currency results in either a foreign exchange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transaction gain or loss, which is recorded within other income, net within the condensed consolidated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statements of operations and comprehensive loss.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The Company recognized foreign exchange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transaction loss of $(342,000)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$(587,000)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2024, respectively, and $(95,000)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$(782,000)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2024, respectively. The Company recognized $205,000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$(405,000)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during the three months ended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 and $260,000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$(504,000)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during the nine months ended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respectively, of foreign currency translation gain (loss) in the statements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of comprehensive loss related to foreign subsidiaries which have local functional currencies.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Net Loss Per Share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Basic net loss per common share is calculated by dividing the net loss by the weighted-average number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shares of common stock outstanding during the period, without consideration of potentially dilutive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securities. Diluted net loss per share is computed by dividing the net loss by the weighted-average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number of shares of common stock and potentially dilutive securities outstanding for the period.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purposes of the diluted net loss per share calculation, the redeemable convertible preferred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common stock warrants and stock options are considered to be potentially dilutive securities.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Basic and diluted net loss per share is presented in conformity with the two-class method required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participating securities as the redeemable convertible preferred stock and common stock subject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repurchase are considered participating securities. The Company’s participating securities do not have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contractual obligation to share in the Company’s losses. As such, the net loss is attributed entirely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common stockholders. Diluted net loss per share is the same as basic net loss per share because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effects of potentially dilutive items were anti-dilutive given the Company’s net loss position during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three 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Recent Accounting Pronouncements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From time to time, new accounting pronouncements are issued by the Financial Accounting Standards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Board (“FASB”) or other standard setting bodies and adopted by the Company as of the specified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effective date. The Company qualifies as an “emerging growth company” as defined in the Jumpstart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Business Startups Act of 2012 and has elected not to “opt out” of the extended transition related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complying with new or revised accounting standards, which means that when a standard is issued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revised and it has different application dates for public and nonpublic companies, the Company will adopt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new or revised standard at the time nonpublic companies adopt the new or revised standard and will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do so until such time that the Company either (i) irrevocably elects to “opt out” of such extended transition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period or (ii) no longer qualifies as an emerging growth company. The Company may choose to early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adopt any new or revised accounting standards whenever such early adoption is permitted for nonpublic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companies.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Recent Accounting Pronouncements Not Yet Adopted</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In December 2023, the FASB issued ASU 2023-09, </w:t>
      </w:r>
      <w:r>
        <w:rPr>
          <w:rFonts w:ascii="Arial;sans-serif" w:hAnsi="Arial;sans-serif"/>
          <w:b w:val="false"/>
          <w:i/>
          <w:strike w:val="false"/>
          <w:dstrike w:val="false"/>
          <w:sz w:val="20"/>
          <w:u w:val="none"/>
          <w:effect w:val="none"/>
        </w:rPr>
        <w:t xml:space="preserve">Income Taxes (Topic 740): Improvements to Income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Tax Disclosures</w:t>
      </w:r>
      <w:r>
        <w:rPr>
          <w:rFonts w:ascii="Arial;sans-serif" w:hAnsi="Arial;sans-serif"/>
          <w:b w:val="false"/>
          <w:i w:val="false"/>
          <w:caps w:val="false"/>
          <w:smallCaps w:val="false"/>
          <w:strike w:val="false"/>
          <w:dstrike w:val="false"/>
          <w:sz w:val="20"/>
          <w:u w:val="none"/>
          <w:effect w:val="none"/>
        </w:rPr>
        <w:t xml:space="preserve">, which requires enhanced income tax disclosures, including specific categories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disaggregation of information in the effective tax rate reconciliation, disaggregated information related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income taxes paid, income or loss from continuing operations before income tax expense or benefit,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income tax expense or benefit from continuing operations. This guidance is effective for annual periods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beginning after December 15, 2024. The adoption of ASU 2023-09 is expected to have a disclosure only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impact on the Company’s consolidated financial statements for the year ended December 31, 2025.</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In November 2024, the FASB issued ASU 2024-03, </w:t>
      </w:r>
      <w:r>
        <w:rPr>
          <w:rFonts w:ascii="Arial;sans-serif" w:hAnsi="Arial;sans-serif"/>
          <w:b w:val="false"/>
          <w:i/>
          <w:strike w:val="false"/>
          <w:dstrike w:val="false"/>
          <w:sz w:val="20"/>
          <w:u w:val="none"/>
          <w:effect w:val="none"/>
        </w:rPr>
        <w:t xml:space="preserve">Income Statement – Reporting Comprehensive </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 xml:space="preserve">Income – Expense Disaggregation Disclosures (Subtopic 220-40): Disaggregation of Income Statement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Expenses</w:t>
      </w:r>
      <w:r>
        <w:rPr>
          <w:rFonts w:ascii="Arial;sans-serif" w:hAnsi="Arial;sans-serif"/>
          <w:b w:val="false"/>
          <w:i w:val="false"/>
          <w:caps w:val="false"/>
          <w:smallCaps w:val="false"/>
          <w:strike w:val="false"/>
          <w:dstrike w:val="false"/>
          <w:sz w:val="20"/>
          <w:u w:val="none"/>
          <w:effect w:val="none"/>
        </w:rPr>
        <w:t xml:space="preserve">, which requires more detailed disclosures about specified categories of expenses (including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employee compensation, depreciation, and amortization) included in certain expense captions presented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the face of the income statement. This ASU is effective for fiscal years beginning after December 15,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2026, and for interim periods within fiscal years beginning after December 15, 2027, with early adoption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permitted. The amendments may be applied either (i) prospectively to financial statements issued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reporting periods after the effective date of this ASU or (ii) retrospectively to all prior periods presented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financial statements. The Company is currently evaluating the impact of this pronouncement on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disclosures in its consolidated financial statements.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In July 2025, the FASB issued ASU 2025-05, </w:t>
      </w:r>
      <w:r>
        <w:rPr>
          <w:rFonts w:ascii="Arial;sans-serif" w:hAnsi="Arial;sans-serif"/>
          <w:b w:val="false"/>
          <w:i/>
          <w:strike w:val="false"/>
          <w:dstrike w:val="false"/>
          <w:sz w:val="20"/>
          <w:u w:val="none"/>
          <w:effect w:val="none"/>
        </w:rPr>
        <w:t xml:space="preserve">Financial Instruments - Credit Losses (Topic 326):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Measurement of Credit Losses for Accounts Receivable and Contract Assets</w:t>
      </w:r>
      <w:r>
        <w:rPr>
          <w:rFonts w:ascii="Arial;sans-serif" w:hAnsi="Arial;sans-serif"/>
          <w:b w:val="false"/>
          <w:i w:val="false"/>
          <w:caps w:val="false"/>
          <w:smallCaps w:val="false"/>
          <w:strike w:val="false"/>
          <w:dstrike w:val="false"/>
          <w:sz w:val="20"/>
          <w:u w:val="none"/>
          <w:effect w:val="none"/>
        </w:rPr>
        <w:t xml:space="preserve">, which provides a practical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expedient related to the estimation of expected credit losses for current accounts receivable and current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contract assets that arise from transactions accounted for under Accounting Standards Codification Topic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606</w:t>
      </w:r>
      <w:r>
        <w:rPr>
          <w:rFonts w:ascii="Arial;sans-serif" w:hAnsi="Arial;sans-serif"/>
          <w:b w:val="false"/>
          <w:i/>
          <w:strike w:val="false"/>
          <w:dstrike w:val="false"/>
          <w:sz w:val="20"/>
          <w:u w:val="none"/>
          <w:effect w:val="none"/>
        </w:rPr>
        <w:t xml:space="preserve">: Revenue from Contracts with Customers. </w:t>
      </w:r>
      <w:r>
        <w:rPr>
          <w:rFonts w:ascii="Arial;sans-serif" w:hAnsi="Arial;sans-serif"/>
          <w:b w:val="false"/>
          <w:i w:val="false"/>
          <w:caps w:val="false"/>
          <w:smallCaps w:val="false"/>
          <w:strike w:val="false"/>
          <w:dstrike w:val="false"/>
          <w:sz w:val="20"/>
          <w:u w:val="none"/>
          <w:effect w:val="none"/>
        </w:rPr>
        <w:t xml:space="preserve">The practical expedient permits an entity to assume that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current conditions as of the balance sheet date do not change for the remaining life of the current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accounts receivable and current contract assets. This ASU is effective for fiscal years beginning after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December 15, 2025 on a prospective basis, and for interim periods within fiscal years beginning after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December 15, 2025, with early adoption permitted. The Company is currently evaluating the impact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adoption of this pronouncement on its consolidated financial statements.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In September 2025, the FASB issued ASU 2025-06, </w:t>
      </w:r>
      <w:r>
        <w:rPr>
          <w:rFonts w:ascii="Arial;sans-serif" w:hAnsi="Arial;sans-serif"/>
          <w:b w:val="false"/>
          <w:i/>
          <w:strike w:val="false"/>
          <w:dstrike w:val="false"/>
          <w:sz w:val="20"/>
          <w:u w:val="none"/>
          <w:effect w:val="none"/>
        </w:rPr>
        <w:t xml:space="preserve">Intangibles - Goodwill and Other - Internal-Use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Software (Subtopic 350-40): Targeted Improvements to the Accounting for Internal-Use Software</w:t>
      </w:r>
      <w:r>
        <w:rPr>
          <w:rFonts w:ascii="Arial;sans-serif" w:hAnsi="Arial;sans-serif"/>
          <w:b w:val="false"/>
          <w:i w:val="false"/>
          <w:caps w:val="false"/>
          <w:smallCaps w:val="false"/>
          <w:strike w:val="false"/>
          <w:dstrike w:val="false"/>
          <w:sz w:val="20"/>
          <w:u w:val="none"/>
          <w:effect w:val="none"/>
        </w:rPr>
        <w:t xml:space="preserve">, which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amends certain aspects of the accounting for and disclosure of software costs under ASC 350-40 by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removing all references to project development stages and provides new guidance on how to evaluate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whether the probable-to-complete recognition threshold has been met to begin capitalizing software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costs. This ASU is effective for fiscal years beginning after December 15, 2027 and for interim periods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within fiscal years beginning after December 15, 2027, with early adoption permitted. The ASU may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applied on a prospective, retrospective or modified prospective basis. The Company is currently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evaluating the impact of the adoption of this pronouncement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3. Revenue and Contract Balances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Disaggregation of Revenue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following table summarizes total revenue from customers by geographic region (in thousands):</w:t>
      </w:r>
    </w:p>
    <w:tbl>
      <w:tblPr>
        <w:tblW w:w="8050" w:type="dxa"/>
        <w:jc w:val="left"/>
        <w:tblInd w:w="0" w:type="dxa"/>
        <w:tblLayout w:type="fixed"/>
        <w:tblCellMar>
          <w:top w:w="28" w:type="dxa"/>
          <w:left w:w="28" w:type="dxa"/>
          <w:bottom w:w="28" w:type="dxa"/>
          <w:right w:w="28" w:type="dxa"/>
        </w:tblCellMar>
      </w:tblPr>
      <w:tblGrid>
        <w:gridCol w:w="4231"/>
        <w:gridCol w:w="870"/>
        <w:gridCol w:w="119"/>
        <w:gridCol w:w="870"/>
        <w:gridCol w:w="109"/>
        <w:gridCol w:w="901"/>
        <w:gridCol w:w="109"/>
        <w:gridCol w:w="841"/>
      </w:tblGrid>
      <w:tr>
        <w:trPr/>
        <w:tc>
          <w:tcPr>
            <w:tcW w:w="4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2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4231" w:type="dxa"/>
            <w:tcBorders/>
            <w:vAlign w:val="center"/>
          </w:tcPr>
          <w:p>
            <w:pPr>
              <w:pStyle w:val="TableContents"/>
              <w:bidi w:val="0"/>
              <w:spacing w:before="0" w:after="283"/>
              <w:jc w:val="left"/>
              <w:rPr>
                <w:sz w:val="4"/>
                <w:szCs w:val="4"/>
              </w:rPr>
            </w:pPr>
            <w:r>
              <w:rPr>
                <w:sz w:val="4"/>
                <w:szCs w:val="4"/>
              </w:rPr>
            </w:r>
          </w:p>
        </w:tc>
        <w:tc>
          <w:tcPr>
            <w:tcW w:w="870"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42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United States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$42,946</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$117,230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$82,970</w:t>
            </w:r>
          </w:p>
        </w:tc>
      </w:tr>
      <w:tr>
        <w:trPr/>
        <w:tc>
          <w:tcPr>
            <w:tcW w:w="42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United Kingdom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70"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1,519</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4,533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3,802</w:t>
            </w:r>
          </w:p>
        </w:tc>
      </w:tr>
      <w:tr>
        <w:trPr/>
        <w:tc>
          <w:tcPr>
            <w:tcW w:w="42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Japan</w:t>
            </w:r>
            <w:r>
              <w:rPr>
                <w:rFonts w:ascii="Times New Roman;serif" w:hAnsi="Times New Roman;serif"/>
                <w:b w:val="false"/>
                <w:i w:val="false"/>
                <w:caps w:val="false"/>
                <w:smallCaps w:val="false"/>
                <w:strike w:val="false"/>
                <w:dstrike w:val="false"/>
                <w:color w:val="B4B4B4"/>
                <w:sz w:val="20"/>
                <w:u w:val="none"/>
                <w:effect w:val="none"/>
              </w:rPr>
              <w:t>.............................................................................</w:t>
            </w:r>
          </w:p>
        </w:tc>
        <w:tc>
          <w:tcPr>
            <w:tcW w:w="870"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1,462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3,100</w:t>
            </w:r>
          </w:p>
        </w:tc>
      </w:tr>
      <w:tr>
        <w:trPr/>
        <w:tc>
          <w:tcPr>
            <w:tcW w:w="42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Rest of Europe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7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349</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959</w:t>
            </w:r>
          </w:p>
        </w:tc>
      </w:tr>
      <w:tr>
        <w:trPr/>
        <w:tc>
          <w:tcPr>
            <w:tcW w:w="42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7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$46,276</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$32,934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$126,904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$90,831</w:t>
            </w:r>
          </w:p>
        </w:tc>
      </w:tr>
      <w:tr>
        <w:trPr/>
        <w:tc>
          <w:tcPr>
            <w:tcW w:w="42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Revenues by geography are determined based on the region of the Company’s contracting entity, which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may be different than the region of the customer.</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Contract Balances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Unbilled receivables included within accounts receivable on the condensed consolidated balance sheets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$224,000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$574,000, respectively.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provides the breakdown of capitalized contract costs on the condensed consolidated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balance sheets (in thousands):</w:t>
      </w:r>
    </w:p>
    <w:tbl>
      <w:tblPr>
        <w:tblW w:w="8647" w:type="dxa"/>
        <w:jc w:val="left"/>
        <w:tblInd w:w="0" w:type="dxa"/>
        <w:tblLayout w:type="fixed"/>
        <w:tblCellMar>
          <w:top w:w="28" w:type="dxa"/>
          <w:left w:w="28" w:type="dxa"/>
          <w:bottom w:w="28" w:type="dxa"/>
          <w:right w:w="28" w:type="dxa"/>
        </w:tblCellMar>
      </w:tblPr>
      <w:tblGrid>
        <w:gridCol w:w="5431"/>
        <w:gridCol w:w="1756"/>
        <w:gridCol w:w="109"/>
        <w:gridCol w:w="1351"/>
      </w:tblGrid>
      <w:tr>
        <w:trPr/>
        <w:tc>
          <w:tcPr>
            <w:tcW w:w="543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4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Year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431" w:type="dxa"/>
            <w:tcBorders/>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4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Balance at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$2,941</w:t>
            </w:r>
          </w:p>
        </w:tc>
      </w:tr>
      <w:tr>
        <w:trPr/>
        <w:tc>
          <w:tcPr>
            <w:tcW w:w="54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 costs capitalized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7,188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6,952</w:t>
            </w:r>
          </w:p>
        </w:tc>
      </w:tr>
      <w:tr>
        <w:trPr/>
        <w:tc>
          <w:tcPr>
            <w:tcW w:w="54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 costs amortized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(3,739)</w:t>
            </w:r>
          </w:p>
        </w:tc>
      </w:tr>
      <w:tr>
        <w:trPr/>
        <w:tc>
          <w:tcPr>
            <w:tcW w:w="54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Balance at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$6,154</w:t>
            </w:r>
          </w:p>
        </w:tc>
      </w:tr>
      <w:tr>
        <w:trPr/>
        <w:tc>
          <w:tcPr>
            <w:tcW w:w="54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provides the breakdown of contract liabilities included within accrued expenses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other current liabilities on the condensed consolidated balance sheets (in thousands):</w:t>
      </w:r>
    </w:p>
    <w:tbl>
      <w:tblPr>
        <w:tblW w:w="8722" w:type="dxa"/>
        <w:jc w:val="left"/>
        <w:tblInd w:w="0" w:type="dxa"/>
        <w:tblLayout w:type="fixed"/>
        <w:tblCellMar>
          <w:top w:w="28" w:type="dxa"/>
          <w:left w:w="28" w:type="dxa"/>
          <w:bottom w:w="28" w:type="dxa"/>
          <w:right w:w="28" w:type="dxa"/>
        </w:tblCellMar>
      </w:tblPr>
      <w:tblGrid>
        <w:gridCol w:w="5506"/>
        <w:gridCol w:w="1756"/>
        <w:gridCol w:w="109"/>
        <w:gridCol w:w="1351"/>
      </w:tblGrid>
      <w:tr>
        <w:trPr/>
        <w:tc>
          <w:tcPr>
            <w:tcW w:w="550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50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Year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506" w:type="dxa"/>
            <w:tcBorders/>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50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Balance at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$498</w:t>
            </w:r>
          </w:p>
        </w:tc>
      </w:tr>
      <w:tr>
        <w:trPr/>
        <w:tc>
          <w:tcPr>
            <w:tcW w:w="550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 liabilities added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50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 liabilities recognized as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(316)</w:t>
            </w:r>
          </w:p>
        </w:tc>
      </w:tr>
      <w:tr>
        <w:trPr/>
        <w:tc>
          <w:tcPr>
            <w:tcW w:w="550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Balance at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$182</w:t>
            </w:r>
          </w:p>
        </w:tc>
      </w:tr>
      <w:tr>
        <w:trPr/>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4. Fair Value Measurement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summarizes the Company’s financial assets and liabilities measured at fair value on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recurring basis by level within the fair value hierarchy (in thousands):</w:t>
      </w:r>
    </w:p>
    <w:tbl>
      <w:tblPr>
        <w:tblW w:w="7532" w:type="dxa"/>
        <w:jc w:val="left"/>
        <w:tblInd w:w="0" w:type="dxa"/>
        <w:tblLayout w:type="fixed"/>
        <w:tblCellMar>
          <w:top w:w="28" w:type="dxa"/>
          <w:left w:w="28" w:type="dxa"/>
          <w:bottom w:w="28" w:type="dxa"/>
          <w:right w:w="28" w:type="dxa"/>
        </w:tblCellMar>
      </w:tblPr>
      <w:tblGrid>
        <w:gridCol w:w="3841"/>
        <w:gridCol w:w="901"/>
        <w:gridCol w:w="109"/>
        <w:gridCol w:w="721"/>
        <w:gridCol w:w="109"/>
        <w:gridCol w:w="796"/>
        <w:gridCol w:w="109"/>
        <w:gridCol w:w="946"/>
      </w:tblGrid>
      <w:tr>
        <w:trPr/>
        <w:tc>
          <w:tcPr>
            <w:tcW w:w="384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38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 2025</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Level 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w:t>
            </w:r>
          </w:p>
        </w:tc>
      </w:tr>
      <w:tr>
        <w:trPr/>
        <w:tc>
          <w:tcPr>
            <w:tcW w:w="3841" w:type="dxa"/>
            <w:tcBorders/>
            <w:shd w:fill="CCEEFF" w:val="cle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Assets</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 xml:space="preserve">Money market funds included in cash and </w:t>
            </w:r>
          </w:p>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$262,997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$262,997</w:t>
            </w:r>
          </w:p>
        </w:tc>
      </w:tr>
      <w:tr>
        <w:trPr/>
        <w:tc>
          <w:tcPr>
            <w:tcW w:w="384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$262,997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$262,997</w:t>
            </w:r>
          </w:p>
        </w:tc>
      </w:tr>
      <w:tr>
        <w:trPr/>
        <w:tc>
          <w:tcPr>
            <w:tcW w:w="3841" w:type="dxa"/>
            <w:tcBorders/>
            <w:shd w:fill="FFFFFF" w:val="cle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 xml:space="preserve">Liabilities </w:t>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Common stock warrant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$55,421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$55,421</w:t>
            </w:r>
          </w:p>
        </w:tc>
      </w:tr>
      <w:tr>
        <w:trPr/>
        <w:tc>
          <w:tcPr>
            <w:tcW w:w="38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$55,421</w:t>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7322" w:type="dxa"/>
        <w:jc w:val="left"/>
        <w:tblInd w:w="0" w:type="dxa"/>
        <w:tblLayout w:type="fixed"/>
        <w:tblCellMar>
          <w:top w:w="28" w:type="dxa"/>
          <w:left w:w="28" w:type="dxa"/>
          <w:bottom w:w="28" w:type="dxa"/>
          <w:right w:w="28" w:type="dxa"/>
        </w:tblCellMar>
      </w:tblPr>
      <w:tblGrid>
        <w:gridCol w:w="3841"/>
        <w:gridCol w:w="796"/>
        <w:gridCol w:w="109"/>
        <w:gridCol w:w="721"/>
        <w:gridCol w:w="109"/>
        <w:gridCol w:w="796"/>
        <w:gridCol w:w="109"/>
        <w:gridCol w:w="841"/>
      </w:tblGrid>
      <w:tr>
        <w:trPr/>
        <w:tc>
          <w:tcPr>
            <w:tcW w:w="384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84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 2024</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Level 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Total</w:t>
            </w:r>
          </w:p>
        </w:tc>
      </w:tr>
      <w:tr>
        <w:trPr/>
        <w:tc>
          <w:tcPr>
            <w:tcW w:w="3841" w:type="dxa"/>
            <w:tcBorders/>
            <w:shd w:fill="CCEEFF" w:val="cle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Assets</w:t>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Money market funds included in cash and </w:t>
            </w:r>
          </w:p>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$36,882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$36,882</w:t>
            </w:r>
          </w:p>
        </w:tc>
      </w:tr>
      <w:tr>
        <w:trPr/>
        <w:tc>
          <w:tcPr>
            <w:tcW w:w="384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9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$36,882</w:t>
            </w:r>
          </w:p>
        </w:tc>
      </w:tr>
      <w:tr>
        <w:trPr/>
        <w:tc>
          <w:tcPr>
            <w:tcW w:w="3841" w:type="dxa"/>
            <w:tcBorders/>
            <w:shd w:fill="FFFFFF" w:val="cle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 xml:space="preserve">Liabilities </w:t>
            </w:r>
          </w:p>
        </w:tc>
        <w:tc>
          <w:tcPr>
            <w:tcW w:w="79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Common stock warrant liability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$20,835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$20,835</w:t>
            </w:r>
          </w:p>
        </w:tc>
      </w:tr>
      <w:tr>
        <w:trPr/>
        <w:tc>
          <w:tcPr>
            <w:tcW w:w="384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$20,835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$20,835</w:t>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tables present a reconciliation of the Company’s financial liabilities measured at fair value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using significant unobservable inputs (Level 3)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change in fair value (in thousands):</w:t>
      </w:r>
    </w:p>
    <w:tbl>
      <w:tblPr>
        <w:tblW w:w="8552" w:type="dxa"/>
        <w:jc w:val="left"/>
        <w:tblInd w:w="0" w:type="dxa"/>
        <w:tblLayout w:type="fixed"/>
        <w:tblCellMar>
          <w:top w:w="28" w:type="dxa"/>
          <w:left w:w="28" w:type="dxa"/>
          <w:bottom w:w="28" w:type="dxa"/>
          <w:right w:w="28" w:type="dxa"/>
        </w:tblCellMar>
      </w:tblPr>
      <w:tblGrid>
        <w:gridCol w:w="7576"/>
        <w:gridCol w:w="976"/>
      </w:tblGrid>
      <w:tr>
        <w:trPr/>
        <w:tc>
          <w:tcPr>
            <w:tcW w:w="75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757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Common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Stock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Warrant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Liability</w:t>
            </w:r>
          </w:p>
        </w:tc>
      </w:tr>
      <w:tr>
        <w:trPr/>
        <w:tc>
          <w:tcPr>
            <w:tcW w:w="75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Fair value as of January 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$4,440</w:t>
            </w:r>
          </w:p>
        </w:tc>
      </w:tr>
      <w:tr>
        <w:trPr/>
        <w:tc>
          <w:tcPr>
            <w:tcW w:w="75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Change in 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16,395</w:t>
            </w:r>
          </w:p>
        </w:tc>
      </w:tr>
      <w:tr>
        <w:trPr/>
        <w:tc>
          <w:tcPr>
            <w:tcW w:w="75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Fair value as of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20,835</w:t>
            </w:r>
          </w:p>
        </w:tc>
      </w:tr>
      <w:tr>
        <w:trPr/>
        <w:tc>
          <w:tcPr>
            <w:tcW w:w="75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Change in 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34,586</w:t>
            </w:r>
          </w:p>
        </w:tc>
      </w:tr>
      <w:tr>
        <w:trPr/>
        <w:tc>
          <w:tcPr>
            <w:tcW w:w="75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Fair value as of September 30,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$55,421</w:t>
            </w:r>
          </w:p>
        </w:tc>
      </w:tr>
      <w:tr>
        <w:trPr/>
        <w:tc>
          <w:tcPr>
            <w:tcW w:w="75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determining the fair value of the common stock warrant liability, the Company used the Black-Scholes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 pricing model to estimate the fair value using unobservable inputs including the expected term,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expected volatility, risk-free interest rate and dividend yield (see Note 12).</w:t>
      </w:r>
    </w:p>
    <w:tbl>
      <w:tblPr>
        <w:tblW w:w="8732" w:type="dxa"/>
        <w:jc w:val="left"/>
        <w:tblInd w:w="0" w:type="dxa"/>
        <w:tblLayout w:type="fixed"/>
        <w:tblCellMar>
          <w:top w:w="28" w:type="dxa"/>
          <w:left w:w="28" w:type="dxa"/>
          <w:bottom w:w="28" w:type="dxa"/>
          <w:right w:w="28" w:type="dxa"/>
        </w:tblCellMar>
      </w:tblPr>
      <w:tblGrid>
        <w:gridCol w:w="7621"/>
        <w:gridCol w:w="1111"/>
      </w:tblGrid>
      <w:tr>
        <w:trPr/>
        <w:tc>
          <w:tcPr>
            <w:tcW w:w="762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762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Term Loan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Derivative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Liability</w:t>
            </w:r>
          </w:p>
        </w:tc>
      </w:tr>
      <w:tr>
        <w:trPr/>
        <w:tc>
          <w:tcPr>
            <w:tcW w:w="762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Fair value as of January 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$903</w:t>
            </w:r>
          </w:p>
        </w:tc>
      </w:tr>
      <w:tr>
        <w:trPr/>
        <w:tc>
          <w:tcPr>
            <w:tcW w:w="762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Change in 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222</w:t>
            </w:r>
          </w:p>
        </w:tc>
      </w:tr>
      <w:tr>
        <w:trPr/>
        <w:tc>
          <w:tcPr>
            <w:tcW w:w="762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Derecognition in connection with debt refinancing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(1,125)</w:t>
            </w:r>
          </w:p>
        </w:tc>
      </w:tr>
      <w:tr>
        <w:trPr/>
        <w:tc>
          <w:tcPr>
            <w:tcW w:w="762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Fair value as of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76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determining the fair value of the term loan derivative liability, a two-step valuation approach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employed, which included a probability-weighted scenario valuation method, the Black-Scholes-Merton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method, and the option pricing method, using unobservable inputs (see Note 13), which are classified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Level 3 within the fair value hierarchy, and then comparing the instrument’s value with and without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derivative features to estimate their combined fair value. The debt instrument is carried at amortized cost,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which approximates its fair value.</w:t>
      </w:r>
    </w:p>
    <w:tbl>
      <w:tblPr>
        <w:tblW w:w="9152" w:type="dxa"/>
        <w:jc w:val="left"/>
        <w:tblInd w:w="0" w:type="dxa"/>
        <w:tblLayout w:type="fixed"/>
        <w:tblCellMar>
          <w:top w:w="28" w:type="dxa"/>
          <w:left w:w="28" w:type="dxa"/>
          <w:bottom w:w="28" w:type="dxa"/>
          <w:right w:w="28" w:type="dxa"/>
        </w:tblCellMar>
      </w:tblPr>
      <w:tblGrid>
        <w:gridCol w:w="6991"/>
        <w:gridCol w:w="2161"/>
      </w:tblGrid>
      <w:tr>
        <w:trPr/>
        <w:tc>
          <w:tcPr>
            <w:tcW w:w="699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69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 Convertible Notes</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Derivative Liability</w:t>
            </w:r>
          </w:p>
        </w:tc>
      </w:tr>
      <w:tr>
        <w:trPr/>
        <w:tc>
          <w:tcPr>
            <w:tcW w:w="699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Fair value as of January 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21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699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Recognition in connection with convertible notes offering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21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31,900</w:t>
            </w:r>
          </w:p>
        </w:tc>
      </w:tr>
      <w:tr>
        <w:trPr/>
        <w:tc>
          <w:tcPr>
            <w:tcW w:w="699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Change in 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21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(7,311)</w:t>
            </w:r>
          </w:p>
        </w:tc>
      </w:tr>
      <w:tr>
        <w:trPr/>
        <w:tc>
          <w:tcPr>
            <w:tcW w:w="699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Derecognition upon conversion into common stock upon IPO</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21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(24,589)</w:t>
            </w:r>
          </w:p>
        </w:tc>
      </w:tr>
      <w:tr>
        <w:trPr/>
        <w:tc>
          <w:tcPr>
            <w:tcW w:w="699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Fair value as of September 30,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21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69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determining the fair value of the convertible notes derivative liability, a two-step valuation approach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employed, which included a probability-weighted scenario valuation method, the Monte Carlo Simulation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method, and the option pricing method, using unobservable inputs (see Note 13), which are classified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Level 3 within the fair value hierarchy, and then comparing the instrument’s value with and without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derivative features to estimate their combined fair value. The debt instrument is carried at amortized cost,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which approximates its fair value.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5. Balance Sheet Components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Allowance for Credit Losses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following table presents a reconciliation of the allowance for credit losses (in thousands):</w:t>
      </w:r>
    </w:p>
    <w:tbl>
      <w:tblPr>
        <w:tblW w:w="8587" w:type="dxa"/>
        <w:jc w:val="left"/>
        <w:tblInd w:w="0" w:type="dxa"/>
        <w:tblLayout w:type="fixed"/>
        <w:tblCellMar>
          <w:top w:w="28" w:type="dxa"/>
          <w:left w:w="28" w:type="dxa"/>
          <w:bottom w:w="28" w:type="dxa"/>
          <w:right w:w="28" w:type="dxa"/>
        </w:tblCellMar>
      </w:tblPr>
      <w:tblGrid>
        <w:gridCol w:w="5371"/>
        <w:gridCol w:w="1756"/>
        <w:gridCol w:w="109"/>
        <w:gridCol w:w="1351"/>
      </w:tblGrid>
      <w:tr>
        <w:trPr/>
        <w:tc>
          <w:tcPr>
            <w:tcW w:w="537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37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Year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371" w:type="dxa"/>
            <w:tcBorders/>
            <w:vAlign w:val="center"/>
          </w:tcPr>
          <w:p>
            <w:pPr>
              <w:pStyle w:val="TableContents"/>
              <w:bidi w:val="0"/>
              <w:spacing w:before="0" w:after="283"/>
              <w:jc w:val="left"/>
              <w:rPr>
                <w:sz w:val="4"/>
                <w:szCs w:val="4"/>
              </w:rPr>
            </w:pPr>
            <w:r>
              <w:rPr>
                <w:sz w:val="4"/>
                <w:szCs w:val="4"/>
              </w:rPr>
            </w:r>
          </w:p>
        </w:tc>
        <w:tc>
          <w:tcPr>
            <w:tcW w:w="17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3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Balance at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$1,058</w:t>
            </w:r>
          </w:p>
        </w:tc>
      </w:tr>
      <w:tr>
        <w:trPr/>
        <w:tc>
          <w:tcPr>
            <w:tcW w:w="53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Additions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3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Write-offs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(244)</w:t>
            </w:r>
          </w:p>
        </w:tc>
      </w:tr>
      <w:tr>
        <w:trPr/>
        <w:tc>
          <w:tcPr>
            <w:tcW w:w="53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Balance at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7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$814</w:t>
            </w:r>
          </w:p>
        </w:tc>
      </w:tr>
      <w:tr>
        <w:trPr/>
        <w:tc>
          <w:tcPr>
            <w:tcW w:w="53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Prepaid Expenses and Other Current Assets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Prepaid expenses and other current assets are comprised of the following (in thousands):</w:t>
      </w:r>
    </w:p>
    <w:tbl>
      <w:tblPr>
        <w:tblW w:w="8272" w:type="dxa"/>
        <w:jc w:val="left"/>
        <w:tblInd w:w="0" w:type="dxa"/>
        <w:tblLayout w:type="fixed"/>
        <w:tblCellMar>
          <w:top w:w="28" w:type="dxa"/>
          <w:left w:w="28" w:type="dxa"/>
          <w:bottom w:w="28" w:type="dxa"/>
          <w:right w:w="28" w:type="dxa"/>
        </w:tblCellMar>
      </w:tblPr>
      <w:tblGrid>
        <w:gridCol w:w="5461"/>
        <w:gridCol w:w="1351"/>
        <w:gridCol w:w="109"/>
        <w:gridCol w:w="1351"/>
      </w:tblGrid>
      <w:tr>
        <w:trPr/>
        <w:tc>
          <w:tcPr>
            <w:tcW w:w="54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46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461"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46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Prepaid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$3,017</w:t>
            </w:r>
          </w:p>
        </w:tc>
      </w:tr>
      <w:tr>
        <w:trPr/>
        <w:tc>
          <w:tcPr>
            <w:tcW w:w="546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 costs, current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2,453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2,453</w:t>
            </w:r>
          </w:p>
        </w:tc>
      </w:tr>
      <w:tr>
        <w:trPr/>
        <w:tc>
          <w:tcPr>
            <w:tcW w:w="546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662</w:t>
            </w:r>
          </w:p>
        </w:tc>
      </w:tr>
      <w:tr>
        <w:trPr/>
        <w:tc>
          <w:tcPr>
            <w:tcW w:w="546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prepaid expenses and other current assets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$8,761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$6,132</w:t>
            </w:r>
          </w:p>
        </w:tc>
      </w:tr>
      <w:tr>
        <w:trPr/>
        <w:tc>
          <w:tcPr>
            <w:tcW w:w="54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Property and equipment, net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Property and equipment consisted of the following (in thousands):</w:t>
      </w:r>
    </w:p>
    <w:tbl>
      <w:tblPr>
        <w:tblW w:w="8362" w:type="dxa"/>
        <w:jc w:val="left"/>
        <w:tblInd w:w="0" w:type="dxa"/>
        <w:tblLayout w:type="fixed"/>
        <w:tblCellMar>
          <w:top w:w="28" w:type="dxa"/>
          <w:left w:w="28" w:type="dxa"/>
          <w:bottom w:w="28" w:type="dxa"/>
          <w:right w:w="28" w:type="dxa"/>
        </w:tblCellMar>
      </w:tblPr>
      <w:tblGrid>
        <w:gridCol w:w="5551"/>
        <w:gridCol w:w="1351"/>
        <w:gridCol w:w="109"/>
        <w:gridCol w:w="1351"/>
      </w:tblGrid>
      <w:tr>
        <w:trPr/>
        <w:tc>
          <w:tcPr>
            <w:tcW w:w="55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55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551"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5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Property and equipment at cost: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Computer equipment and software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$4,503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$4,489</w:t>
            </w:r>
          </w:p>
        </w:tc>
      </w:tr>
      <w:tr>
        <w:trPr/>
        <w:tc>
          <w:tcPr>
            <w:tcW w:w="555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Furniture, fixtures and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1,233</w:t>
            </w:r>
          </w:p>
        </w:tc>
      </w:tr>
      <w:tr>
        <w:trPr/>
        <w:tc>
          <w:tcPr>
            <w:tcW w:w="555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Capitalized internal-use software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52,606</w:t>
            </w:r>
          </w:p>
        </w:tc>
      </w:tr>
      <w:tr>
        <w:trPr/>
        <w:tc>
          <w:tcPr>
            <w:tcW w:w="555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Leasehold improvements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2,057</w:t>
            </w:r>
          </w:p>
        </w:tc>
      </w:tr>
      <w:tr>
        <w:trPr/>
        <w:tc>
          <w:tcPr>
            <w:tcW w:w="555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Construction in progress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27</w:t>
            </w:r>
          </w:p>
        </w:tc>
      </w:tr>
      <w:tr>
        <w:trPr/>
        <w:tc>
          <w:tcPr>
            <w:tcW w:w="555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Total property and 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60,412</w:t>
            </w:r>
          </w:p>
        </w:tc>
      </w:tr>
      <w:tr>
        <w:trPr/>
        <w:tc>
          <w:tcPr>
            <w:tcW w:w="555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Less: Accumulated 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(55,561)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(51,492)</w:t>
            </w:r>
          </w:p>
        </w:tc>
      </w:tr>
      <w:tr>
        <w:trPr/>
        <w:tc>
          <w:tcPr>
            <w:tcW w:w="555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Property and equipment, net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$7,984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$8,920</w:t>
            </w:r>
          </w:p>
        </w:tc>
      </w:tr>
      <w:tr>
        <w:trPr/>
        <w:tc>
          <w:tcPr>
            <w:tcW w:w="55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capitalized certain internal-use software costs totaling $971,000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$1.3 million, including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stock-based compensation of $6,000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$121,000, related to internal-use software development efforts,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during the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 and $2.5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million and $2.1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million, including stock-based compensation of $17,000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$198,000, during the nine months ended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respectively. Amortization of capitalized internal-use software totaled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$951,000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$761,000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the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respectively, 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$3.0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$1.5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the 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Depreciation and amortization expense related to property and equipment, excluding capitalized internal-</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use software, was $352,000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$413,000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respectively, and $1.1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$885,000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the 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Other Non-Current Assets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Other non-current assets are comprised of the following (in thousands):</w:t>
      </w:r>
    </w:p>
    <w:tbl>
      <w:tblPr>
        <w:tblW w:w="8212" w:type="dxa"/>
        <w:jc w:val="left"/>
        <w:tblInd w:w="0" w:type="dxa"/>
        <w:tblLayout w:type="fixed"/>
        <w:tblCellMar>
          <w:top w:w="28" w:type="dxa"/>
          <w:left w:w="28" w:type="dxa"/>
          <w:bottom w:w="28" w:type="dxa"/>
          <w:right w:w="28" w:type="dxa"/>
        </w:tblCellMar>
      </w:tblPr>
      <w:tblGrid>
        <w:gridCol w:w="5356"/>
        <w:gridCol w:w="1351"/>
        <w:gridCol w:w="109"/>
        <w:gridCol w:w="1396"/>
      </w:tblGrid>
      <w:tr>
        <w:trPr/>
        <w:tc>
          <w:tcPr>
            <w:tcW w:w="53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53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December 31, </w:t>
            </w:r>
          </w:p>
        </w:tc>
      </w:tr>
      <w:tr>
        <w:trPr/>
        <w:tc>
          <w:tcPr>
            <w:tcW w:w="5356"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3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 costs,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$6,681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$3,701</w:t>
            </w:r>
          </w:p>
        </w:tc>
      </w:tr>
      <w:tr>
        <w:trPr/>
        <w:tc>
          <w:tcPr>
            <w:tcW w:w="53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Deferred offering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413</w:t>
            </w:r>
          </w:p>
        </w:tc>
      </w:tr>
      <w:tr>
        <w:trPr/>
        <w:tc>
          <w:tcPr>
            <w:tcW w:w="53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252</w:t>
            </w:r>
          </w:p>
        </w:tc>
      </w:tr>
      <w:tr>
        <w:trPr/>
        <w:tc>
          <w:tcPr>
            <w:tcW w:w="53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other non-current assets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$7,045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$4,366</w:t>
            </w:r>
          </w:p>
        </w:tc>
      </w:tr>
      <w:tr>
        <w:trPr/>
        <w:tc>
          <w:tcPr>
            <w:tcW w:w="53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Accrued Expenses and Other Current Liabilities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Accrued expenses and other current liabilities are comprised of the following (in thousands):</w:t>
      </w:r>
    </w:p>
    <w:tbl>
      <w:tblPr>
        <w:tblW w:w="8362" w:type="dxa"/>
        <w:jc w:val="left"/>
        <w:tblInd w:w="0" w:type="dxa"/>
        <w:tblLayout w:type="fixed"/>
        <w:tblCellMar>
          <w:top w:w="28" w:type="dxa"/>
          <w:left w:w="28" w:type="dxa"/>
          <w:bottom w:w="28" w:type="dxa"/>
          <w:right w:w="28" w:type="dxa"/>
        </w:tblCellMar>
      </w:tblPr>
      <w:tblGrid>
        <w:gridCol w:w="5506"/>
        <w:gridCol w:w="1351"/>
        <w:gridCol w:w="109"/>
        <w:gridCol w:w="1396"/>
      </w:tblGrid>
      <w:tr>
        <w:trPr/>
        <w:tc>
          <w:tcPr>
            <w:tcW w:w="55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550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December 31, </w:t>
            </w:r>
          </w:p>
        </w:tc>
      </w:tr>
      <w:tr>
        <w:trPr/>
        <w:tc>
          <w:tcPr>
            <w:tcW w:w="5506"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50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Accrued payroll and related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$23,057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$18,206</w:t>
            </w:r>
          </w:p>
        </w:tc>
      </w:tr>
      <w:tr>
        <w:trPr/>
        <w:tc>
          <w:tcPr>
            <w:tcW w:w="550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Customer contract and rebate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1,041</w:t>
            </w:r>
          </w:p>
        </w:tc>
      </w:tr>
      <w:tr>
        <w:trPr/>
        <w:tc>
          <w:tcPr>
            <w:tcW w:w="550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Accrued royalty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736</w:t>
            </w:r>
          </w:p>
        </w:tc>
      </w:tr>
      <w:tr>
        <w:trPr/>
        <w:tc>
          <w:tcPr>
            <w:tcW w:w="550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Accrued professional fees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1,672</w:t>
            </w:r>
          </w:p>
        </w:tc>
      </w:tr>
      <w:tr>
        <w:trPr/>
        <w:tc>
          <w:tcPr>
            <w:tcW w:w="550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Accrued clinical trial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1,215</w:t>
            </w:r>
          </w:p>
        </w:tc>
      </w:tr>
      <w:tr>
        <w:trPr/>
        <w:tc>
          <w:tcPr>
            <w:tcW w:w="550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2,449</w:t>
            </w:r>
          </w:p>
        </w:tc>
      </w:tr>
      <w:tr>
        <w:trPr/>
        <w:tc>
          <w:tcPr>
            <w:tcW w:w="550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accrued expenses and other current liabilities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$30,368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$25,319</w:t>
            </w:r>
          </w:p>
        </w:tc>
      </w:tr>
      <w:tr>
        <w:trPr/>
        <w:tc>
          <w:tcPr>
            <w:tcW w:w="55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6. Leases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leases office space in Mountain View, California, San Francisco, California (Refer to Note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18), Santa Rosa, California, Austin, Texas, and Tokyo, Japan.</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Mountain View, California</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August 2021, the Company entered into a facility lease agreement with MV Campus Owner, LLC (the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Landlord”) for approximately 61,000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rentable square feet in Mountain View, California through August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2030. In connection with the lease, the Company established a standby letter of credit for the benefit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Landlord in the amount of $4.3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August 2021, which is classified as non-current restricted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cash on the condensed consolidated balance sheets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December 31, 2024.</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Santa Rosa, California</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In October 2024, the Company entered into an agreement to sublease approximately 4,000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rentable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square feet of office space in Santa Rosa, California for 29 months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commencing on November 1, 2024. 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connection with this sublease, the Company paid a security deposit of $8,000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recorded an ROU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asset and lease liability of $169,000.</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Austin, Texas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January 2023, the Company amended its facility lease agreement in Austin, Texas, which provided for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approximately 26,000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square feet of space, to extend the original lease term which expired in November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with a five-year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renewal option to December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with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renewal option. In September 2025,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 amended the lease for its Austin, Texas facility to extend the lease term an additional 12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months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through December 2026 and recorded an ROU asset and lease liability of $561,000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connection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with the lease extension. A security deposit of $150,000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was recorded as non-current restricted cash as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as current restricted cash as of December 31, 2024, on the condensed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consolidated balance sheets related to this lease.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Tokyo, Japan</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has one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non-cancellable operating lease for its facility in Tokyo, Japan, which was set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expire in November 2024. In April 2024, the Company entered into an agreement to extend the lease for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 additional three 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through November 2027. In connection with the new lease agreement,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Company recorded an ROU asset and lease liability of $420,000.</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Operating lease cost consisted of the following (in thousands):</w:t>
      </w:r>
    </w:p>
    <w:tbl>
      <w:tblPr>
        <w:tblW w:w="7594" w:type="dxa"/>
        <w:jc w:val="left"/>
        <w:tblInd w:w="0" w:type="dxa"/>
        <w:tblLayout w:type="fixed"/>
        <w:tblCellMar>
          <w:top w:w="28" w:type="dxa"/>
          <w:left w:w="28" w:type="dxa"/>
          <w:bottom w:w="28" w:type="dxa"/>
          <w:right w:w="28" w:type="dxa"/>
        </w:tblCellMar>
      </w:tblPr>
      <w:tblGrid>
        <w:gridCol w:w="3826"/>
        <w:gridCol w:w="862"/>
        <w:gridCol w:w="136"/>
        <w:gridCol w:w="862"/>
        <w:gridCol w:w="109"/>
        <w:gridCol w:w="810"/>
        <w:gridCol w:w="127"/>
        <w:gridCol w:w="862"/>
      </w:tblGrid>
      <w:tr>
        <w:trPr/>
        <w:tc>
          <w:tcPr>
            <w:tcW w:w="382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8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3826" w:type="dxa"/>
            <w:tcBorders/>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38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Operating lease 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$1,266</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$3,784</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$3,664</w:t>
            </w:r>
          </w:p>
        </w:tc>
      </w:tr>
      <w:tr>
        <w:trPr/>
        <w:tc>
          <w:tcPr>
            <w:tcW w:w="382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Variable lease 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6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360</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1,016</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1,125</w:t>
            </w:r>
          </w:p>
        </w:tc>
      </w:tr>
      <w:tr>
        <w:trPr/>
        <w:tc>
          <w:tcPr>
            <w:tcW w:w="38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lease 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86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$1,626</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$4,800</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$4,789</w:t>
            </w:r>
          </w:p>
        </w:tc>
      </w:tr>
      <w:tr>
        <w:trPr/>
        <w:tc>
          <w:tcPr>
            <w:tcW w:w="3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Cash paid for amounts included in the measurement of operating lease liabilities was $1.4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$1.4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 and $4.2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$4.0 million, during the 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summarizes the maturities of the aggregate lease payments under the Company’s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operating lease liabilities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(in thousands):</w:t>
      </w:r>
    </w:p>
    <w:tbl>
      <w:tblPr>
        <w:tblW w:w="8931" w:type="dxa"/>
        <w:jc w:val="left"/>
        <w:tblInd w:w="0" w:type="dxa"/>
        <w:tblLayout w:type="fixed"/>
        <w:tblCellMar>
          <w:top w:w="28" w:type="dxa"/>
          <w:left w:w="28" w:type="dxa"/>
          <w:bottom w:w="28" w:type="dxa"/>
          <w:right w:w="28" w:type="dxa"/>
        </w:tblCellMar>
      </w:tblPr>
      <w:tblGrid>
        <w:gridCol w:w="7426"/>
        <w:gridCol w:w="109"/>
        <w:gridCol w:w="1396"/>
      </w:tblGrid>
      <w:tr>
        <w:trPr/>
        <w:tc>
          <w:tcPr>
            <w:tcW w:w="7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742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7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r>
      <w:tr>
        <w:trPr/>
        <w:tc>
          <w:tcPr>
            <w:tcW w:w="7426"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$1,458</w:t>
            </w:r>
          </w:p>
        </w:tc>
      </w:tr>
      <w:tr>
        <w:trPr/>
        <w:tc>
          <w:tcPr>
            <w:tcW w:w="742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5,799</w:t>
            </w:r>
          </w:p>
        </w:tc>
      </w:tr>
      <w:tr>
        <w:trPr/>
        <w:tc>
          <w:tcPr>
            <w:tcW w:w="742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5,186</w:t>
            </w:r>
          </w:p>
        </w:tc>
      </w:tr>
      <w:tr>
        <w:trPr/>
        <w:tc>
          <w:tcPr>
            <w:tcW w:w="742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5,155</w:t>
            </w:r>
          </w:p>
        </w:tc>
      </w:tr>
      <w:tr>
        <w:trPr/>
        <w:tc>
          <w:tcPr>
            <w:tcW w:w="74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2029</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5,309</w:t>
            </w:r>
          </w:p>
        </w:tc>
      </w:tr>
      <w:tr>
        <w:trPr/>
        <w:tc>
          <w:tcPr>
            <w:tcW w:w="742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Thereafter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3,646</w:t>
            </w:r>
          </w:p>
        </w:tc>
      </w:tr>
      <w:tr>
        <w:trPr/>
        <w:tc>
          <w:tcPr>
            <w:tcW w:w="74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minimum lease payments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26,553</w:t>
            </w:r>
          </w:p>
        </w:tc>
      </w:tr>
      <w:tr>
        <w:trPr/>
        <w:tc>
          <w:tcPr>
            <w:tcW w:w="742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Less: Amount of lease payments representing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4,764</w:t>
            </w:r>
          </w:p>
        </w:tc>
      </w:tr>
      <w:tr>
        <w:trPr/>
        <w:tc>
          <w:tcPr>
            <w:tcW w:w="74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Present value of future minimum lease payments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$21,789</w:t>
            </w:r>
          </w:p>
        </w:tc>
      </w:tr>
      <w:tr>
        <w:trPr/>
        <w:tc>
          <w:tcPr>
            <w:tcW w:w="742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Less: current portion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5,523</w:t>
            </w:r>
          </w:p>
        </w:tc>
      </w:tr>
      <w:tr>
        <w:trPr/>
        <w:tc>
          <w:tcPr>
            <w:tcW w:w="742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Operating lease liabilities, net of current portion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$16,266</w:t>
            </w:r>
          </w:p>
        </w:tc>
      </w:tr>
      <w:tr>
        <w:trPr/>
        <w:tc>
          <w:tcPr>
            <w:tcW w:w="74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summarizes additional information related to the Company’s operating leases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thousands, except weighted-average data):</w:t>
      </w:r>
    </w:p>
    <w:tbl>
      <w:tblPr>
        <w:tblW w:w="8482" w:type="dxa"/>
        <w:jc w:val="left"/>
        <w:tblInd w:w="0" w:type="dxa"/>
        <w:tblLayout w:type="fixed"/>
        <w:tblCellMar>
          <w:top w:w="28" w:type="dxa"/>
          <w:left w:w="28" w:type="dxa"/>
          <w:bottom w:w="28" w:type="dxa"/>
          <w:right w:w="28" w:type="dxa"/>
        </w:tblCellMar>
      </w:tblPr>
      <w:tblGrid>
        <w:gridCol w:w="5671"/>
        <w:gridCol w:w="1351"/>
        <w:gridCol w:w="109"/>
        <w:gridCol w:w="1351"/>
      </w:tblGrid>
      <w:tr>
        <w:trPr/>
        <w:tc>
          <w:tcPr>
            <w:tcW w:w="56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67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671"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6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Right-of-use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$18,805</w:t>
            </w:r>
          </w:p>
        </w:tc>
      </w:tr>
      <w:tr>
        <w:trPr/>
        <w:tc>
          <w:tcPr>
            <w:tcW w:w="56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Weighted-average remaining lease term (years)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w:t>
            </w:r>
          </w:p>
        </w:tc>
      </w:tr>
      <w:tr>
        <w:trPr/>
        <w:tc>
          <w:tcPr>
            <w:tcW w:w="56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Weighted-average discount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9.0%</w:t>
            </w:r>
          </w:p>
        </w:tc>
      </w:tr>
      <w:tr>
        <w:trPr/>
        <w:tc>
          <w:tcPr>
            <w:tcW w:w="56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7. Commitments and Contingencies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Royalty Commitments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has entered into various exclusive technology licensing agreements and other software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licensing agreements. The terms of the agreements require the Company to make annual royalty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payments in fixed amounts as well as certain milestone and revenue-based payments. The revenue-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based royalty percentage is in the low single digits, subject to reductions and offsets in certain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circumstances with a minimum royalty commitment of $50,000</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 xml:space="preserve">annually. Future minimum royalty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commitments due under the terms of these exclusive agreements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are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follows (in thousands):</w:t>
      </w:r>
    </w:p>
    <w:tbl>
      <w:tblPr>
        <w:tblW w:w="8961" w:type="dxa"/>
        <w:jc w:val="left"/>
        <w:tblInd w:w="0" w:type="dxa"/>
        <w:tblLayout w:type="fixed"/>
        <w:tblCellMar>
          <w:top w:w="28" w:type="dxa"/>
          <w:left w:w="28" w:type="dxa"/>
          <w:bottom w:w="28" w:type="dxa"/>
          <w:right w:w="28" w:type="dxa"/>
        </w:tblCellMar>
      </w:tblPr>
      <w:tblGrid>
        <w:gridCol w:w="7456"/>
        <w:gridCol w:w="109"/>
        <w:gridCol w:w="1396"/>
      </w:tblGrid>
      <w:tr>
        <w:trPr/>
        <w:tc>
          <w:tcPr>
            <w:tcW w:w="7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74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7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r>
      <w:tr>
        <w:trPr/>
        <w:tc>
          <w:tcPr>
            <w:tcW w:w="7456"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Minimum Royalty Commitments:</w:t>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74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w:t>
            </w:r>
          </w:p>
        </w:tc>
      </w:tr>
      <w:tr>
        <w:trPr/>
        <w:tc>
          <w:tcPr>
            <w:tcW w:w="74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2027</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w:t>
            </w:r>
          </w:p>
        </w:tc>
      </w:tr>
      <w:tr>
        <w:trPr/>
        <w:tc>
          <w:tcPr>
            <w:tcW w:w="74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w:t>
            </w:r>
          </w:p>
        </w:tc>
      </w:tr>
      <w:tr>
        <w:trPr/>
        <w:tc>
          <w:tcPr>
            <w:tcW w:w="74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2029</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w:t>
            </w:r>
          </w:p>
        </w:tc>
      </w:tr>
      <w:tr>
        <w:trPr/>
        <w:tc>
          <w:tcPr>
            <w:tcW w:w="74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Thereafter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w:t>
            </w:r>
          </w:p>
        </w:tc>
      </w:tr>
      <w:tr>
        <w:trPr/>
        <w:tc>
          <w:tcPr>
            <w:tcW w:w="74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minimum royalty commitments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$250</w:t>
            </w:r>
          </w:p>
        </w:tc>
      </w:tr>
      <w:tr>
        <w:trPr/>
        <w:tc>
          <w:tcPr>
            <w:tcW w:w="74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incurred royalty expense of $586,000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$428,000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for the three months ended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 and $1.5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$1.2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for the nine months ended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Purchase Commitments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Open purchase commitments consist of agreements to purchase goods and services that are entered into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in the ordinary course of business. These amounts were not</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recorded as liabilities on the condensed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consolidated balance sheets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as the Company had not</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yet received the related goods or services. As of September 30, 2025, the Company had estimated open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purchase commitments for goods and services of $4.5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over the next three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years.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Contingencies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is not involved in any pending legal proceedings that it believes could have a material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adverse effect on its financial condition, results of operations or cash flows. The Company may pursue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be subject to litigation and other legal actions from time to time arising in the ordinary course of business,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including intellectual property, products liability, breach of contract, commercial, employment, and other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similar claims which could have an adverse impact on its reputation, business and financial condition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divert the attention of its management from the operation of its business. The Company discloses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information regarding each material claim where the likelihood of a loss contingency is probable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reasonable possible and accrues a liability for such matters when it is probable that future expenditures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will be made, and such expenditures can be reasonably estimated. There were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contingent liabilities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requiring accrual or disclosures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December 31, 2024.</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Indemnifications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provides general indemnifications to management and the members of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board of directors (the “Board of Directors”) when they act, in good faith, in the best interest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 The Company is unable to develop an estimate of the maximum potential amount of future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payments that could potentially result from any hypothetical future claim, but expects the risk of having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make any payments under these general business indemnifications to be remote. The Company also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maintains insurance coverage that would generally enable the Company to recover a portion of any future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amounts paid.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8. Term Loan</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2024 Credit Agreement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June 14, 2024, the Company entered into a Credit Agreement and Guaranty (the “2024 Credit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Agreement”) with Hayfin for a $138.1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term loan (the “2024 Term Loan”) to refinance its outstanding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loan obligations under the 2021 Credit Agreement, as amended (the “2021 Credit Agreement”).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addition, in connection with the 2024 Term Loan, the Company entered into several other adjoining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agreements with Hayfin. The 2024 Term Loan extended the maturity date from January 19, 2026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June 14, 2028. The 2024 Credit Agreement was accounted for as a debt modification for accounting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purposes.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January 24, 2025, in connection with the issuance of the 2025 Convertible Notes, the Company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entered into Amendment No.1 to the 2024 Credit Agreement, in which Hayfin converted $23.0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principal under the 2024 Term Loan to 2025 Convertible Notes under the same terms as the other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purchasers of the 2025 Convertible Notes. The amendment was accounted for as a debt modification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accounting purposes.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Prepayment Terms and Other Fees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Any prepayment or repayment of the principal balance of the 2024 Term Loan was subject to an exit fee.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accreted the exit fee over the loan term using the effective interest method. Under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2024 Term Loan, the Company had the option to prepay the 2024 Term Loan subject to a prepayment fee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of 1.5%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for prepayments after the second anniversary but on or prior to the third anniversary of the 2024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Term Loan and a prepayment fee of 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for prepayments thereafter. The 2024 Credit Agreement required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to repay the loan in full immediately upon the occurrence of a change in control. In addition,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immediately upon the consummation of an IPO or SPAC transaction, as defined in the terms of the 2024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Credit Agreement, the Company was required to repay the 2024 Term Loan in an amount equal to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lesser of (i) the net cash proceeds of such IPO or SPAC transaction in excess of $150.0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(ii)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$35.0 million. In connection with Amendment No.1 to the 2024 Term Loan in January 2025, the amount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immediately payable upon the consummation of an IPO or SPAC transaction, as defined in the terms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2024 Credit Agreement, was amended where repayment of the 2024 Term Loan was required to be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 amount equal to the lesser of (i) the net cash proceeds of such IPO or SPAC transaction in excess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$150.0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(ii) $50.0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(or $55.0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if the underwriters exercised any portion of their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option to purchase additional shares).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June 14, 2024, concurrently with entering the 2024 Credit Agreement, the Company signed a fee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letter agreement with Hayfin under which the Company agreed to pay $9.2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fees to Hayfin, which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consisted of a 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exit fee and a 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early prepayment fee due under the 2021 Credit Agreement in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amount of $8.3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payable in sixteen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equal quarterly installments of approximately $518,000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through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March 31, 2028, agent fees of $150,000, due in annual installments of $30,000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through March 31, 2028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an upfront fee of $721,000. The Company paid the $721,000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upfront fee and $30,000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agent fee upon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closing of the 2024 Term Loan. The exit fee and early prepayment fee was required to be repaid in full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immediately upon the occurrence of a financing event, including, but not limited to, any IPO, SPAC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transaction, or issuance of convertible notes or equity. The exit fee and early prepayment fee remaining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under the original terms of the 2024 Term Loan, which were immediately due and payable upon issuance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the 2025 Convertible Notes, was amended in January 2025 to be immediately due and payable upon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next occurrence of a financing event and was fully repaid on August 18, 2025 upon completion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Company’s IPO as described above.</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On August 18, 2025,</w:t>
      </w:r>
      <w:r>
        <w:rPr>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the Company repaid $55.0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indebtedness outstanding under the 2024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Credit Agreement for which it was obligated in connection with the completion of the Company’s IPO 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approximately $5.8</w:t>
      </w:r>
      <w:r>
        <w:rPr>
          <w:caps w:val="false"/>
          <w:smallCaps w:val="false"/>
          <w:strike w:val="false"/>
          <w:dstrike w:val="false"/>
          <w:sz w:val="24"/>
          <w:u w:val="none"/>
          <w:effect w:val="none"/>
        </w:rPr>
        <w:t> </w:t>
      </w:r>
      <w:r>
        <w:rPr>
          <w:rFonts w:ascii="Arial;sans-serif" w:hAnsi="Arial;sans-serif"/>
          <w:b w:val="false"/>
          <w:i w:val="false"/>
          <w:caps w:val="false"/>
          <w:smallCaps w:val="false"/>
          <w:strike w:val="false"/>
          <w:dstrike w:val="false"/>
          <w:sz w:val="20"/>
          <w:u w:val="none"/>
          <w:effect w:val="none"/>
        </w:rPr>
        <w:t>million in fees consisting of a 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exit fee and a 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early prepayment fee due under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2021 Credit Agreement, as amended.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29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August 22, 2025, the Company prepaid in full all outstanding amounts under, and terminated,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2024 Credit Agreement, in the aggregate principal amount of $60.1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plus accrued interest of $1.0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million. The Company did not incur exit or prepayment fees in connection with the termination of the 2024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Credit Agreement.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Interest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During its term, the 2024 Term Loan bore interest at a floating per annum rate in an amount equal to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sum of (i) 7.0%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(or 6.0%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if the alternative base rate (“ABR”) is in effect) plus (ii) the greater of (x)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forward-looking term rate based on the Secured Overnight Financing Rate (“SOFR”) for a respective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tenor (or the alternative base rate, if applicable), and (y) 2.0%. The ABR equals the sum of (i) 6.0%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plus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(ii) the greater of (1) the Wall Street Journal Prime Rate, plus 0.5%, (2) the Federal Reserve Bank of New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York rate plus 0.5%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or (3) CBA Term SOFR for one month tenor plus 1.0%. The Company had the option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to pay interest in-kind at the rate equal to the cash interest rate plus 1.0%.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Debt Issuance Costs and Debt Discount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Debt issuance costs include third-party costs incurred in connection with the original Credit Agreement.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Debt discount includes fees paid to the lender, warrants issued to the lender and the embedded derivative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liability as described below.</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the refinancing of the 2021 Credit Agreement with the 2024 Term Loan (the “2024 Term Loan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Refinancing”), certain prepayment features of the Term Loan, default put option and default interest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adjustment features were determined to be embedded derivatives requiring bifurcation and separate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accounting for at fair value as a single compound derivative. The fair value of the derivative liability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$2.1 million, as of the issuance date in January 2021, and was remeasured to fair value at each reporting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period. In connection with the 2024 Term Loan Refinancing, the associated current fair value of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derivative liability of $1.1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was remeasured at the date of refinancing and was derecognized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recorded as a debt discount to the 2024 Term Loan. Refer to Note 13 for additional information.</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In connection with the conversion of $23.0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principal under the 2024 Term Loan to 2025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Convertible Notes under Amendment No.1 to the 2024 Credit Agreement in January 2025, $239,000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pro-rata debt discount under the 2024 Term Loan was reclassified as a debt discount under the 2025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Convertible Notes.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the term loan repayment in August 2025, the debt issuance costs and debt discount were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classified as an offset to the Term Loan on the condensed consolidated balance sheets, and was accreted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over the loan term using the effective interest method.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Debt Components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components of the Term Loan are as follows (in thousands):</w:t>
      </w:r>
    </w:p>
    <w:tbl>
      <w:tblPr>
        <w:tblW w:w="8492" w:type="dxa"/>
        <w:jc w:val="left"/>
        <w:tblInd w:w="0" w:type="dxa"/>
        <w:tblLayout w:type="fixed"/>
        <w:tblCellMar>
          <w:top w:w="28" w:type="dxa"/>
          <w:left w:w="28" w:type="dxa"/>
          <w:bottom w:w="28" w:type="dxa"/>
          <w:right w:w="28" w:type="dxa"/>
        </w:tblCellMar>
      </w:tblPr>
      <w:tblGrid>
        <w:gridCol w:w="7081"/>
        <w:gridCol w:w="1411"/>
      </w:tblGrid>
      <w:tr>
        <w:trPr/>
        <w:tc>
          <w:tcPr>
            <w:tcW w:w="708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70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single" w:sz="16" w:space="0" w:color="000000"/>
            </w:tcBorders>
            <w:tcMar>
              <w:left w:w="0" w:type="dxa"/>
              <w:bottom w:w="0" w:type="dxa"/>
              <w:right w:w="0" w:type="dxa"/>
            </w:tcM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December 31,</w:t>
            </w:r>
          </w:p>
        </w:tc>
      </w:tr>
      <w:tr>
        <w:trPr/>
        <w:tc>
          <w:tcPr>
            <w:tcW w:w="7081" w:type="dxa"/>
            <w:tcBorders/>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2024</w:t>
            </w:r>
          </w:p>
        </w:tc>
      </w:tr>
      <w:tr>
        <w:trPr/>
        <w:tc>
          <w:tcPr>
            <w:tcW w:w="708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Principal value of Term Loan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$138,137</w:t>
            </w:r>
          </w:p>
        </w:tc>
      </w:tr>
      <w:tr>
        <w:trPr/>
        <w:tc>
          <w:tcPr>
            <w:tcW w:w="708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Accreted exit fee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567</w:t>
            </w:r>
          </w:p>
        </w:tc>
      </w:tr>
      <w:tr>
        <w:trPr/>
        <w:tc>
          <w:tcPr>
            <w:tcW w:w="708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Debt discount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(2,095)</w:t>
            </w:r>
          </w:p>
        </w:tc>
      </w:tr>
      <w:tr>
        <w:trPr/>
        <w:tc>
          <w:tcPr>
            <w:tcW w:w="708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(178)</w:t>
            </w:r>
          </w:p>
        </w:tc>
      </w:tr>
      <w:tr>
        <w:trPr/>
        <w:tc>
          <w:tcPr>
            <w:tcW w:w="708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Term Loan </w:t>
            </w:r>
            <w:r>
              <w:rPr>
                <w:rFonts w:ascii="Times New Roman;serif" w:hAnsi="Times New Roman;serif"/>
                <w:b w:val="false"/>
                <w:i w:val="false"/>
                <w:caps w:val="false"/>
                <w:smallCaps w:val="false"/>
                <w:strike w:val="false"/>
                <w:dstrike w:val="false"/>
                <w:color w:val="B4B4B4"/>
                <w:sz w:val="20"/>
                <w:u w:val="none"/>
                <w:effect w:val="none"/>
              </w:rPr>
              <w:t>.......................................................................................................................</w:t>
            </w:r>
          </w:p>
        </w:tc>
        <w:tc>
          <w:tcPr>
            <w:tcW w:w="14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$136,431</w:t>
            </w:r>
          </w:p>
        </w:tc>
      </w:tr>
      <w:tr>
        <w:trPr/>
        <w:tc>
          <w:tcPr>
            <w:tcW w:w="70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9. Convertible Notes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2025 Convertible Notes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In January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March 2025, the Company issued convertible promissory notes to Requisite Holders 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aggregate amount of $98.3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which was comprised of $74.0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principal amount of notes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issued for cash consideration, $1.3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principal amount of notes issued in lieu of cash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compensation to certain employees and $23.0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principal amount of notes issued from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conversion of principal under the 2024 Term Loan. Net cash proceeds was $72.8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after deducting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$1.2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of debt issuance costs.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its conversion upon the Company’s IPO, the 2025 Convertible Notes were due and payable in full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48 months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from the issue date and did not</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accrue interest for one 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following the date of issuance.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Upon completion of the Company’s IPO in August 2025, the 2025 Convertible Notes automatically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converted into 6,470,743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the Company’s common stock at $15.20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per share, which was a 20%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discount to the IPO price.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its conversion upon the Company’s IPO, the 2025 Convertible Notes contained embedded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derivative features, including conversion upon a change in control and automatic conversion upon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completion of a qualified IPO, that were required to be bifurcated and accounted for separately as a single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derivative instrument. The issuance date estimated fair values of the derivative liability was $11.1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$20.8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January and March 2025, respectively, which was accounted for as a debt discount.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See Note 13 for additional information. The debt issuance costs and debt discount were classified as 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offset to the 2025 Convertible Notes on the condensed consolidated balance sheets, and were accreted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over the loan term using the effective interest method. </w:t>
      </w:r>
      <w:r>
        <w:rPr>
          <w:rFonts w:ascii="Arial;sans-serif" w:hAnsi="Arial;sans-serif"/>
          <w:b w:val="false"/>
          <w:i w:val="false"/>
          <w:caps w:val="false"/>
          <w:smallCaps w:val="false"/>
          <w:strike w:val="false"/>
          <w:dstrike w:val="false"/>
          <w:sz w:val="20"/>
          <w:u w:val="none"/>
          <w:effect w:val="none"/>
          <w:shd w:fill="FFFFFF" w:val="clear"/>
        </w:rPr>
        <w:t xml:space="preserve">Upon the closing of the Company’s IPO,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 xml:space="preserve">remaining unamortized debt discount and debt issuance costs of </w:t>
      </w:r>
      <w:r>
        <w:rPr>
          <w:rFonts w:ascii="Arial;sans-serif" w:hAnsi="Arial;sans-serif"/>
          <w:b w:val="false"/>
          <w:i w:val="false"/>
          <w:caps w:val="false"/>
          <w:smallCaps w:val="false"/>
          <w:strike w:val="false"/>
          <w:dstrike w:val="false"/>
          <w:sz w:val="20"/>
          <w:u w:val="none"/>
          <w:effect w:val="none"/>
        </w:rPr>
        <w:t>$28.8 million</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were reclassified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10. Redeemable Convertible Preferred Stock</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Redeemable convertible preferred stock consisted of the following as of December 31, 2024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thousands, except share amounts):</w:t>
      </w:r>
    </w:p>
    <w:tbl>
      <w:tblPr>
        <w:tblW w:w="8297" w:type="dxa"/>
        <w:jc w:val="left"/>
        <w:tblInd w:w="0" w:type="dxa"/>
        <w:tblLayout w:type="fixed"/>
        <w:tblCellMar>
          <w:top w:w="28" w:type="dxa"/>
          <w:left w:w="28" w:type="dxa"/>
          <w:bottom w:w="28" w:type="dxa"/>
          <w:right w:w="28" w:type="dxa"/>
        </w:tblCellMar>
      </w:tblPr>
      <w:tblGrid>
        <w:gridCol w:w="3271"/>
        <w:gridCol w:w="1171"/>
        <w:gridCol w:w="109"/>
        <w:gridCol w:w="1501"/>
        <w:gridCol w:w="109"/>
        <w:gridCol w:w="901"/>
        <w:gridCol w:w="109"/>
        <w:gridCol w:w="1126"/>
      </w:tblGrid>
      <w:tr>
        <w:trPr/>
        <w:tc>
          <w:tcPr>
            <w:tcW w:w="32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gridSpan w:val="7"/>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 2024</w:t>
            </w:r>
          </w:p>
        </w:tc>
      </w:tr>
      <w:tr>
        <w:trPr/>
        <w:tc>
          <w:tcPr>
            <w:tcW w:w="3271"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Series</w:t>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Number of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Shares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Authorized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Number of</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Shares Issued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and Outstanding</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Carrying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Liquidation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Value</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A</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4,082,965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4,082,965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$2,041</w:t>
            </w:r>
          </w:p>
        </w:tc>
      </w:tr>
      <w:tr>
        <w:trPr/>
        <w:tc>
          <w:tcPr>
            <w:tcW w:w="32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B-1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1,954,846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1,954,846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6,940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6,940</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B-2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2,848,263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2,848,263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10,111</w:t>
            </w:r>
          </w:p>
        </w:tc>
      </w:tr>
      <w:tr>
        <w:trPr/>
        <w:tc>
          <w:tcPr>
            <w:tcW w:w="32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C</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11,343,434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11,343,434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104,378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193,167</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7,151,873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7,151,873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110,756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110,854</w:t>
            </w:r>
          </w:p>
        </w:tc>
      </w:tr>
      <w:tr>
        <w:trPr/>
        <w:tc>
          <w:tcPr>
            <w:tcW w:w="32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12,040,980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12,040,980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304,197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305,018</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F</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61,344,029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61,344,029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168,957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262,295</w:t>
            </w:r>
          </w:p>
        </w:tc>
      </w:tr>
      <w:tr>
        <w:trPr/>
        <w:tc>
          <w:tcPr>
            <w:tcW w:w="32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Series F-1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21,465,064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21,465,064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61,186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61,491</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w:t>
            </w:r>
            <w:r>
              <w:rPr>
                <w:rFonts w:ascii="Times New Roman;serif" w:hAnsi="Times New Roman;serif"/>
                <w:b w:val="false"/>
                <w:i w:val="false"/>
                <w:caps w:val="false"/>
                <w:smallCaps w:val="false"/>
                <w:strike w:val="false"/>
                <w:dstrike w:val="false"/>
                <w:color w:val="B4B4B4"/>
                <w:sz w:val="20"/>
                <w:u w:val="none"/>
                <w:effect w:val="none"/>
              </w:rPr>
              <w:t>.........................................................</w:t>
            </w:r>
          </w:p>
        </w:tc>
        <w:tc>
          <w:tcPr>
            <w:tcW w:w="11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122,231,454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$768,566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$951,917</w:t>
            </w:r>
          </w:p>
        </w:tc>
      </w:tr>
      <w:tr>
        <w:trPr/>
        <w:tc>
          <w:tcPr>
            <w:tcW w:w="3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Upon the closing of the IPO, all shares of convertible preferred stock then outstanding converted into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51,226,348</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of common stock. Shares of Series A, Series B-1, Series B-2, Series C, Series 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Series E, Series F and Series F-1 outstanding redeemable convertible preferred stock converted into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shares of common stock on a 0.342466:1, 0.403088:1, 0.403088:1, 0.576386:1, 0.646673:1, 0.695098:1,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0.342466:1, and 0.342466:1 basis, as adjusted for the Reverse Stock Split, respectively.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As of September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30, 2025, the Company does not have any convertible preferred stock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11. Stockholders’ Equity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Preferred Stock</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At September 30, 2025, the Company’s certificate of incorporation, as amended and restated, authorizes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to issue up to 50,000,000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preferred stock with $0.001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par value per share,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which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were issued and outstanding.</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Common Stock</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At September 30, 2025, under the Company’s Amended and Restated Certificate of Incorporation,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Company is authorized to issue 250,000,000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$0.001</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par value common stock, of which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83,473,696</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were issued and outstanding. The holders of common stock are also entitled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receive dividends whenever funds are legally available, when and if declared by the Board of Directors.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As of September 30, 2025, no</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dividends have been declared to date. Each share of common stock is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entitled to one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vote.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Common stock reserved for future issuance, on an as-converted basis, consisted of the following:</w:t>
      </w:r>
    </w:p>
    <w:tbl>
      <w:tblPr>
        <w:tblW w:w="8827" w:type="dxa"/>
        <w:jc w:val="left"/>
        <w:tblInd w:w="0" w:type="dxa"/>
        <w:tblLayout w:type="fixed"/>
        <w:tblCellMar>
          <w:top w:w="28" w:type="dxa"/>
          <w:left w:w="28" w:type="dxa"/>
          <w:bottom w:w="28" w:type="dxa"/>
          <w:right w:w="28" w:type="dxa"/>
        </w:tblCellMar>
      </w:tblPr>
      <w:tblGrid>
        <w:gridCol w:w="6016"/>
        <w:gridCol w:w="1351"/>
        <w:gridCol w:w="109"/>
        <w:gridCol w:w="1351"/>
      </w:tblGrid>
      <w:tr>
        <w:trPr/>
        <w:tc>
          <w:tcPr>
            <w:tcW w:w="601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601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6016"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601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Redeemable convertible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51,226,348</w:t>
            </w:r>
          </w:p>
        </w:tc>
      </w:tr>
      <w:tr>
        <w:trPr/>
        <w:tc>
          <w:tcPr>
            <w:tcW w:w="601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Options to purchase common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10,006,820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8,537,203</w:t>
            </w:r>
          </w:p>
        </w:tc>
      </w:tr>
      <w:tr>
        <w:trPr/>
        <w:tc>
          <w:tcPr>
            <w:tcW w:w="601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Restricted stock units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813,283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01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Shares reserved for issuance under the Company’s equity plans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15,639,547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370,902</w:t>
            </w:r>
          </w:p>
        </w:tc>
      </w:tr>
      <w:tr>
        <w:trPr/>
        <w:tc>
          <w:tcPr>
            <w:tcW w:w="601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Common stock warrants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1,647,667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1,647,667</w:t>
            </w:r>
          </w:p>
        </w:tc>
      </w:tr>
      <w:tr>
        <w:trPr/>
        <w:tc>
          <w:tcPr>
            <w:tcW w:w="601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28,107,317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61,782,120</w:t>
            </w:r>
          </w:p>
        </w:tc>
      </w:tr>
      <w:tr>
        <w:trPr/>
        <w:tc>
          <w:tcPr>
            <w:tcW w:w="60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12. Common Stock Warrant Liability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January 19, 2021, in connection with entering into the Credit Agreement, the Company issued Hayfin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 warrant to purchase 108,154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common stock at an exercise price of $0.03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per share. 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March 17, 2022, upon amendment to the Credit Agreement, the Company issued Hayfin a warrant to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purchase 77,253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common stock at an exercise price of $0.03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per share. On March 3, 2023,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upon Amendment No. 4 to the Credit Agreement and as a result of antidilution adjustment provisions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connection with the Series F redeemable convertible preferred stock financing, the Company issued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Hayfin a warrant to purchase 1,462,260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shares of common stock at an exercise price of $0.03</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per share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(collectively, the “Warrants”). As of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December 31, 2024, all warrants remained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outstanding.</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Warrants have a net exercise provision under which their holders may, in lieu of payment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exercise price in cash, surrender the warrant and receive a net amount of shares based on the fair market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value of the Company’s stock at the time of exercise of the Warrants after deduction of the aggregate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exercise price. The Warrants also have customary antidilution protection provisions. The Warrants are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scheduled to terminate on the ten-year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anniversary of the issuance date, however, the Warrants 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scheduled to automatically net exercise immediately prior to termination if the fair market value of one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share of common stock exceeds the then current exercise price per share of common stock.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connection with certain change of control transactions, which include SPAC combinations, mergers,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consolidations and the sale or lease of substantially all of the assets of the Company, the Warrants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automatically net exercise if the fair market value of one share of common stock exceeds the then current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exercise price per share of common stock. The Warrants do not</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automatically net exercise in connection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with an IPO.</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aggregate fair value of the Warrants issued in connection with the 2021 Credit Agreement and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amended 2021 Credit Agreement was $4.3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$3.5 million, respectively, at issuance and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recognized as a debt discount and recorded as a warrant liability.</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warrant liabilities were remeasured to fair value, resulting in a loss of $32.1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$585,000</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during the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 and a loss of $34.6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$4.5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respectively, within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condensed consolidated statements of operations and comprehensive loss.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At September 30, 2025 and December 31, 2024, the fair value of the common stock warrant liability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determined using the Black-Scholes option pricing model based on the following weighted average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assumptions:</w:t>
      </w:r>
    </w:p>
    <w:tbl>
      <w:tblPr>
        <w:tblW w:w="8392" w:type="dxa"/>
        <w:jc w:val="left"/>
        <w:tblInd w:w="0" w:type="dxa"/>
        <w:tblLayout w:type="fixed"/>
        <w:tblCellMar>
          <w:top w:w="28" w:type="dxa"/>
          <w:left w:w="28" w:type="dxa"/>
          <w:bottom w:w="28" w:type="dxa"/>
          <w:right w:w="28" w:type="dxa"/>
        </w:tblCellMar>
      </w:tblPr>
      <w:tblGrid>
        <w:gridCol w:w="5581"/>
        <w:gridCol w:w="1351"/>
        <w:gridCol w:w="109"/>
        <w:gridCol w:w="1351"/>
      </w:tblGrid>
      <w:tr>
        <w:trPr/>
        <w:tc>
          <w:tcPr>
            <w:tcW w:w="558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558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December 31,</w:t>
            </w:r>
          </w:p>
        </w:tc>
      </w:tr>
      <w:tr>
        <w:trPr/>
        <w:tc>
          <w:tcPr>
            <w:tcW w:w="5581"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558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Stock price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$33.66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$12.68</w:t>
            </w:r>
          </w:p>
        </w:tc>
      </w:tr>
      <w:tr>
        <w:trPr/>
        <w:tc>
          <w:tcPr>
            <w:tcW w:w="558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Exercise price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$0.03</w:t>
            </w:r>
          </w:p>
        </w:tc>
      </w:tr>
      <w:tr>
        <w:trPr/>
        <w:tc>
          <w:tcPr>
            <w:tcW w:w="558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Contractual term (in years)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6.6</w:t>
            </w:r>
          </w:p>
        </w:tc>
      </w:tr>
      <w:tr>
        <w:trPr/>
        <w:tc>
          <w:tcPr>
            <w:tcW w:w="558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Expected volatility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72.1%</w:t>
            </w:r>
          </w:p>
        </w:tc>
      </w:tr>
      <w:tr>
        <w:trPr/>
        <w:tc>
          <w:tcPr>
            <w:tcW w:w="558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Weighted-average risk-free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4.44%</w:t>
            </w:r>
          </w:p>
        </w:tc>
      </w:tr>
      <w:tr>
        <w:trPr/>
        <w:tc>
          <w:tcPr>
            <w:tcW w:w="558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Dividend yield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w:t>
            </w:r>
          </w:p>
        </w:tc>
      </w:tr>
      <w:tr>
        <w:trPr/>
        <w:tc>
          <w:tcPr>
            <w:tcW w:w="55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See Note 18 for information about the common stock warrant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13. Derivative Liability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Term Loan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the 2024 Term Loan Refinancing in June 2024, the Term Loan contained certain prepayment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features, default put option and default interest adjustment features that were determined to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embedded derivatives requiring bifurcation and separate accounting as a single compound derivative,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discussed in Note 8. The fair value of the derivative liability was recorded at the issuance date as debt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discounts and reductions to the carrying value of long-term debt on the condensed consolidated balance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sheets. The derivative liability is remeasured to fair value at each reporting period, and the related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changes in fair value are recorded on the condensed consolidated statements of operations 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comprehensive loss. Through the time of the 2024 Term Loan Refinancing in June 2024, t</w:t>
      </w:r>
      <w:r>
        <w:rPr>
          <w:rFonts w:ascii="Arial;sans-serif" w:hAnsi="Arial;sans-serif"/>
          <w:b w:val="false"/>
          <w:i w:val="false"/>
          <w:caps w:val="false"/>
          <w:smallCaps w:val="false"/>
          <w:strike w:val="false"/>
          <w:dstrike w:val="false"/>
          <w:sz w:val="20"/>
          <w:u w:val="none"/>
          <w:effect w:val="none"/>
          <w:shd w:fill="FFFFFF" w:val="clear"/>
        </w:rPr>
        <w:t xml:space="preserve">he Company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continued to adjust the derivative liability for changes in fair value of the Term Loan.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Estimating fair values of the derivative liability requires the development of significant and subjective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estimates that may, and are likely to, change over the duration of the instrument with related changes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internal and external market factors. Since the derivative financial instrument is initially and subsequently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carried at fair value, the Company’s income will reflect the volatility in these estimate and assumption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changes.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derivative liability was remeasured to fair value as of June 14, 2024, resulting in a loss of $222,000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within the condensed consolidated statements of operations and comprehensive loss. In connection with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2024 Term Loan Refinancing on June 14, 2024, the associated current fair value of the derivative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liability of $1.1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as remeasured at the date of refinancing was derecognized and recorded as a debt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discount to the 2024 Term Loan.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fair value of the derivative liability was estimated using a scenario-based analysis comparing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probability-weighted present value of the Term Loan payoff at maturity with and without the bifurcated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features. The Company used both the Black-Scholes-Merton and option pricing method to estimate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fair value of the derivative liability because it believes these techniques are reflective of all significant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assumption types and ranges of assumption inputs that market participants would likely consider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transactions involving compound embedded derivatives. The option pricing method was employed as part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a back-solve analysis to the Company’s Series F Preferred round of financing.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assumptions used in determining the fair value of the derivative liability is as follows:</w:t>
      </w:r>
    </w:p>
    <w:tbl>
      <w:tblPr>
        <w:tblW w:w="8526" w:type="dxa"/>
        <w:jc w:val="left"/>
        <w:tblInd w:w="0" w:type="dxa"/>
        <w:tblLayout w:type="fixed"/>
        <w:tblCellMar>
          <w:top w:w="28" w:type="dxa"/>
          <w:left w:w="28" w:type="dxa"/>
          <w:bottom w:w="28" w:type="dxa"/>
          <w:right w:w="28" w:type="dxa"/>
        </w:tblCellMar>
      </w:tblPr>
      <w:tblGrid>
        <w:gridCol w:w="7411"/>
        <w:gridCol w:w="109"/>
        <w:gridCol w:w="1006"/>
      </w:tblGrid>
      <w:tr>
        <w:trPr/>
        <w:tc>
          <w:tcPr>
            <w:tcW w:w="7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741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June 14,</w:t>
            </w:r>
          </w:p>
        </w:tc>
      </w:tr>
      <w:tr>
        <w:trPr/>
        <w:tc>
          <w:tcPr>
            <w:tcW w:w="7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741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Debt yield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18.5%</w:t>
            </w:r>
          </w:p>
        </w:tc>
      </w:tr>
      <w:tr>
        <w:trPr/>
        <w:tc>
          <w:tcPr>
            <w:tcW w:w="741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Probability of business combination or IPO (with feature)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80.0%</w:t>
            </w:r>
          </w:p>
        </w:tc>
      </w:tr>
      <w:tr>
        <w:trPr/>
        <w:tc>
          <w:tcPr>
            <w:tcW w:w="741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of business combination or IPO (with feature)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6/30/2025</w:t>
            </w:r>
          </w:p>
        </w:tc>
      </w:tr>
      <w:tr>
        <w:trPr/>
        <w:tc>
          <w:tcPr>
            <w:tcW w:w="741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Probability of Default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w:t>
            </w:r>
          </w:p>
        </w:tc>
      </w:tr>
      <w:tr>
        <w:trPr/>
        <w:tc>
          <w:tcPr>
            <w:tcW w:w="741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of Default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9/30/2025</w:t>
            </w:r>
          </w:p>
        </w:tc>
      </w:tr>
      <w:tr>
        <w:trPr/>
        <w:tc>
          <w:tcPr>
            <w:tcW w:w="741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Probability to incur new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0.0%</w:t>
            </w:r>
          </w:p>
        </w:tc>
      </w:tr>
      <w:tr>
        <w:trPr/>
        <w:tc>
          <w:tcPr>
            <w:tcW w:w="741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to incur new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n/a</w:t>
            </w:r>
          </w:p>
        </w:tc>
      </w:tr>
      <w:tr>
        <w:trPr/>
        <w:tc>
          <w:tcPr>
            <w:tcW w:w="741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Probability of change of control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10.0%</w:t>
            </w:r>
          </w:p>
        </w:tc>
      </w:tr>
      <w:tr>
        <w:trPr/>
        <w:tc>
          <w:tcPr>
            <w:tcW w:w="741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of change of control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6/30/2025</w:t>
            </w:r>
          </w:p>
        </w:tc>
      </w:tr>
      <w:tr>
        <w:trPr/>
        <w:tc>
          <w:tcPr>
            <w:tcW w:w="741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(without feature)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1/19/2026</w:t>
            </w:r>
          </w:p>
        </w:tc>
      </w:tr>
      <w:tr>
        <w:trPr/>
        <w:tc>
          <w:tcPr>
            <w:tcW w:w="74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Debt yield</w:t>
      </w:r>
      <w:r>
        <w:rPr>
          <w:caps w:val="false"/>
          <w:smallCaps w:val="false"/>
          <w:strike w:val="false"/>
          <w:dstrike w:val="false"/>
          <w:sz w:val="24"/>
          <w:u w:val="none"/>
          <w:effect w:val="none"/>
        </w:rPr>
        <w:t xml:space="preserve"> — </w:t>
      </w:r>
      <w:r>
        <w:rPr>
          <w:rFonts w:ascii="Arial;sans-serif" w:hAnsi="Arial;sans-serif"/>
          <w:b w:val="false"/>
          <w:i w:val="false"/>
          <w:caps w:val="false"/>
          <w:smallCaps w:val="false"/>
          <w:strike w:val="false"/>
          <w:dstrike w:val="false"/>
          <w:sz w:val="20"/>
          <w:u w:val="none"/>
          <w:effect w:val="none"/>
        </w:rPr>
        <w:t xml:space="preserve">Discount rate that reconciles the total fair value of the Warrants and 2021 Credit Agreement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with the transaction value. Debt yield reflects a change in the credit benchmark for a “CCC” rated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obligation.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2025 Convertible Notes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2025 Convertible Notes were determined to contain certain settlement features and conversion put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which require bifurcation and separate accounting as a single compound embedded derivative,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discussed in Note 9. The fair value of the derivative liability was recorded at the issuance dates as a debt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discount and reduction to the carrying value of the 2025 Convertible Notes on the condensed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consolidated balance sheets. The derivative liability is remeasured to fair value at each reporting period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the related changes in fair value are recorded on the condensed consolidated statements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operations and comprehensive loss.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fair value of the derivative liability was estimated using a scenario-based analysis comparing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probability-weighted present value of the 2025 Convertible Notes with and without the bifurcated features.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used the Monte Carlo Simulation method to estimate the fair value of the derivative liability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because it believes this technique is reflective of all significant assumption types and ranges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assumption inputs that market participants would likely consider in transactions involving compound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embedded derivatives. The option pricing method was employed as part of a back-solve analysis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scenarios in which the Company was expected to raise another financing round. The Company also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employed a waterfall analysis that allocated certain exit proceeds to its outstanding share classes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scenarios in which the Company was assumed to exit via change of control or IPO.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assumptions used in determining the issuance date fair value of the derivative liability is as follows:</w:t>
      </w:r>
    </w:p>
    <w:tbl>
      <w:tblPr>
        <w:tblW w:w="8557" w:type="dxa"/>
        <w:jc w:val="left"/>
        <w:tblInd w:w="0" w:type="dxa"/>
        <w:tblLayout w:type="fixed"/>
        <w:tblCellMar>
          <w:top w:w="28" w:type="dxa"/>
          <w:left w:w="28" w:type="dxa"/>
          <w:bottom w:w="28" w:type="dxa"/>
          <w:right w:w="28" w:type="dxa"/>
        </w:tblCellMar>
      </w:tblPr>
      <w:tblGrid>
        <w:gridCol w:w="6331"/>
        <w:gridCol w:w="1111"/>
        <w:gridCol w:w="109"/>
        <w:gridCol w:w="1006"/>
      </w:tblGrid>
      <w:tr>
        <w:trPr/>
        <w:tc>
          <w:tcPr>
            <w:tcW w:w="633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63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January 31,</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March 26,</w:t>
            </w:r>
          </w:p>
        </w:tc>
      </w:tr>
      <w:tr>
        <w:trPr/>
        <w:tc>
          <w:tcPr>
            <w:tcW w:w="6331"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r>
      <w:tr>
        <w:trPr/>
        <w:tc>
          <w:tcPr>
            <w:tcW w:w="63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Debt yield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7.0%</w:t>
            </w:r>
          </w:p>
        </w:tc>
      </w:tr>
      <w:tr>
        <w:trPr/>
        <w:tc>
          <w:tcPr>
            <w:tcW w:w="63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Probability of IPO</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75.0%</w:t>
            </w:r>
          </w:p>
        </w:tc>
      </w:tr>
      <w:tr>
        <w:trPr/>
        <w:tc>
          <w:tcPr>
            <w:tcW w:w="63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of IPO</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5/9/2025</w:t>
            </w:r>
          </w:p>
        </w:tc>
      </w:tr>
      <w:tr>
        <w:trPr/>
        <w:tc>
          <w:tcPr>
            <w:tcW w:w="63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Probability of change of control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10.0%</w:t>
            </w:r>
          </w:p>
        </w:tc>
      </w:tr>
      <w:tr>
        <w:trPr/>
        <w:tc>
          <w:tcPr>
            <w:tcW w:w="63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Event date of change of control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1/31/2026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3/26/2026</w:t>
            </w:r>
          </w:p>
        </w:tc>
      </w:tr>
      <w:tr>
        <w:trPr/>
        <w:tc>
          <w:tcPr>
            <w:tcW w:w="63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Discount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1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63.7%</w:t>
            </w:r>
          </w:p>
        </w:tc>
      </w:tr>
      <w:tr>
        <w:trPr/>
        <w:tc>
          <w:tcPr>
            <w:tcW w:w="63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issuance date estimated fair values of the derivative liability was $11.1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January</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March 2025, respectively, which were recorded as debt discounts. The derivative liability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remeasured to fair value at the end of each reporting period and through the date of its conversion to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common stock upon the Company’s IPO, resulting in a gain of $4.8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$7.3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for the three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nine months ended September 30, 2025, respectively, within the condensed consolidated statements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operations and comprehensive loss. The aggregate estimated fair value of the derivative liability at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time of conversion was $24.6 million, based on the 20%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discount from the IPO price, which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reclassified to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14. Stock-Based Compensation Plans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2009, the Company adopted its 2009 Equity Incentive Plan which provided for the grant of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to the Company’s employees, members of the Board of Directors and consultants. Effective upon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Company’s IPO in August 2025, the Company’s Board of Directors approved the termination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2009 Equity Incentive Plan and the adoption of the 2025 Performance Incentive Plan (“2025 Plan”).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granted under the 2025 Plan may be either incentive stock options (“ISOs”) or nonqualified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(“NSOs”). ISOs may be granted only to employees. NSOs, Stock Appreciation Rights, Restricted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 and Restricted Stock Units (“RSUs”) may be granted to employees, members of the Board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Directors and consultants. A total of 17,189,139</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of common stock were initially reserved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issuance pursuant to the 2025 Plan. In addition, the shares reserved for issuance under the 2025 Plan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will also include shares reserved but not issued under the 2009 Equity Incentive Plan, plus any share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awards granted under the 2009 Equity Incentive Plan that expire or terminate without having been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exercised in full or that are forfeited or repurchased. In addition, the number of shares available for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issuance under the 2025 Plan will also include an annual increase on the first day of each fiscal year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beginning in fiscal 2026, equal to or greater than (i) 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outstanding shares of common stock as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last day of the immediately preceding fiscal year less any Board of Directors-approved increase(s)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during the preceding fiscal year; or (ii) an amount as determined by the Board of Directors.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Options under the 2009 Equity Incentive Plan and 2025 Plan have a term of ten 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from the grant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date. The option exercise price will be determined by the Board of Directors, but will be no less than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100%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fair market value per share on the date of grant. In addition, in the case of an ISO granted to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 employee who owns stock representing more than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voting power of all classes of stock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the per share exercise price will be no less than 110%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fair market value per share on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date of grant. Through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December 31, 2024, options granted generally vest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over (i) four 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with 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vesting on the first anniversary of the issuance date and 1/48th per month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thereafter or (ii) vesting monthly in equal installments over four years.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 option activity under the Company’s 2009 Equity Incentive Plan and 2025 Plan is set forth below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thousands, except share and per share amounts):</w:t>
      </w:r>
    </w:p>
    <w:tbl>
      <w:tblPr>
        <w:tblW w:w="8946" w:type="dxa"/>
        <w:jc w:val="left"/>
        <w:tblInd w:w="0" w:type="dxa"/>
        <w:tblLayout w:type="fixed"/>
        <w:tblCellMar>
          <w:top w:w="28" w:type="dxa"/>
          <w:left w:w="28" w:type="dxa"/>
          <w:bottom w:w="28" w:type="dxa"/>
          <w:right w:w="28" w:type="dxa"/>
        </w:tblCellMar>
      </w:tblPr>
      <w:tblGrid>
        <w:gridCol w:w="4276"/>
        <w:gridCol w:w="109"/>
        <w:gridCol w:w="1066"/>
        <w:gridCol w:w="109"/>
        <w:gridCol w:w="961"/>
        <w:gridCol w:w="109"/>
        <w:gridCol w:w="1156"/>
        <w:gridCol w:w="109"/>
        <w:gridCol w:w="1051"/>
      </w:tblGrid>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427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Number of </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Options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Awards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Weighted-</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Average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Exercise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Price</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Weighted-</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Average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Remaining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Contractual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Life (Years)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Aggregate</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Intrinsic</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Value</w:t>
            </w:r>
          </w:p>
        </w:tc>
      </w:tr>
      <w:tr>
        <w:trPr/>
        <w:tc>
          <w:tcPr>
            <w:tcW w:w="42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Balance at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8,537,210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$68,256</w:t>
            </w:r>
          </w:p>
        </w:tc>
      </w:tr>
      <w:tr>
        <w:trPr/>
        <w:tc>
          <w:tcPr>
            <w:tcW w:w="42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Options granted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2,317,260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42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Options exercised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(487,890)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Options canceled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(359,760)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42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Balance at September 30,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10,006,820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$260,007</w:t>
            </w:r>
          </w:p>
        </w:tc>
      </w:tr>
      <w:tr>
        <w:trPr/>
        <w:tc>
          <w:tcPr>
            <w:tcW w:w="42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Vested and exercisable, September 30,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3,892,199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$110,604</w:t>
            </w:r>
          </w:p>
        </w:tc>
      </w:tr>
      <w:tr>
        <w:trPr/>
        <w:tc>
          <w:tcPr>
            <w:tcW w:w="427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 xml:space="preserve">Vested and expected to vest, September 30, </w:t>
            </w:r>
          </w:p>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10,006,820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$260,007</w:t>
            </w:r>
          </w:p>
        </w:tc>
      </w:tr>
      <w:tr>
        <w:trPr/>
        <w:tc>
          <w:tcPr>
            <w:tcW w:w="42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weighted-average grant date fair value of options granted during the three and nine months ended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$10.84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$10.12</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per share, respectively.</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aggregate intrinsic value is calculated as the difference between the exercise price of the underlying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 options and the fair value of the Company’s common stock for stock options that were in-the-money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at each reporting period. The aggregate intrinsic value of stock options exercised during the three 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was $4.8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$6.9 million, respectively.</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Restricted Stock Units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August 2025, the Company began granting RSUs under the 2025 Plan. RSUs generally vest over four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in equal quarterly increments. The fair value of RSUs is based on the Company’s closing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price on the date of grant. A summary of RSUs activity is set forth below:</w:t>
      </w:r>
    </w:p>
    <w:tbl>
      <w:tblPr>
        <w:tblW w:w="8996" w:type="dxa"/>
        <w:jc w:val="left"/>
        <w:tblInd w:w="0" w:type="dxa"/>
        <w:tblLayout w:type="fixed"/>
        <w:tblCellMar>
          <w:top w:w="28" w:type="dxa"/>
          <w:left w:w="28" w:type="dxa"/>
          <w:bottom w:w="28" w:type="dxa"/>
          <w:right w:w="28" w:type="dxa"/>
        </w:tblCellMar>
      </w:tblPr>
      <w:tblGrid>
        <w:gridCol w:w="5476"/>
        <w:gridCol w:w="109"/>
        <w:gridCol w:w="1591"/>
        <w:gridCol w:w="109"/>
        <w:gridCol w:w="1711"/>
      </w:tblGrid>
      <w:tr>
        <w:trPr/>
        <w:tc>
          <w:tcPr>
            <w:tcW w:w="5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547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Number of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Restricted Stock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Units</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Awards Weighted-</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Average Grant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Date Fair Value</w:t>
            </w:r>
          </w:p>
        </w:tc>
      </w:tr>
      <w:tr>
        <w:trPr/>
        <w:tc>
          <w:tcPr>
            <w:tcW w:w="54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Unvested at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54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Awards granted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822,386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$19.14</w:t>
            </w:r>
          </w:p>
        </w:tc>
      </w:tr>
      <w:tr>
        <w:trPr/>
        <w:tc>
          <w:tcPr>
            <w:tcW w:w="54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Awards vested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47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Awards canceled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(9,103)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$19.00</w:t>
            </w:r>
          </w:p>
        </w:tc>
      </w:tr>
      <w:tr>
        <w:trPr/>
        <w:tc>
          <w:tcPr>
            <w:tcW w:w="547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Unvested at September 30,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813,283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$19.14</w:t>
            </w:r>
          </w:p>
        </w:tc>
      </w:tr>
      <w:tr>
        <w:trPr/>
        <w:tc>
          <w:tcPr>
            <w:tcW w:w="54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2025 Employee Stock Purchase Plan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August 2025, the Company’s Board of Directors adopted the 2025 Employee Stock Purchase Plan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(“2025 ESPP”) to be effective upon the Company’s IPO, under which eligible employees are permitted to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purchase common stock at a discount through payroll deductions. A total of 1,233,964</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of common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 are reserved for issuance and will be increased on the first day of each fiscal year, beginning 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2026, by an amount equal to the lesser of (i) 1.0%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issued and outstanding shares of common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 of the last day of the immediately preceding fiscal year; or (ii) an amount as determined by the Board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of Directors. The price of the common stock purchased will be the lower of 85%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 fair market value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common stock at the beginning of an offering period or at the end of a purchase period. The 2025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ESPP is intended to qualify as an “employee stock purchase plan” within the meaning of Section 423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Internal Revenue Code of 1986, as amended (the “IRC”).</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Stock-Based Compensation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estimated the fair value of stock options using the Black-Scholes option-pricing model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based on the following assumptions:</w:t>
      </w:r>
    </w:p>
    <w:tbl>
      <w:tblPr>
        <w:tblW w:w="8856" w:type="dxa"/>
        <w:jc w:val="left"/>
        <w:tblInd w:w="0" w:type="dxa"/>
        <w:tblLayout w:type="fixed"/>
        <w:tblCellMar>
          <w:top w:w="28" w:type="dxa"/>
          <w:left w:w="28" w:type="dxa"/>
          <w:bottom w:w="28" w:type="dxa"/>
          <w:right w:w="28" w:type="dxa"/>
        </w:tblCellMar>
      </w:tblPr>
      <w:tblGrid>
        <w:gridCol w:w="3271"/>
        <w:gridCol w:w="109"/>
        <w:gridCol w:w="1276"/>
        <w:gridCol w:w="109"/>
        <w:gridCol w:w="1276"/>
        <w:gridCol w:w="109"/>
        <w:gridCol w:w="1276"/>
        <w:gridCol w:w="109"/>
        <w:gridCol w:w="1321"/>
      </w:tblGrid>
      <w:tr>
        <w:trPr/>
        <w:tc>
          <w:tcPr>
            <w:tcW w:w="3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3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Expected life (in years)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5.6</w:t>
            </w:r>
          </w:p>
        </w:tc>
      </w:tr>
      <w:tr>
        <w:trPr/>
        <w:tc>
          <w:tcPr>
            <w:tcW w:w="32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Expected volatility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56.6%</w:t>
            </w:r>
            <w:r>
              <w:rPr>
                <w:rFonts w:ascii="Arial;sans-serif" w:hAnsi="Arial;sans-serif"/>
                <w:b w:val="false"/>
                <w:i w:val="false"/>
                <w:caps w:val="false"/>
                <w:smallCaps w:val="false"/>
                <w:sz w:val="20"/>
              </w:rPr>
              <w:t>-</w:t>
            </w:r>
            <w:r>
              <w:rPr>
                <w:rFonts w:ascii="Arial;sans-serif" w:hAnsi="Arial;sans-serif"/>
                <w:b w:val="false"/>
                <w:i w:val="false"/>
                <w:caps w:val="false"/>
                <w:smallCaps w:val="false"/>
                <w:strike w:val="false"/>
                <w:dstrike w:val="false"/>
                <w:sz w:val="20"/>
                <w:u w:val="none"/>
                <w:effect w:val="none"/>
              </w:rPr>
              <w:t>57.9%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54.5%-54.6%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55.0%-57.9%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53.7%-54.6%</w:t>
            </w:r>
          </w:p>
        </w:tc>
      </w:tr>
      <w:tr>
        <w:trPr/>
        <w:tc>
          <w:tcPr>
            <w:tcW w:w="327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Risk-free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3.7%-3.9%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3.5%-4.4%</w:t>
            </w:r>
          </w:p>
        </w:tc>
      </w:tr>
      <w:tr>
        <w:trPr/>
        <w:tc>
          <w:tcPr>
            <w:tcW w:w="327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Dividend yield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20"/>
                <w:u w:val="none"/>
                <w:effect w:val="none"/>
              </w:rPr>
              <w:t>%</w:t>
            </w:r>
          </w:p>
        </w:tc>
      </w:tr>
      <w:tr>
        <w:trPr/>
        <w:tc>
          <w:tcPr>
            <w:tcW w:w="32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estimated the fair value of the shares to be issued under the Company’s 2025 ESPP using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Black-Scholes option-pricing model based on the following assumptions:</w:t>
      </w:r>
    </w:p>
    <w:tbl>
      <w:tblPr>
        <w:tblW w:w="8706" w:type="dxa"/>
        <w:jc w:val="left"/>
        <w:tblInd w:w="0" w:type="dxa"/>
        <w:tblLayout w:type="fixed"/>
        <w:tblCellMar>
          <w:top w:w="28" w:type="dxa"/>
          <w:left w:w="28" w:type="dxa"/>
          <w:bottom w:w="28" w:type="dxa"/>
          <w:right w:w="28" w:type="dxa"/>
        </w:tblCellMar>
      </w:tblPr>
      <w:tblGrid>
        <w:gridCol w:w="4936"/>
        <w:gridCol w:w="109"/>
        <w:gridCol w:w="1540"/>
        <w:gridCol w:w="320"/>
        <w:gridCol w:w="1801"/>
      </w:tblGrid>
      <w:tr>
        <w:trPr/>
        <w:tc>
          <w:tcPr>
            <w:tcW w:w="4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93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801" w:type="dxa"/>
            <w:tcBorders>
              <w:top w:val="single" w:sz="16" w:space="0" w:color="000000"/>
            </w:tcBorders>
            <w:tcMar>
              <w:left w:w="0" w:type="dxa"/>
              <w:bottom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320" w:type="dxa"/>
            <w:tcBorders/>
            <w:vAlign w:val="center"/>
          </w:tcPr>
          <w:p>
            <w:pPr>
              <w:pStyle w:val="TableContents"/>
              <w:bidi w:val="0"/>
              <w:spacing w:before="0" w:after="283"/>
              <w:jc w:val="left"/>
              <w:rPr>
                <w:sz w:val="4"/>
                <w:szCs w:val="4"/>
              </w:rPr>
            </w:pPr>
            <w:r>
              <w:rPr>
                <w:sz w:val="4"/>
                <w:szCs w:val="4"/>
              </w:rPr>
            </w:r>
          </w:p>
        </w:tc>
        <w:tc>
          <w:tcPr>
            <w:tcW w:w="18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r>
      <w:tr>
        <w:trPr/>
        <w:tc>
          <w:tcPr>
            <w:tcW w:w="493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Expected life (in years)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0.6</w:t>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0.6</w:t>
            </w:r>
          </w:p>
        </w:tc>
      </w:tr>
      <w:tr>
        <w:trPr/>
        <w:tc>
          <w:tcPr>
            <w:tcW w:w="493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Expected volatility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58.1%</w:t>
            </w:r>
          </w:p>
        </w:tc>
        <w:tc>
          <w:tcPr>
            <w:tcW w:w="320"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58.1%</w:t>
            </w:r>
          </w:p>
        </w:tc>
      </w:tr>
      <w:tr>
        <w:trPr/>
        <w:tc>
          <w:tcPr>
            <w:tcW w:w="493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Risk-free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0"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w:t>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18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w:t>
            </w:r>
          </w:p>
        </w:tc>
      </w:tr>
      <w:tr>
        <w:trPr/>
        <w:tc>
          <w:tcPr>
            <w:tcW w:w="493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Dividend yield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20"/>
                <w:u w:val="none"/>
                <w:effect w:val="none"/>
              </w:rPr>
              <w:t>%</w:t>
            </w:r>
          </w:p>
        </w:tc>
        <w:tc>
          <w:tcPr>
            <w:tcW w:w="320"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Arial;sans-serif" w:hAnsi="Arial;sans-serif"/>
                <w:b w:val="false"/>
                <w:i w:val="false"/>
                <w:caps w:val="false"/>
                <w:smallCaps w:val="false"/>
                <w:strike w:val="false"/>
                <w:dstrike w:val="false"/>
                <w:color w:val="000000"/>
                <w:sz w:val="20"/>
                <w:u w:val="none"/>
                <w:effect w:val="none"/>
              </w:rPr>
              <w:t>%</w:t>
            </w:r>
          </w:p>
        </w:tc>
      </w:tr>
      <w:tr>
        <w:trPr/>
        <w:tc>
          <w:tcPr>
            <w:tcW w:w="49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significant assumptions used in these calculations are summarized as follows: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Fair value of common stock</w:t>
      </w:r>
      <w:r>
        <w:rPr>
          <w:rFonts w:ascii="Arial;sans-serif" w:hAnsi="Arial;sans-serif"/>
          <w:b w:val="false"/>
          <w:i w:val="false"/>
          <w:caps w:val="false"/>
          <w:smallCaps w:val="false"/>
          <w:strike w:val="false"/>
          <w:dstrike w:val="false"/>
          <w:sz w:val="20"/>
          <w:u w:val="none"/>
          <w:effect w:val="none"/>
        </w:rPr>
        <w:t xml:space="preserve">. Because there had been no public market for the Company’s common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prior to the IPO, the fair value of common stock shares underlying stock options has historically been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determined by the Board of Directors at the time of option grant by considering an independent valuation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performed by a third-party valuation firm as well as a number of objective and subjective factors, including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 valuation of comparable companies, sales of convertible preferred stock to unrelated third parties,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operating and financial performance, the lack of liquidity of capital stock and general and industry specific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economic outlook, among other factors. The fair value of common stock was determined in accordance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with applicable elements of the American Institute of Certified Public Accountants Practice Aid, Valuation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Privately-Held-Company Equity Securities Issued as Compensation. Subsequent to its IPO, the fair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value of the underlying common stock is based on the closing price of the Company’s common stock 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the Nasdaq Stock Market on the date of grant.</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Expected term</w:t>
      </w:r>
      <w:r>
        <w:rPr>
          <w:rFonts w:ascii="Arial;sans-serif" w:hAnsi="Arial;sans-serif"/>
          <w:b w:val="false"/>
          <w:i w:val="false"/>
          <w:caps w:val="false"/>
          <w:smallCaps w:val="false"/>
          <w:strike w:val="false"/>
          <w:dstrike w:val="false"/>
          <w:sz w:val="20"/>
          <w:u w:val="none"/>
          <w:effect w:val="none"/>
        </w:rPr>
        <w:t xml:space="preserve">. The expected term of stock options represents the weighted-average period the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are expected to remain outstanding. The Company does not have sufficient historical exercise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post-vesting termination activity to provide accurate data for estimating the expected term of options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has opted to use the “simplified method,” whereby the expected term equals the arithmetic average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the vesting term and the original contractual term of the option.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Expected volatility</w:t>
      </w:r>
      <w:r>
        <w:rPr>
          <w:rFonts w:ascii="Arial;sans-serif" w:hAnsi="Arial;sans-serif"/>
          <w:b w:val="false"/>
          <w:i w:val="false"/>
          <w:caps w:val="false"/>
          <w:smallCaps w:val="false"/>
          <w:strike w:val="false"/>
          <w:dstrike w:val="false"/>
          <w:sz w:val="20"/>
          <w:u w:val="none"/>
          <w:effect w:val="none"/>
        </w:rPr>
        <w:t xml:space="preserve">. As the Company was not publicly traded prior to the IPO and does not have sufficient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trading history after the IPO, the expected volatility for the Company’s stock options was determined by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using an average of historical volatilities of selected industry peers deemed to be comparable to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Company’s business corresponding to the expected term of the awards. </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Risk-free interest rate</w:t>
      </w:r>
      <w:r>
        <w:rPr>
          <w:rFonts w:ascii="Arial;sans-serif" w:hAnsi="Arial;sans-serif"/>
          <w:b w:val="false"/>
          <w:i w:val="false"/>
          <w:caps w:val="false"/>
          <w:smallCaps w:val="false"/>
          <w:strike w:val="false"/>
          <w:dstrike w:val="false"/>
          <w:sz w:val="20"/>
          <w:u w:val="none"/>
          <w:effect w:val="none"/>
        </w:rPr>
        <w:t xml:space="preserve">. The risk-free interest rate is based on the U.S. Treasury yield curve in effect at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time of grant for zero-coupon U.S. Treasury notes with maturities corresponding to the expected term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awards.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sz w:val="24"/>
        </w:rPr>
      </w:pPr>
      <w:r>
        <w:rPr>
          <w:rFonts w:ascii="Arial;sans-serif" w:hAnsi="Arial;sans-serif"/>
          <w:b w:val="false"/>
          <w:i/>
          <w:strike w:val="false"/>
          <w:dstrike w:val="false"/>
          <w:sz w:val="20"/>
          <w:u w:val="none"/>
          <w:effect w:val="none"/>
        </w:rPr>
        <w:t>Expected dividend yield</w:t>
      </w:r>
      <w:r>
        <w:rPr>
          <w:rFonts w:ascii="Arial;sans-serif" w:hAnsi="Arial;sans-serif"/>
          <w:b w:val="false"/>
          <w:i w:val="false"/>
          <w:caps w:val="false"/>
          <w:smallCaps w:val="false"/>
          <w:strike w:val="false"/>
          <w:dstrike w:val="false"/>
          <w:sz w:val="20"/>
          <w:u w:val="none"/>
          <w:effect w:val="none"/>
        </w:rPr>
        <w:t xml:space="preserve">. The expected dividend rate is zero as the Company currently has no history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expectation of declaring dividends on its common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also issues stock options with vesting based upon completion of performance goals.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fair value for these performance-based awards is recognized over the period during which the goals are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to be achieved. Stock-based compensation expense recognized at fair value includes the impact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estimated probability that the goals would be achieved, which is assessed prior to the requisite service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period for the specific goals.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Total stock-based compensation expense is as follows (in thousands):</w:t>
      </w:r>
    </w:p>
    <w:tbl>
      <w:tblPr>
        <w:tblW w:w="7733" w:type="dxa"/>
        <w:jc w:val="left"/>
        <w:tblInd w:w="0" w:type="dxa"/>
        <w:tblLayout w:type="fixed"/>
        <w:tblCellMar>
          <w:top w:w="28" w:type="dxa"/>
          <w:left w:w="28" w:type="dxa"/>
          <w:bottom w:w="28" w:type="dxa"/>
          <w:right w:w="28" w:type="dxa"/>
        </w:tblCellMar>
      </w:tblPr>
      <w:tblGrid>
        <w:gridCol w:w="3856"/>
        <w:gridCol w:w="109"/>
        <w:gridCol w:w="862"/>
        <w:gridCol w:w="136"/>
        <w:gridCol w:w="862"/>
        <w:gridCol w:w="109"/>
        <w:gridCol w:w="810"/>
        <w:gridCol w:w="127"/>
        <w:gridCol w:w="862"/>
      </w:tblGrid>
      <w:tr>
        <w:trPr/>
        <w:tc>
          <w:tcPr>
            <w:tcW w:w="3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8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Cost of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$127</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$231</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Research and development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959</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1,887</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1,566</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Selling, 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2,874</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1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6,589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5,902</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Total stock-based compensation expense </w:t>
            </w:r>
            <w:r>
              <w:rPr>
                <w:rFonts w:ascii="Times New Roman;serif" w:hAnsi="Times New Roman;serif"/>
                <w:b w:val="false"/>
                <w:i w:val="false"/>
                <w:caps w:val="false"/>
                <w:smallCaps w:val="false"/>
                <w:strike w:val="false"/>
                <w:dstrike w:val="false"/>
                <w:color w:val="B4B4B4"/>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$3,960</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$2,336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$8,705</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$7,699</w:t>
            </w:r>
          </w:p>
        </w:tc>
      </w:tr>
      <w:tr>
        <w:trPr/>
        <w:tc>
          <w:tcPr>
            <w:tcW w:w="3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As of September 30, 2025, total unrecognized stock-based compensation costs related to unvested stock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options was $31.1 million, which is expected to be recognized over a remaining weighted-average period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of 3.23 years, a total of $15.0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unrecognized compensation costs related to unvested RSUs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expected to be recognized over a period of approximately 3.91 years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$1.3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unrecognized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compensation costs related to the ESPP, which the Company will recognize over 0.44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15. Employee Retirement Plan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Company has a qualified retirement plan under section 401(k) of the IRC under which participants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may contribute up to 100%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their eligible compensation, subject to maximum deferral limits specified by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IRC. The Company may make matching contributions of up to 4.0%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 an employee’s eligible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compensation, subject to conditions specified by the IRC. The Company’s matching contributions totaled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$297,000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$377,000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three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respectively, and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$1.8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$1.4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during the nine 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16. Net Loss Per Share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table sets forth the computation of basic and diluted net loss per share (in thousands,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except share and per share amounts):</w:t>
      </w:r>
    </w:p>
    <w:tbl>
      <w:tblPr>
        <w:tblW w:w="8957" w:type="dxa"/>
        <w:jc w:val="left"/>
        <w:tblInd w:w="0" w:type="dxa"/>
        <w:tblLayout w:type="fixed"/>
        <w:tblCellMar>
          <w:top w:w="28" w:type="dxa"/>
          <w:left w:w="28" w:type="dxa"/>
          <w:bottom w:w="28" w:type="dxa"/>
          <w:right w:w="28" w:type="dxa"/>
        </w:tblCellMar>
      </w:tblPr>
      <w:tblGrid>
        <w:gridCol w:w="4531"/>
        <w:gridCol w:w="1066"/>
        <w:gridCol w:w="109"/>
        <w:gridCol w:w="961"/>
        <w:gridCol w:w="109"/>
        <w:gridCol w:w="1066"/>
        <w:gridCol w:w="109"/>
        <w:gridCol w:w="1006"/>
      </w:tblGrid>
      <w:tr>
        <w:trPr/>
        <w:tc>
          <w:tcPr>
            <w:tcW w:w="453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53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Three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Nine Months Ended</w:t>
            </w:r>
          </w:p>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4531"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453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Numerator:</w:t>
            </w:r>
          </w:p>
        </w:tc>
        <w:tc>
          <w:tcPr>
            <w:tcW w:w="10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$(50,855)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$(92,396)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$(63,451)</w:t>
            </w:r>
          </w:p>
        </w:tc>
      </w:tr>
      <w:tr>
        <w:trPr/>
        <w:tc>
          <w:tcPr>
            <w:tcW w:w="453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Denominator:</w:t>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Weighted-average shares used to compute net </w:t>
            </w:r>
          </w:p>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loss per share, basic and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49,106,752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5,586,424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20,686,526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5,185,007</w:t>
            </w:r>
          </w:p>
        </w:tc>
      </w:tr>
      <w:tr>
        <w:trPr/>
        <w:tc>
          <w:tcPr>
            <w:tcW w:w="453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loss per share, basic and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$(12.24)</w:t>
            </w:r>
          </w:p>
        </w:tc>
      </w:tr>
      <w:tr>
        <w:trPr/>
        <w:tc>
          <w:tcPr>
            <w:tcW w:w="453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following outstanding shares of potentially dilutive securities were excluded from the computation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diluted net loss per share for the period presented because including them would have been antidilutive:</w:t>
      </w:r>
    </w:p>
    <w:tbl>
      <w:tblPr>
        <w:tblW w:w="8857" w:type="dxa"/>
        <w:jc w:val="left"/>
        <w:tblInd w:w="0" w:type="dxa"/>
        <w:tblLayout w:type="fixed"/>
        <w:tblCellMar>
          <w:top w:w="28" w:type="dxa"/>
          <w:left w:w="28" w:type="dxa"/>
          <w:bottom w:w="28" w:type="dxa"/>
          <w:right w:w="28" w:type="dxa"/>
        </w:tblCellMar>
      </w:tblPr>
      <w:tblGrid>
        <w:gridCol w:w="6466"/>
        <w:gridCol w:w="1066"/>
        <w:gridCol w:w="109"/>
        <w:gridCol w:w="1216"/>
      </w:tblGrid>
      <w:tr>
        <w:trPr/>
        <w:tc>
          <w:tcPr>
            <w:tcW w:w="64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646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September 30,</w:t>
            </w:r>
          </w:p>
        </w:tc>
      </w:tr>
      <w:tr>
        <w:trPr/>
        <w:tc>
          <w:tcPr>
            <w:tcW w:w="6466"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r>
      <w:tr>
        <w:trPr/>
        <w:tc>
          <w:tcPr>
            <w:tcW w:w="646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Redeemable convertible preferred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122,231,454</w:t>
            </w:r>
          </w:p>
        </w:tc>
      </w:tr>
      <w:tr>
        <w:trPr/>
        <w:tc>
          <w:tcPr>
            <w:tcW w:w="646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Outstanding options to purchase common stock</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10,006,820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8,009,198</w:t>
            </w:r>
          </w:p>
        </w:tc>
      </w:tr>
      <w:tr>
        <w:trPr/>
        <w:tc>
          <w:tcPr>
            <w:tcW w:w="646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Restricted stock units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813,283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6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Estimated ESPP</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231,558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6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Common stock warrants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1,647,667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1,647,667</w:t>
            </w:r>
          </w:p>
        </w:tc>
      </w:tr>
      <w:tr>
        <w:trPr/>
        <w:tc>
          <w:tcPr>
            <w:tcW w:w="646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10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12,699,328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131,888,319</w:t>
            </w:r>
          </w:p>
        </w:tc>
      </w:tr>
      <w:tr>
        <w:trPr/>
        <w:tc>
          <w:tcPr>
            <w:tcW w:w="64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17. Income Taxes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Company had an effective tax rate of 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for both the three 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months ended September 30,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and 2024. The Company continues to incur operating losses.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During the three 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months ended September 30, 2025</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and 2024, the Company has evaluated all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available evidence, both positive and negative, including historical levels of income, expectations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risks associated with estimates of future taxable income, and has determined that it is more likely than not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that its net deferred tax assets will not be realized. Due to uncertainties surrounding the realization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deferred tax assets, the Company continues to maintain a full valuation allowance against its net deferred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tax assets.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On July 4, 2025, the One Big Beautiful Bill Act (“OBBBA”) was signed into law in the United States which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contains a broad range of tax reform provisions affecting businesses. The provisions of the OBBBA did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not have a material impact on the Company’s condensed consolidated financial statements for the three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18. Subsequent Events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For the interim condensed consolidated financial statements as of September 30, 2025, and for the three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and nine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months then ended, the Company has evaluated events through the date the unaudited interim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condensed consolidated financial statements were available to be issued.</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2025 Facility Lease</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On July 2, 2025, the Company entered into a facility lease agreement for approximately 8,100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rentable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square feet of office space in San Francisco, California for 39 months</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through November 30, 2028, with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option to extend for one</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additional three-year</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period. In connection with the lease, the Company paid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 security deposit of $90,000. The average monthly lease payments are approximately $40,000</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month during the lease term. The lease commenced on November 1, 2025.</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Hayfin Common Stock Warrants Exercise</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On October 22, 2025, Hayfin net exercised all common stock warrants outstanding for 1,646,317</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shares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of common stock. The common stock warrant liability was remeasured to fair value through the date of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exercise, with the related change of approximately $9.3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being reflected as a change in fair value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common stock warrant liability on the consolidated statements of operations and comprehensive loss.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The final fair value of $64.7 million</w:t>
      </w:r>
      <w:r>
        <w:rPr>
          <w:caps w:val="false"/>
          <w:smallCaps w:val="false"/>
          <w:strike w:val="false"/>
          <w:dstrike w:val="false"/>
          <w:sz w:val="24"/>
          <w:u w:val="none"/>
          <w:effect w:val="none"/>
        </w:rPr>
        <w:t xml:space="preserve"> </w:t>
      </w:r>
      <w:r>
        <w:rPr>
          <w:rFonts w:ascii="Arial;sans-serif" w:hAnsi="Arial;sans-serif"/>
          <w:b w:val="false"/>
          <w:i w:val="false"/>
          <w:caps w:val="false"/>
          <w:smallCaps w:val="false"/>
          <w:strike w:val="false"/>
          <w:dstrike w:val="false"/>
          <w:sz w:val="20"/>
          <w:u w:val="none"/>
          <w:effect w:val="none"/>
        </w:rPr>
        <w:t>will be reclassified to stockholders equity (deficit).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39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Heartflow, Inc.</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Notes to Condensed Consolidated Financial Statements</w:t>
      </w:r>
    </w:p>
    <w:p>
      <w:pPr>
        <w:pStyle w:val="TextBody"/>
        <w:bidi w:val="0"/>
        <w:spacing w:lineRule="atLeast" w:line="200" w:before="0" w:after="0"/>
        <w:jc w:val="left"/>
        <w:rPr>
          <w:rFonts w:ascii="Arial;sans-serif" w:hAnsi="Arial;sans-serif"/>
          <w:b/>
          <w:i w:val="false"/>
          <w:caps w:val="false"/>
          <w:smallCaps w:val="false"/>
          <w:strike w:val="false"/>
          <w:dstrike w:val="false"/>
          <w:sz w:val="20"/>
          <w:u w:val="none"/>
          <w:effect w:val="none"/>
        </w:rPr>
      </w:pPr>
      <w:r>
        <w:rPr>
          <w:rFonts w:ascii="Arial;sans-serif" w:hAnsi="Arial;sans-serif"/>
          <w:b/>
          <w:i w:val="false"/>
          <w:caps w:val="false"/>
          <w:smallCaps w:val="false"/>
          <w:strike w:val="false"/>
          <w:dstrike w:val="false"/>
          <w:sz w:val="20"/>
          <w:u w:val="none"/>
          <w:effect w:val="none"/>
        </w:rPr>
        <w:t>(unaudited)</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Civil Investigative Demand Investigation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 October 2025, the Company and certain of its employees received civil investigative demands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CID”) from the U.S. Department of Justice, Civil Division, in connection with an investigation under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federal Anti-Kickback Statute and Civil False Claims Act (the “Investigation”). The CID requests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information, documents, and testimony focused on the Company’s financial and contractual arrangements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with providers and its sales and marketing activities. The Company is cooperating with the Investigation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is unable to express a view at this time regarding the likely duration, or ultimate outcome,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Investigation or estimate the possibility of, or amount or range of, any possible financial impact.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Depending on the outcome of the Investigation, there may be a material impact on the Company’s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business, results of operations, financial condition, or cash flows.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 xml:space="preserve">Item 2. Management's Discussion and Analysis of Financial </w:t>
      </w:r>
    </w:p>
    <w:p>
      <w:pPr>
        <w:pStyle w:val="TextBody"/>
        <w:bidi w:val="0"/>
        <w:spacing w:lineRule="atLeast" w:line="320" w:before="0" w:after="0"/>
        <w:jc w:val="left"/>
        <w:rPr>
          <w:rFonts w:ascii="Arial;sans-serif" w:hAnsi="Arial;sans-serif"/>
          <w:b/>
          <w:i w:val="false"/>
          <w:caps w:val="false"/>
          <w:smallCaps w:val="false"/>
          <w:strike w:val="false"/>
          <w:dstrike w:val="false"/>
          <w:sz w:val="32"/>
          <w:u w:val="none"/>
          <w:effect w:val="none"/>
        </w:rPr>
      </w:pPr>
      <w:r>
        <w:rPr>
          <w:rFonts w:ascii="Arial;sans-serif" w:hAnsi="Arial;sans-serif"/>
          <w:b/>
          <w:i w:val="false"/>
          <w:caps w:val="false"/>
          <w:smallCaps w:val="false"/>
          <w:strike w:val="false"/>
          <w:dstrike w:val="false"/>
          <w:sz w:val="32"/>
          <w:u w:val="none"/>
          <w:effect w:val="none"/>
        </w:rPr>
        <w:t>Condition and Results of Operations</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You should read the following discussion and analysis of our financial condition and results of operations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in conjunction with our condensed consolidated financial statements and the related notes and other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financial information included elsewhere in this Quarterly Report on Form 10-Q and our audited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consolidated financial statements and the related notes and the discussion under the heading </w:t>
      </w:r>
    </w:p>
    <w:p>
      <w:pPr>
        <w:pStyle w:val="TextBody"/>
        <w:bidi w:val="0"/>
        <w:spacing w:lineRule="atLeast" w:line="200" w:before="0" w:after="0"/>
        <w:jc w:val="left"/>
        <w:rPr/>
      </w:pPr>
      <w:r>
        <w:rPr/>
        <w:t>“</w:t>
      </w:r>
      <w:r>
        <w:rPr>
          <w:rFonts w:ascii="Arial;sans-serif" w:hAnsi="Arial;sans-serif"/>
          <w:b w:val="false"/>
          <w:i/>
          <w:sz w:val="20"/>
        </w:rPr>
        <w:t xml:space="preserve">Management’s Discussion and Analysis of Financial Condition and Results of Operations” for the year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ended December 31, 2024 included in our registration statement on Form S-1 (File No. 333-288733),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which became effective on August 7, 2025. This discussion and analysis and other parts of this Quarterly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Report on Form 10-Q contain forward-looking statements based upon our current plans and expectations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that involve risks, uncertainties and assumptions, such as statements regarding our plans, objectives,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expectations, intentions and beliefs. Our actual results and the timing of events could differ materially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from those anticipated in these forward-looking statements as a result of various factors, including those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set forth under Part II, Item 1A, “Risk factors” and elsewhere in this Quarterly Report on Form 10-Q.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Please also see the section titled “Special Note Regarding Forward-looking Statements.” Our historical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results are not necessarily indicative of the results that may be expected for any period in the future.</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Overview</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pioneered the use of software and artificial intelligence (“AI”) to deliver a more accurate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clinically effective non-invasive solution for diagnosing and managing coronary artery disease (“CAD”),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leading cause of death worldwide. As of September 30, 2025, our Heartflow Platform has been used to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assess CAD in more than 500,000 </w:t>
      </w:r>
      <w:r>
        <w:rPr>
          <w:rFonts w:ascii="Arial;sans-serif" w:hAnsi="Arial;sans-serif"/>
          <w:b w:val="false"/>
          <w:i w:val="false"/>
          <w:caps w:val="false"/>
          <w:smallCaps w:val="false"/>
          <w:strike w:val="false"/>
          <w:dstrike w:val="false"/>
          <w:sz w:val="20"/>
          <w:u w:val="none"/>
          <w:effect w:val="none"/>
          <w:shd w:fill="FFFFFF" w:val="clear"/>
        </w:rPr>
        <w:t>patients, including 132,000 in 2024 alone</w:t>
      </w:r>
      <w:r>
        <w:rPr>
          <w:rFonts w:ascii="Arial;sans-serif" w:hAnsi="Arial;sans-serif"/>
          <w:b w:val="false"/>
          <w:i w:val="false"/>
          <w:caps w:val="false"/>
          <w:smallCaps w:val="false"/>
          <w:sz w:val="20"/>
        </w:rPr>
        <w:t xml:space="preserve">. We believe that we are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most widely adopted AI-powered test for CAD. Our novel platform leverages AI and advanced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computational fluid dynamics to create a personalized 3D model of a patient’s heart from a single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coronary computed tomography angiography (“CCTA”), a specialized type of scan that provides detailed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images of the heart’s arteries. Our Heartflow Platform delivers actionable insights on blood flow, stenosis,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plaque volume and plaque composition thereby overcoming the limitations of traditional non-invasive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imaging tests which rely on indirect measures of coronary disease and lead to higher false negative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false positive rates as demonstrated by our PRECISE trial. We believe the differentiated accuracy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clinical utility of our Heartflow Platform, along with its ability to enhance workflows, will continue to support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growth and advance the “CCTA + Heartflow” pathway as the definitive standard for the non-invasive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diagnosis and management of CAD.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date, we have developed three software products (with a fourth product expected to launch in 2026)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 the Heartflow Platform that provide physicians with the critical insights needed to effectively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diagnose and manage CAD: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strike w:val="false"/>
          <w:dstrike w:val="false"/>
          <w:sz w:val="20"/>
          <w:u w:val="none"/>
          <w:effect w:val="none"/>
        </w:rPr>
        <w:t>Heartflow RoadMap Analysis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offers a highly intuitive anatomic visualization of the coronary arteries,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helping physicians quickly identify clinically relevant areas to focus their review. We provide Heartflow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RoadMap Analysis to accounts as an integrated feature to enhance the efficiency of their CCTA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program, and it is not a stand-alone product.</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strike w:val="false"/>
          <w:dstrike w:val="false"/>
          <w:sz w:val="20"/>
          <w:u w:val="none"/>
          <w:effect w:val="none"/>
        </w:rPr>
        <w:t>Heartflow FFR</w:t>
      </w:r>
      <w:r>
        <w:rPr>
          <w:rFonts w:ascii="Arial;sans-serif" w:hAnsi="Arial;sans-serif"/>
          <w:b w:val="false"/>
          <w:i/>
          <w:strike w:val="false"/>
          <w:dstrike w:val="false"/>
          <w:sz w:val="13"/>
          <w:u w:val="none"/>
          <w:effect w:val="none"/>
        </w:rPr>
        <w:t>CT</w:t>
      </w:r>
      <w:r>
        <w:rPr>
          <w:strike w:val="false"/>
          <w:dstrike w:val="false"/>
          <w:u w:val="none"/>
          <w:effect w:val="none"/>
        </w:rPr>
        <w:t xml:space="preserve"> </w:t>
      </w:r>
      <w:r>
        <w:rPr>
          <w:rFonts w:ascii="Arial;sans-serif" w:hAnsi="Arial;sans-serif"/>
          <w:b w:val="false"/>
          <w:i/>
          <w:strike w:val="false"/>
          <w:dstrike w:val="false"/>
          <w:sz w:val="20"/>
          <w:u w:val="none"/>
          <w:effect w:val="none"/>
        </w:rPr>
        <w:t>Analysis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calculates blood flow and pinpoints clinically significant CAD, which is CAD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with a f</w:t>
      </w:r>
      <w:r>
        <w:rPr>
          <w:rFonts w:ascii="Arial;sans-serif" w:hAnsi="Arial;sans-serif"/>
          <w:b w:val="false"/>
          <w:i w:val="false"/>
          <w:caps w:val="false"/>
          <w:smallCaps w:val="false"/>
          <w:sz w:val="20"/>
        </w:rPr>
        <w:t>ractional flow reserve (“FFR”)</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value of 0.80 or below, at every point in the major coronary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arteries. FFR measures the severity of blood flow restriction in the coronary arteries on a scale of 1.0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(no restriction) to 0.0 (complete blockage) by assessing pressure differences across a stenosis during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induced stress, guiding decisions on whether a patient requires invasive revascularization.</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strike w:val="false"/>
          <w:dstrike w:val="false"/>
          <w:sz w:val="20"/>
          <w:u w:val="none"/>
          <w:effect w:val="none"/>
        </w:rPr>
        <w:t>Heartflow Plaque Analysis</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provides a comprehensive assessment of coronary plaque, enabling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optimized medical treatment strategies.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strike w:val="false"/>
          <w:dstrike w:val="false"/>
          <w:sz w:val="20"/>
          <w:u w:val="none"/>
          <w:effect w:val="none"/>
          <w:shd w:fill="FFFFFF" w:val="clear"/>
        </w:rPr>
        <w:t>Heartflow PCI Planner</w:t>
      </w:r>
      <w:r>
        <w:rPr>
          <w:rFonts w:ascii="Arial;sans-serif" w:hAnsi="Arial;sans-serif"/>
          <w:b w:val="false"/>
          <w:i w:val="false"/>
          <w:caps w:val="false"/>
          <w:smallCaps w:val="false"/>
          <w:strike w:val="false"/>
          <w:dstrike w:val="false"/>
          <w:sz w:val="20"/>
          <w:u w:val="none"/>
          <w:effect w:val="none"/>
          <w:shd w:fill="FFFFFF" w:val="clear"/>
        </w:rPr>
        <w:t>, which we</w:t>
      </w:r>
      <w:r>
        <w:rPr>
          <w:caps w:val="false"/>
          <w:smallCaps w:val="false"/>
        </w:rPr>
        <w:t xml:space="preserve"> </w:t>
      </w:r>
      <w:r>
        <w:rPr>
          <w:rFonts w:ascii="Arial;sans-serif" w:hAnsi="Arial;sans-serif"/>
          <w:b w:val="false"/>
          <w:i w:val="false"/>
          <w:caps w:val="false"/>
          <w:smallCaps w:val="false"/>
          <w:sz w:val="20"/>
        </w:rPr>
        <w:t>expect to launch in 2026,</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will provide advanced visualization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clinical insights to optimize revascularization strategies, guide device selection, enhance procedural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efficiency, and improve patient care. We plan to provide Heartflow PCI Planner to accounts as an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integrated feature to enhance procedural efficiency, not as a stand-alone product.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has an existing commercial presence and regulatory approval in the United </w:t>
      </w:r>
    </w:p>
    <w:p>
      <w:pPr>
        <w:pStyle w:val="TextBody"/>
        <w:bidi w:val="0"/>
        <w:spacing w:lineRule="atLeast" w:line="200" w:before="0" w:after="0"/>
        <w:jc w:val="left"/>
        <w:rPr/>
      </w:pPr>
      <w:r>
        <w:rPr>
          <w:rFonts w:ascii="Arial;sans-serif" w:hAnsi="Arial;sans-serif"/>
          <w:b w:val="false"/>
          <w:i w:val="false"/>
          <w:caps w:val="false"/>
          <w:smallCaps w:val="false"/>
          <w:sz w:val="20"/>
        </w:rPr>
        <w:t>States, United Kingdom, European Union, Australia, Canada and Japan.</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z w:val="20"/>
        </w:rPr>
        <w:t xml:space="preserve">We have developed a highly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scalable, capital efficient commercial model that combines Territory Sales Managers who drive new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account adoption with Territory Account Managers who focus on increasing utilization by educating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referring physicians. Our commercial team does not cover cases or otherwise spend time in an operating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room or lab setting, which enables them to focus solely on driving commercial adoption and educational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activities. We also have small, direct commercial teams in our international markets. In the future, we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expand our international presence beyond these markets.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technology is simple and intuitive and does not require the purchase of any capital equipment.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onboarding process seamlessly integrates the Heartflow Platform into the customer’s daily workflow.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These unique attributes of our business model afford our commercial organization a differentiated level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efficiency and scalability.</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experienced considerable revenue growth since we began commercializing the Heartflow </w:t>
      </w:r>
    </w:p>
    <w:p>
      <w:pPr>
        <w:pStyle w:val="TextBody"/>
        <w:bidi w:val="0"/>
        <w:spacing w:lineRule="atLeast" w:line="200" w:before="0" w:after="0"/>
        <w:jc w:val="left"/>
        <w:rPr/>
      </w:pPr>
      <w:r>
        <w:rPr>
          <w:rFonts w:ascii="Arial;sans-serif" w:hAnsi="Arial;sans-serif"/>
          <w:b w:val="false"/>
          <w:i w:val="false"/>
          <w:caps w:val="false"/>
          <w:smallCaps w:val="false"/>
          <w:sz w:val="20"/>
        </w:rPr>
        <w:t>Platform in 2015</w:t>
      </w:r>
      <w:r>
        <w:rPr>
          <w:rFonts w:ascii="Arial;sans-serif" w:hAnsi="Arial;sans-serif"/>
          <w:b w:val="false"/>
          <w:i w:val="false"/>
          <w:caps w:val="false"/>
          <w:smallCaps w:val="false"/>
          <w:strike w:val="false"/>
          <w:dstrike w:val="false"/>
          <w:sz w:val="20"/>
          <w:u w:val="none"/>
          <w:effect w:val="none"/>
          <w:shd w:fill="FFFFFF" w:val="clear"/>
        </w:rPr>
        <w:t xml:space="preserve">, </w:t>
      </w:r>
      <w:r>
        <w:rPr>
          <w:rFonts w:ascii="Arial;sans-serif" w:hAnsi="Arial;sans-serif"/>
          <w:b w:val="false"/>
          <w:i w:val="false"/>
          <w:caps w:val="false"/>
          <w:smallCaps w:val="false"/>
          <w:sz w:val="20"/>
        </w:rPr>
        <w:t xml:space="preserve">driven primarily by growth in our account base and increasing test volumes at accounts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our installed base. For the three months ended September 30, 2025 and 2024, we recognized revenue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$46.3 million and $32.9 million, respectively, and for the nine months ended September 30, 2025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2024, we recognized revenue of $126.9 million and $90.8 million, respectively. Substantially all of our </w:t>
      </w:r>
    </w:p>
    <w:p>
      <w:pPr>
        <w:pStyle w:val="TextBody"/>
        <w:bidi w:val="0"/>
        <w:spacing w:lineRule="atLeast" w:line="200" w:before="0" w:after="0"/>
        <w:jc w:val="left"/>
        <w:rPr/>
      </w:pPr>
      <w:r>
        <w:rPr>
          <w:rFonts w:ascii="Arial;sans-serif" w:hAnsi="Arial;sans-serif"/>
          <w:b w:val="false"/>
          <w:i w:val="false"/>
          <w:caps w:val="false"/>
          <w:smallCaps w:val="false"/>
          <w:sz w:val="20"/>
        </w:rPr>
        <w:t>revenue is generated on</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 “pay-per-click” basis </w:t>
      </w:r>
      <w:r>
        <w:rPr>
          <w:rFonts w:ascii="Arial;sans-serif" w:hAnsi="Arial;sans-serif"/>
          <w:b w:val="false"/>
          <w:i w:val="false"/>
          <w:caps w:val="false"/>
          <w:smallCaps w:val="false"/>
          <w:sz w:val="20"/>
        </w:rPr>
        <w:t xml:space="preserve">each time a physician chooses to review either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or both, and we recognize usage-driven fee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revenue upon delivery of the requested analysis to the physician.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has served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commercial foundation, representing 98% of our total revenue as of September 30, 2025. In the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second half of 2023, we initiated limited market education efforts for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our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second commercial </w:t>
      </w:r>
      <w:r>
        <w:rPr>
          <w:rFonts w:ascii="Arial;sans-serif" w:hAnsi="Arial;sans-serif"/>
          <w:b w:val="false"/>
          <w:i w:val="false"/>
          <w:caps w:val="false"/>
          <w:smallCaps w:val="false"/>
          <w:strike w:val="false"/>
          <w:dstrike w:val="false"/>
          <w:sz w:val="20"/>
          <w:u w:val="none"/>
          <w:effect w:val="none"/>
          <w:shd w:fill="FFFFFF" w:val="clear"/>
        </w:rPr>
        <w:t xml:space="preserve">product, </w:t>
      </w:r>
      <w:r>
        <w:rPr>
          <w:rFonts w:ascii="Arial;sans-serif" w:hAnsi="Arial;sans-serif"/>
          <w:b w:val="false"/>
          <w:i w:val="false"/>
          <w:caps w:val="false"/>
          <w:smallCaps w:val="false"/>
          <w:sz w:val="20"/>
        </w:rPr>
        <w:t xml:space="preserve">and we expect to broaden our market education efforts as payor coverage </w:t>
      </w:r>
    </w:p>
    <w:p>
      <w:pPr>
        <w:pStyle w:val="TextBody"/>
        <w:bidi w:val="0"/>
        <w:spacing w:lineRule="atLeast" w:line="200" w:before="0" w:after="0"/>
        <w:jc w:val="left"/>
        <w:rPr/>
      </w:pPr>
      <w:r>
        <w:rPr>
          <w:rFonts w:ascii="Arial;sans-serif" w:hAnsi="Arial;sans-serif"/>
          <w:b w:val="false"/>
          <w:i w:val="false"/>
          <w:caps w:val="false"/>
          <w:smallCaps w:val="false"/>
          <w:sz w:val="20"/>
        </w:rPr>
        <w:t>for Heartflow Plaque Analysis increases</w:t>
      </w:r>
      <w:r>
        <w:rPr>
          <w:rFonts w:ascii="Arial;sans-serif" w:hAnsi="Arial;sans-serif"/>
          <w:b w:val="false"/>
          <w:i w:val="false"/>
          <w:caps w:val="false"/>
          <w:smallCaps w:val="false"/>
          <w:strike w:val="false"/>
          <w:dstrike w:val="false"/>
          <w:sz w:val="20"/>
          <w:u w:val="none"/>
          <w:effect w:val="none"/>
          <w:shd w:fill="FFFFFF" w:val="clear"/>
        </w:rPr>
        <w:t xml:space="preserve">. Heartflow Plaque Analysis is currently covered by certain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government and third-party payors. Our Heartflow RoadMap Analysis is generally provided as a workflow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efficiency tool to drive customer retention and loyalty and is not a stand-alone product.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Prior to our initial public offering (“IPO”), we primarily funded our operations with proceeds from sales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shares of our redeemable convertible preferred stock, common stock and convertible promissory notes,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borrowings under our term loans and revenue received from our customers. As of September 30,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had $291.2 million in cash and cash equivalents. In January and March 2025, we issued $98.3 million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aggregate principal amount of the 2025 Convertible Notes to investors, including related parties,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original maturity dates of 48 months from the dates of issuance. The consideration for the issuance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2025 Convertible Notes was comprised of $74.0 million in cash, $1.3 million in aggregate principal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amount of notes issued in lieu of cash compensation to certain employees, and the exchange of $23.0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million of outstanding indebtedness under the 2024 Credit Agreement (as defined below).</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August 11, 2025, we completed our IPO, in which we issued and sold 19,166,667 shares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common stock, which includes an additional 2,500,000 shares of common stock purchased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underwriters pursuant to their option to purchase additional shares, at a price to the public of $19.00 per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share. The cash proceeds from our IPO were approximately $332.3 million, net of underwriting discounts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commissions and estimated offering costs of $31.8 million. Additionally, upon the closing of our IPO,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aggregate outstanding principal balance of $98.3 million under the 2025 Convertible Notes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automatically converted into 6,470,743 shares of our common stock at $15.20 per share, a 20% discount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from our IPO price.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incurred significant operating losses and negative cash flows since our inception, and we expect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continue to incur losses as we grow and transition to now operating as a public company. As of </w:t>
      </w:r>
    </w:p>
    <w:p>
      <w:pPr>
        <w:pStyle w:val="TextBody"/>
        <w:bidi w:val="0"/>
        <w:spacing w:lineRule="atLeast" w:line="200" w:before="0" w:after="0"/>
        <w:jc w:val="left"/>
        <w:rPr/>
      </w:pPr>
      <w:r>
        <w:rPr>
          <w:rFonts w:ascii="Arial;sans-serif" w:hAnsi="Arial;sans-serif"/>
          <w:b w:val="false"/>
          <w:i w:val="false"/>
          <w:caps w:val="false"/>
          <w:smallCaps w:val="false"/>
          <w:sz w:val="20"/>
        </w:rPr>
        <w:t>September 30, 2025, we had an accumulated deficit of $1.1 billion</w:t>
      </w:r>
      <w:r>
        <w:rPr>
          <w:rFonts w:ascii="Arial;sans-serif" w:hAnsi="Arial;sans-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 xml:space="preserve">Key Factors Affecting Our Results of Operations and Performance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believe there are several important factors that have impacted and that we expect will continue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impact our operating performance and results of operations for the foreseeable future. These factors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include, among others: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Rate of adoption of CCTA in the market and our ability to increase adoption of the CCTA+ Heartflow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pathway among both referring and reading physicians.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Ability to successfully introduce our Heartflow Plaque Analysis and other new products and the rate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which they are adopted by physicians.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Ability to automate an increasing number of the manual components of our production process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 rate at which we hire and train analysts to full productivity.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Seasonality we experience throughout the year, including due to staff availability, vacations, weather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and other macro economic events.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Publications of clinical results by us and third parties.</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shd w:fill="FFFFFF" w:val="clear"/>
        </w:rPr>
      </w:pPr>
      <w:r>
        <w:rPr>
          <w:rFonts w:ascii="Arial;sans-serif" w:hAnsi="Arial;sans-serif"/>
          <w:b/>
          <w:i w:val="false"/>
          <w:caps w:val="false"/>
          <w:smallCaps w:val="false"/>
          <w:strike w:val="false"/>
          <w:dstrike w:val="false"/>
          <w:sz w:val="24"/>
          <w:u w:val="none"/>
          <w:effect w:val="none"/>
          <w:shd w:fill="FFFFFF" w:val="clear"/>
        </w:rPr>
        <w:t>Heartflow Revenue Cases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We regularly review a number of operating and financial metrics to evaluate our business, measure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performance, identify trends affecting our business, formulate our business plan and make strategic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decisions. Substantially all of our revenue is generated on a “pay-per-click” basis each time a physician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chooses to review either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FFR</w:t>
      </w:r>
      <w:r>
        <w:rPr>
          <w:rFonts w:ascii="Arial;sans-serif" w:hAnsi="Arial;sans-serif"/>
          <w:b w:val="false"/>
          <w:i w:val="false"/>
          <w:caps w:val="false"/>
          <w:smallCaps w:val="false"/>
          <w:strike w:val="false"/>
          <w:dstrike w:val="false"/>
          <w:sz w:val="13"/>
          <w:u w:val="none"/>
          <w:effect w:val="none"/>
          <w:shd w:fill="FFFFFF" w:val="clear"/>
        </w:rPr>
        <w:t>CT</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Analysis,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 xml:space="preserve">Plaque Analysis, or both, and we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recognize usage-driven fee revenue upon delivery of the requested analysis to the physician. We define a </w:t>
      </w:r>
    </w:p>
    <w:p>
      <w:pPr>
        <w:pStyle w:val="TextBody"/>
        <w:bidi w:val="0"/>
        <w:spacing w:lineRule="atLeast" w:line="200" w:before="0" w:after="0"/>
        <w:jc w:val="left"/>
        <w:rPr>
          <w:caps w:val="false"/>
          <w:smallCaps w:val="false"/>
          <w:strike w:val="false"/>
          <w:dstrike w:val="false"/>
          <w:u w:val="none"/>
          <w:effect w:val="none"/>
          <w:shd w:fill="FFFFFF"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 xml:space="preserve">Heartflow revenue case” as each time an account orders and we deliver the requested analysis to the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physician. For example, the ordering of both an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FFR</w:t>
      </w:r>
      <w:r>
        <w:rPr>
          <w:rFonts w:ascii="Arial;sans-serif" w:hAnsi="Arial;sans-serif"/>
          <w:b w:val="false"/>
          <w:i w:val="false"/>
          <w:caps w:val="false"/>
          <w:smallCaps w:val="false"/>
          <w:sz w:val="13"/>
        </w:rPr>
        <w:t>CT</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Analysis and a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 xml:space="preserve">Plaque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Analysis from a single CCTA counts as two revenue cases. We define an “account” as any individual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facility that orders a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FFR</w:t>
      </w:r>
      <w:r>
        <w:rPr>
          <w:rFonts w:ascii="Arial;sans-serif" w:hAnsi="Arial;sans-serif"/>
          <w:b w:val="false"/>
          <w:i w:val="false"/>
          <w:caps w:val="false"/>
          <w:smallCaps w:val="false"/>
          <w:strike w:val="false"/>
          <w:dstrike w:val="false"/>
          <w:sz w:val="13"/>
          <w:u w:val="none"/>
          <w:effect w:val="none"/>
          <w:shd w:fill="FFFFFF" w:val="clear"/>
        </w:rPr>
        <w:t>CT</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Analysis,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 xml:space="preserve">Plaque Analysis, or both. Accounts may have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more than one reading physician or CT machine. The following table lists these revenue cases in each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the three month periods as indicated:</w:t>
      </w:r>
    </w:p>
    <w:tbl>
      <w:tblPr>
        <w:tblW w:w="9577" w:type="dxa"/>
        <w:jc w:val="left"/>
        <w:tblInd w:w="0" w:type="dxa"/>
        <w:tblLayout w:type="fixed"/>
        <w:tblCellMar>
          <w:top w:w="28" w:type="dxa"/>
          <w:left w:w="28" w:type="dxa"/>
          <w:bottom w:w="28" w:type="dxa"/>
          <w:right w:w="28" w:type="dxa"/>
        </w:tblCellMar>
      </w:tblPr>
      <w:tblGrid>
        <w:gridCol w:w="1501"/>
        <w:gridCol w:w="631"/>
        <w:gridCol w:w="109"/>
        <w:gridCol w:w="631"/>
        <w:gridCol w:w="109"/>
        <w:gridCol w:w="631"/>
        <w:gridCol w:w="109"/>
        <w:gridCol w:w="631"/>
        <w:gridCol w:w="109"/>
        <w:gridCol w:w="631"/>
        <w:gridCol w:w="109"/>
        <w:gridCol w:w="631"/>
        <w:gridCol w:w="109"/>
        <w:gridCol w:w="631"/>
        <w:gridCol w:w="109"/>
        <w:gridCol w:w="631"/>
        <w:gridCol w:w="109"/>
        <w:gridCol w:w="631"/>
        <w:gridCol w:w="109"/>
        <w:gridCol w:w="631"/>
        <w:gridCol w:w="109"/>
        <w:gridCol w:w="676"/>
      </w:tblGrid>
      <w:tr>
        <w:trPr/>
        <w:tc>
          <w:tcPr>
            <w:tcW w:w="150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0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Q1 2023</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Q2 2023</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Q3 2023</w:t>
            </w:r>
          </w:p>
        </w:tc>
        <w:tc>
          <w:tcPr>
            <w:tcW w:w="10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Q4 2023</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Q1 2024</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Q2 2024</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Q3 2024</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Q4 2024</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4"/>
                <w:u w:val="none"/>
                <w:effect w:val="none"/>
              </w:rPr>
            </w:pPr>
            <w:r>
              <w:rPr>
                <w:rFonts w:ascii="Arial;sans-serif" w:hAnsi="Arial;sans-serif"/>
                <w:b/>
                <w:i w:val="false"/>
                <w:caps w:val="false"/>
                <w:smallCaps w:val="false"/>
                <w:strike w:val="false"/>
                <w:dstrike w:val="false"/>
                <w:color w:val="000000"/>
                <w:sz w:val="14"/>
                <w:u w:val="none"/>
                <w:effect w:val="none"/>
              </w:rPr>
              <w:t>Q1 2025</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Q2 2025</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16" w:space="0" w:color="000000"/>
              <w:bottom w:val="single" w:sz="8" w:space="0" w:color="000000"/>
            </w:tcBorders>
            <w:tcMar>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sz w:val="14"/>
                <w:u w:val="none"/>
                <w:effect w:val="none"/>
              </w:rPr>
            </w:pPr>
            <w:r>
              <w:rPr>
                <w:rFonts w:ascii="Arial;sans-serif" w:hAnsi="Arial;sans-serif"/>
                <w:b/>
                <w:i w:val="false"/>
                <w:caps w:val="false"/>
                <w:smallCaps w:val="false"/>
                <w:strike w:val="false"/>
                <w:dstrike w:val="false"/>
                <w:sz w:val="14"/>
                <w:u w:val="none"/>
                <w:effect w:val="none"/>
              </w:rPr>
              <w:t>Q3 2025</w:t>
            </w:r>
          </w:p>
        </w:tc>
      </w:tr>
      <w:tr>
        <w:trPr/>
        <w:tc>
          <w:tcPr>
            <w:tcW w:w="1501" w:type="dxa"/>
            <w:tcBorders/>
            <w:shd w:fill="CCEEFF" w:val="clear"/>
            <w:vAlign w:val="center"/>
          </w:tcPr>
          <w:p>
            <w:pPr>
              <w:pStyle w:val="TableContents"/>
              <w:bidi w:val="0"/>
              <w:spacing w:lineRule="atLeast" w:line="142" w:before="0" w:after="0"/>
              <w:jc w:val="left"/>
              <w:rPr/>
            </w:pPr>
            <w:r>
              <w:rPr>
                <w:rFonts w:ascii="Arial;sans-serif" w:hAnsi="Arial;sans-serif"/>
                <w:b w:val="false"/>
                <w:i w:val="false"/>
                <w:caps w:val="false"/>
                <w:smallCaps w:val="false"/>
                <w:strike w:val="false"/>
                <w:dstrike w:val="false"/>
                <w:sz w:val="14"/>
                <w:u w:val="none"/>
                <w:effect w:val="none"/>
              </w:rPr>
              <w:t>Revenue cases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4"/>
                <w:u w:val="none"/>
                <w:effect w:val="none"/>
              </w:rPr>
              <w:t>............</w:t>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19,537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21,769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23,195</w:t>
            </w:r>
          </w:p>
        </w:tc>
        <w:tc>
          <w:tcPr>
            <w:tcW w:w="10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24,897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28,803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33,039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34,970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37,805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40,336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48,423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51,805</w:t>
            </w:r>
          </w:p>
        </w:tc>
      </w:tr>
      <w:tr>
        <w:trPr/>
        <w:tc>
          <w:tcPr>
            <w:tcW w:w="15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The period-to-period change in Heartflow revenue cases is an indicator of our ability to drive adoption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generate sales revenue, and is helpful in tracking the progress of our business. We believe that Heartflow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revenue cases are representative of our current business; however, we anticipate this metric may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substituted for additional or different metrics as our business grows.</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Components of Our Results of Operations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Revenue</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Substantially all of our revenue comprises usage-driven fees from accounts who </w:t>
      </w:r>
      <w:r>
        <w:rPr>
          <w:rFonts w:ascii="Arial;sans-serif" w:hAnsi="Arial;sans-serif"/>
          <w:b w:val="false"/>
          <w:i w:val="false"/>
          <w:caps w:val="false"/>
          <w:smallCaps w:val="false"/>
          <w:strike w:val="false"/>
          <w:dstrike w:val="false"/>
          <w:sz w:val="20"/>
          <w:u w:val="none"/>
          <w:effect w:val="none"/>
          <w:shd w:fill="FFFFFF" w:val="clear"/>
        </w:rPr>
        <w:t xml:space="preserve">order either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FFR</w:t>
      </w:r>
      <w:r>
        <w:rPr>
          <w:rFonts w:ascii="Arial;sans-serif" w:hAnsi="Arial;sans-serif"/>
          <w:b w:val="false"/>
          <w:i w:val="false"/>
          <w:caps w:val="false"/>
          <w:smallCaps w:val="false"/>
          <w:sz w:val="13"/>
        </w:rPr>
        <w:t>CT</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Analysis or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trike w:val="false"/>
          <w:dstrike w:val="false"/>
          <w:sz w:val="20"/>
          <w:u w:val="none"/>
          <w:effect w:val="none"/>
          <w:shd w:fill="FFFFFF" w:val="clear"/>
        </w:rPr>
        <w:t>Plaque Analysis, or both</w:t>
      </w:r>
      <w:r>
        <w:rPr>
          <w:rFonts w:ascii="Arial;sans-serif" w:hAnsi="Arial;sans-serif"/>
          <w:b w:val="false"/>
          <w:i w:val="false"/>
          <w:caps w:val="false"/>
          <w:smallCaps w:val="false"/>
          <w:sz w:val="20"/>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We recognize usage-driven fee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revenue upon delivery of the requested analysis to the physician. </w:t>
      </w:r>
      <w:r>
        <w:rPr>
          <w:rFonts w:ascii="Arial;sans-serif" w:hAnsi="Arial;sans-serif"/>
          <w:b w:val="false"/>
          <w:i w:val="false"/>
          <w:caps w:val="false"/>
          <w:smallCaps w:val="false"/>
          <w:sz w:val="20"/>
        </w:rPr>
        <w:t xml:space="preserve">Key factors that drive our revenue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include revenue case growth from our installed base and the success of our sales force in expanding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adoption of the Heartflow Platform to new accounts and expanding the utilization of our system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accounts in our installed base. We consider an account that has our Heartflow solution deployed with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ability to send us CCTA images for processing as being part of our installed base. New accounts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generally take 12 months to reach steady state revenue case volumes. We consider steady state case </w:t>
      </w:r>
    </w:p>
    <w:p>
      <w:pPr>
        <w:pStyle w:val="TextBody"/>
        <w:bidi w:val="0"/>
        <w:spacing w:lineRule="atLeast" w:line="200" w:before="0" w:after="0"/>
        <w:jc w:val="left"/>
        <w:rPr/>
      </w:pPr>
      <w:r>
        <w:rPr>
          <w:rFonts w:ascii="Arial;sans-serif" w:hAnsi="Arial;sans-serif"/>
          <w:b w:val="false"/>
          <w:i w:val="false"/>
          <w:caps w:val="false"/>
          <w:smallCaps w:val="false"/>
          <w:sz w:val="20"/>
        </w:rPr>
        <w:t>volumes to be attained once the account reaches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utilization rates approaching 33% of CCTAs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occurring at the account—a level that is generally sustained over time based on historical trends. Our </w:t>
      </w:r>
    </w:p>
    <w:p>
      <w:pPr>
        <w:pStyle w:val="TextBody"/>
        <w:bidi w:val="0"/>
        <w:spacing w:lineRule="atLeast" w:line="200" w:before="0" w:after="0"/>
        <w:jc w:val="left"/>
        <w:rPr/>
      </w:pPr>
      <w:r>
        <w:rPr>
          <w:rFonts w:ascii="Arial;sans-serif" w:hAnsi="Arial;sans-serif"/>
          <w:b w:val="false"/>
          <w:i w:val="false"/>
          <w:caps w:val="false"/>
          <w:smallCaps w:val="false"/>
          <w:sz w:val="20"/>
        </w:rPr>
        <w:t>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is indicated for patients with stenosis levels between 40% and 90%, and we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rFonts w:ascii="Arial;sans-serif" w:hAnsi="Arial;sans-serif"/>
          <w:b w:val="false"/>
          <w:i w:val="false"/>
          <w:caps w:val="false"/>
          <w:smallCaps w:val="false"/>
          <w:sz w:val="20"/>
        </w:rPr>
        <w:t xml:space="preserve">believe approximately 33% of patients have this level of stenosis. </w:t>
      </w:r>
      <w:r>
        <w:rPr>
          <w:rFonts w:ascii="Arial;sans-serif" w:hAnsi="Arial;sans-serif"/>
          <w:b w:val="false"/>
          <w:i w:val="false"/>
          <w:caps w:val="false"/>
          <w:smallCaps w:val="false"/>
          <w:strike w:val="false"/>
          <w:dstrike w:val="false"/>
          <w:sz w:val="20"/>
          <w:u w:val="none"/>
          <w:effect w:val="none"/>
          <w:shd w:fill="FFFFFF" w:val="clear"/>
        </w:rPr>
        <w:t xml:space="preserve">For purposes of managing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business, we do not separately track increases in revenue solely attributable to new accounts. </w:t>
      </w:r>
      <w:r>
        <w:rPr>
          <w:rFonts w:ascii="Arial;sans-serif" w:hAnsi="Arial;sans-serif"/>
          <w:b w:val="false"/>
          <w:i w:val="false"/>
          <w:caps w:val="false"/>
          <w:smallCaps w:val="false"/>
          <w:sz w:val="20"/>
        </w:rPr>
        <w:t xml:space="preserve">Revenue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cases generated from clinic or office-based accounts typically carry a lower pricing than hospital-based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accounts, commensurate with their lower reimbursement levels. We expect the percentage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revenue cases generated from clinic or office-based accounts to continue to increase over time.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percentage of our U.S. revenue cases attributable to office and clinic-based accounts was 32% and 29%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the three months ended September 30, 2025 and 2024, respectively, and 31% and 28% for the nine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months ended September 30, 2025 and 2024, respectively.</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While a single customer may include multiple accounts, no</w:t>
      </w:r>
      <w:r>
        <w:rPr>
          <w:caps w:val="false"/>
          <w:smallCaps w:val="false"/>
        </w:rPr>
        <w:t xml:space="preserve"> </w:t>
      </w:r>
      <w:r>
        <w:rPr>
          <w:rFonts w:ascii="Arial;sans-serif" w:hAnsi="Arial;sans-serif"/>
          <w:b w:val="false"/>
          <w:i w:val="false"/>
          <w:caps w:val="false"/>
          <w:smallCaps w:val="false"/>
          <w:sz w:val="20"/>
        </w:rPr>
        <w:t xml:space="preserve">single customer accounted for 10% or more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revenue during the three and nine months ended September 30, 2025 and 2024. However,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decision-making function for some of these accounts is concentrated in a relatively small number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customers, such that the loss of one customer could result in a disproportionate loss across our accounts.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example, for the year ended December 31, 2024, our top two largest customers, both large health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systems with multiple accounts, collectively represented approximately 8% of our revenue. As we expand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adoption of the Heartflow Platform, we expect a majority of new accounts to come from new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customers, decreasing our customer concentration risk.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revenue has fluctuated, and we expect it to continue to fluctuate from quarter-to-quarter due to a </w:t>
      </w:r>
    </w:p>
    <w:p>
      <w:pPr>
        <w:pStyle w:val="TextBody"/>
        <w:bidi w:val="0"/>
        <w:spacing w:lineRule="atLeast" w:line="200" w:before="0" w:after="0"/>
        <w:jc w:val="left"/>
        <w:rPr/>
      </w:pPr>
      <w:r>
        <w:rPr>
          <w:rFonts w:ascii="Arial;sans-serif" w:hAnsi="Arial;sans-serif"/>
          <w:b w:val="false"/>
          <w:i w:val="false"/>
          <w:caps w:val="false"/>
          <w:smallCaps w:val="false"/>
          <w:sz w:val="20"/>
        </w:rPr>
        <w:t>variety of factors includ</w:t>
      </w:r>
      <w:r>
        <w:rPr>
          <w:rFonts w:ascii="Arial;sans-serif" w:hAnsi="Arial;sans-serif"/>
          <w:b w:val="false"/>
          <w:i w:val="false"/>
          <w:caps w:val="false"/>
          <w:smallCaps w:val="false"/>
          <w:strike w:val="false"/>
          <w:dstrike w:val="false"/>
          <w:sz w:val="20"/>
          <w:u w:val="none"/>
          <w:effect w:val="none"/>
          <w:shd w:fill="FFFFFF" w:val="clear"/>
        </w:rPr>
        <w:t xml:space="preserve">ing the number of accounts in our installed base, the volume of Heartflow Platform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usage by accounts in our installed base, </w:t>
      </w:r>
      <w:r>
        <w:rPr>
          <w:rFonts w:ascii="Arial;sans-serif" w:hAnsi="Arial;sans-serif"/>
          <w:b w:val="false"/>
          <w:i w:val="false"/>
          <w:caps w:val="false"/>
          <w:smallCaps w:val="false"/>
          <w:sz w:val="20"/>
        </w:rPr>
        <w:t xml:space="preserve">customer pricing contracts that include utilization and volume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rebates, </w:t>
      </w:r>
      <w:r>
        <w:rPr>
          <w:rFonts w:ascii="Arial;sans-serif" w:hAnsi="Arial;sans-serif"/>
          <w:b w:val="false"/>
          <w:i w:val="false"/>
          <w:caps w:val="false"/>
          <w:smallCaps w:val="false"/>
          <w:strike w:val="false"/>
          <w:dstrike w:val="false"/>
          <w:sz w:val="20"/>
          <w:u w:val="none"/>
          <w:effect w:val="none"/>
          <w:shd w:fill="FFFFFF" w:val="clear"/>
        </w:rPr>
        <w:t xml:space="preserve">changes in the mix of customer accounts and seasonality. We may experience fluctuations in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volume of Heartflow Platform usage by our customers based on seasonal factors that impact the number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of radiologists and support staff available to conduct CCTAs at customer accounts.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Cost of revenue and gross margin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 of revenue consists of personnel and related expenses, including stock-based compensation costs,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primarily related to our production team. Additional costs include third-party hosting fees, amortization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capitalized internal-use software, amortization of contract fulfillment costs as well as royalties associated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technology licenses used in connection with the delivery of our product and allocated overhead,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includes facilities expenses, equipment, depreciation and technology services. These costs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partially offset by capitalized contract fulfillment costs. The role of the production team is to support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patient case volume revenue by performing defined quality-related activities on CCTA scans submitted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customers for analysis. The portion of these costs that supports patient case volume revenue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recorded as cost of revenue. The production team also supports activities in our clinical trials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which are allocated as research and development expense. We expect cost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revenue to increase as we hire additional personnel in our production team to support our increasing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patient case volume.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calculate gross margin as gross profit divided by revenue. Our gross margin has been and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continue to be affected by a variety of factors, primarily by our production team costs, the timing of hiring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new production team members and training them to full productivity, the timing of our acquisition of new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customers and the related capitalization of contract fulfillment costs, and the pricing and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commercialization of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and other new products. Although, we expect our gross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margin to fluctuate from period to period, based upon the factors described above, we believe our gross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margin will increase over the long term as we leverage the AI-based nature of our software platform to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automate an increasing number of the manual components of our production </w:t>
      </w:r>
      <w:r>
        <w:rPr>
          <w:rFonts w:ascii="Arial;sans-serif" w:hAnsi="Arial;sans-serif"/>
          <w:b w:val="false"/>
          <w:i w:val="false"/>
          <w:caps w:val="false"/>
          <w:smallCaps w:val="false"/>
          <w:strike w:val="false"/>
          <w:dstrike w:val="false"/>
          <w:sz w:val="20"/>
          <w:u w:val="none"/>
          <w:effect w:val="none"/>
          <w:shd w:fill="FFFFFF" w:val="clear"/>
        </w:rPr>
        <w:t>team’s p</w:t>
      </w:r>
      <w:r>
        <w:rPr>
          <w:rFonts w:ascii="Arial;sans-serif" w:hAnsi="Arial;sans-serif"/>
          <w:b w:val="false"/>
          <w:i w:val="false"/>
          <w:caps w:val="false"/>
          <w:smallCaps w:val="false"/>
          <w:sz w:val="20"/>
        </w:rPr>
        <w:t xml:space="preserve">rocess, thereby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lowering the cost of revenue per analysis. We also expect increased revenues from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Analysis to positively impact our gross margin, as it runs on the same CCTA scan as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In the short term, we expect modulations in our gross margin as we hire and train additional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personnel in our production team to support our increasing patient case volume. These expenses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offset by the varying levels of support provided by the production team in our clinical trials and research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development, which are allocated as research and development expense, and the capitalization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contract fulfillment costs.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Operating expenses</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Research and development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expenses are incurred in connection with the advancement of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with the goal to introduce products, features and improvements aimed at increasing the value </w:t>
      </w:r>
    </w:p>
    <w:p>
      <w:pPr>
        <w:pStyle w:val="TextBody"/>
        <w:bidi w:val="0"/>
        <w:spacing w:lineRule="atLeast" w:line="200" w:before="0" w:after="0"/>
        <w:jc w:val="left"/>
        <w:rPr/>
      </w:pPr>
      <w:r>
        <w:rPr>
          <w:rFonts w:ascii="Arial;sans-serif" w:hAnsi="Arial;sans-serif"/>
          <w:b w:val="false"/>
          <w:i w:val="false"/>
          <w:caps w:val="false"/>
          <w:smallCaps w:val="false"/>
          <w:sz w:val="20"/>
        </w:rPr>
        <w:t>proposition for our custome</w:t>
      </w:r>
      <w:r>
        <w:rPr>
          <w:rFonts w:ascii="Arial;sans-serif" w:hAnsi="Arial;sans-serif"/>
          <w:b w:val="false"/>
          <w:i w:val="false"/>
          <w:caps w:val="false"/>
          <w:smallCaps w:val="false"/>
          <w:strike w:val="false"/>
          <w:dstrike w:val="false"/>
          <w:sz w:val="20"/>
          <w:u w:val="none"/>
          <w:effect w:val="none"/>
          <w:shd w:fill="FFFFFF" w:val="clear"/>
        </w:rPr>
        <w:t xml:space="preserve">rs by expanding its applicability to additional disease states and patient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populations. Research and development expenses </w:t>
      </w:r>
      <w:r>
        <w:rPr>
          <w:rFonts w:ascii="Arial;sans-serif" w:hAnsi="Arial;sans-serif"/>
          <w:b w:val="false"/>
          <w:i w:val="false"/>
          <w:caps w:val="false"/>
          <w:smallCaps w:val="false"/>
          <w:sz w:val="20"/>
        </w:rPr>
        <w:t>consist primarily of</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engineering, product development,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consulting services, clinical studies to develop and support our products, regulatory activities, medical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affairs, and ot</w:t>
      </w:r>
      <w:r>
        <w:rPr>
          <w:rFonts w:ascii="Arial;sans-serif" w:hAnsi="Arial;sans-serif"/>
          <w:b w:val="false"/>
          <w:i w:val="false"/>
          <w:caps w:val="false"/>
          <w:smallCaps w:val="false"/>
          <w:sz w:val="20"/>
        </w:rPr>
        <w:t xml:space="preserve">her costs associated with products and technologies that are in development. </w:t>
      </w:r>
      <w:r>
        <w:rPr>
          <w:rFonts w:ascii="Arial;sans-serif" w:hAnsi="Arial;sans-serif"/>
          <w:b w:val="false"/>
          <w:i w:val="false"/>
          <w:caps w:val="false"/>
          <w:smallCaps w:val="false"/>
          <w:strike w:val="false"/>
          <w:dstrike w:val="false"/>
          <w:sz w:val="20"/>
          <w:u w:val="none"/>
          <w:effect w:val="none"/>
          <w:shd w:fill="FFFFFF" w:val="clear"/>
        </w:rPr>
        <w:t>Rese</w:t>
      </w:r>
      <w:r>
        <w:rPr>
          <w:rFonts w:ascii="Arial;sans-serif" w:hAnsi="Arial;sans-serif"/>
          <w:b w:val="false"/>
          <w:i w:val="false"/>
          <w:caps w:val="false"/>
          <w:smallCaps w:val="false"/>
          <w:sz w:val="20"/>
        </w:rPr>
        <w:t xml:space="preserve">arch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development expenses consist of personnel and related expenses, including stock-based compensation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costs, clinical trials, third-party consulting costs, the portion of the costs incurred by our production team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support clinical trials and research and development efforts, and allocated overhead, including facilities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expenses, equipment and depreciation. Our research and development team is comprised of PhD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scientists with expertise in AI-based algorithms and medical imaging, alongside software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engineers skilled in cloud architecture, AI algorithms, machine and deep learning and 3D visualization,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well as product managers and designers who ensure optimal customer experience and design. We record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expenses in the periods in which they are incurred. We expect our research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development expenses to increase as we conduct clinical studies for expanded indications for use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to hire additional personnel to develop new product offerings and product enhancements.</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Selling, general and administrative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Selling, general and administrative expenses consist of personnel and related expenses, including stock-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based compensation costs, related to selling and marketing, commercial operations, reimbursement,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finance, legal, information technology and human resources functions. Other expenses include sales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commission, marketing initiatives, professional service fees (including legal, audit, accounting and tax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fees), market access work to secure reimbursement for our technologies, travel expenses, conferences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trade shows, and allocated overhead, which includes facilities expenses, software licenses,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depreciation and other miscellaneous expenses.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expect that our selling, general and administrative expenses will increase in the future as a result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expanding our operations, including hiring personnel, to both drive and support anticipated growth as well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various incremental costs associated with operating as a public company. We expect that our costs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related to legal, audit, accounting fees, consulting fees, regulatory and tax-related services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associated with maintaining compliance with exchange listing and SEC requirements, director and officer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insurance costs, investor and public relations costs and other expenses that we did not incur as a private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company. However, we expect selling, general and administrative expenses to decrease as a percentage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of revenue primarily as, and to the extent, our revenue grows.</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Interest expense, net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Interest expense, net consisted primarily of interest expense on our 2024 Term Loan and related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amortization of debt discount and debt issuance costs. Interest income is primarily interest earned on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cash and cash equivalents. </w:t>
      </w:r>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 xml:space="preserve">Other income (expense), net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income (expense), net consists primarily of changes in fair value related to our common stock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warrant and derivative liability, loss on extinguishment of debt, as well as foreign exchange transaction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gains or losses from transactions and asset and liability balances denominated in currencies other than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U.S. dollar. We will continue to record adjustments to the estimated fair value of the common stock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warrant liability until the warrants are exercised and we continued to record adjustments to the estimated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fair value of the derivative liability until their conversion upon our IPO. All of our common stock warrants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were net exercised in October 2025.</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Provision for income taxes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Provision for income taxes consists of income tax expense in foreign jurisdictions. To date, we have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recorded any U.S. federal or state income tax expense. We have net deferred tax assets for U.S. federal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income taxes for which we provide a full valuation allowance. Due to our history of net operating losses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since inception, we expect to maintain a full valuation allowance in the foreseeable future due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uncertainties regarding our ability to realize these assets.</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Results of Operations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Comparison of Three Months Ended September 30, 2025 and 2024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following table summarizes our results of operations for the three months ended September 30,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2024:</w:t>
      </w:r>
    </w:p>
    <w:tbl>
      <w:tblPr>
        <w:tblW w:w="7577" w:type="dxa"/>
        <w:jc w:val="left"/>
        <w:tblInd w:w="0" w:type="dxa"/>
        <w:tblLayout w:type="fixed"/>
        <w:tblCellMar>
          <w:top w:w="28" w:type="dxa"/>
          <w:left w:w="28" w:type="dxa"/>
          <w:bottom w:w="28" w:type="dxa"/>
          <w:right w:w="28" w:type="dxa"/>
        </w:tblCellMar>
      </w:tblPr>
      <w:tblGrid>
        <w:gridCol w:w="3856"/>
        <w:gridCol w:w="916"/>
        <w:gridCol w:w="109"/>
        <w:gridCol w:w="916"/>
        <w:gridCol w:w="109"/>
        <w:gridCol w:w="916"/>
        <w:gridCol w:w="109"/>
        <w:gridCol w:w="646"/>
      </w:tblGrid>
      <w:tr>
        <w:trPr/>
        <w:tc>
          <w:tcPr>
            <w:tcW w:w="38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8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Three Months Ended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Change</w:t>
            </w:r>
          </w:p>
        </w:tc>
      </w:tr>
      <w:tr>
        <w:trPr/>
        <w:tc>
          <w:tcPr>
            <w:tcW w:w="3856"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(dollars in thousands)</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$32,934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$13,342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Cost of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7,997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Gross profit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35,415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24,937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42%</w:t>
            </w:r>
          </w:p>
        </w:tc>
      </w:tr>
      <w:tr>
        <w:trPr/>
        <w:tc>
          <w:tcPr>
            <w:tcW w:w="385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Operating expenses:</w:t>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Research and development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11,863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5,434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Selling, 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33,217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28,003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5,214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operating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50,514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39,866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10,648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27%</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Loss from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(15,099)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(14,929)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Interest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-61%</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Other income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(34,000)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(34,267)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Loss before 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166%</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$(50,855)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166%</w:t>
            </w:r>
          </w:p>
        </w:tc>
      </w:tr>
      <w:tr>
        <w:trPr/>
        <w:tc>
          <w:tcPr>
            <w:tcW w:w="3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    Not Meaningful</w:t>
      </w:r>
    </w:p>
    <w:p>
      <w:pPr>
        <w:pStyle w:val="TextBody"/>
        <w:bidi w:val="0"/>
        <w:spacing w:lineRule="atLeast" w:line="200" w:before="0" w:after="0"/>
        <w:jc w:val="left"/>
        <w:rPr>
          <w:rFonts w:ascii="Arial;sans-serif" w:hAnsi="Arial;sans-serif"/>
          <w:b/>
          <w:i/>
          <w:sz w:val="20"/>
        </w:rPr>
      </w:pPr>
      <w:r>
        <w:rPr>
          <w:rFonts w:ascii="Arial;sans-serif" w:hAnsi="Arial;sans-serif"/>
          <w:b/>
          <w:i/>
          <w:sz w:val="20"/>
        </w:rPr>
        <w:t>Revenue</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Revenue increased $</w:t>
      </w:r>
      <w:r>
        <w:rPr>
          <w:rFonts w:ascii="Arial;sans-serif" w:hAnsi="Arial;sans-serif"/>
          <w:b w:val="false"/>
          <w:i w:val="false"/>
          <w:caps w:val="false"/>
          <w:smallCaps w:val="false"/>
          <w:strike w:val="false"/>
          <w:dstrike w:val="false"/>
          <w:sz w:val="20"/>
          <w:u w:val="none"/>
          <w:effect w:val="none"/>
        </w:rPr>
        <w:t>13.3</w:t>
      </w:r>
      <w:r>
        <w:rPr>
          <w:caps w:val="false"/>
          <w:smallCaps w:val="false"/>
          <w:sz w:val="24"/>
        </w:rPr>
        <w:t> </w:t>
      </w:r>
      <w:r>
        <w:rPr>
          <w:rFonts w:ascii="Arial;sans-serif" w:hAnsi="Arial;sans-serif"/>
          <w:b w:val="false"/>
          <w:i w:val="false"/>
          <w:caps w:val="false"/>
          <w:smallCaps w:val="false"/>
          <w:sz w:val="20"/>
        </w:rPr>
        <w:t xml:space="preserve">million, or 41%, to $46.3 million during the three months ended September 30, </w:t>
      </w:r>
    </w:p>
    <w:p>
      <w:pPr>
        <w:pStyle w:val="TextBody"/>
        <w:bidi w:val="0"/>
        <w:spacing w:lineRule="atLeast" w:line="200" w:before="0" w:after="0"/>
        <w:jc w:val="left"/>
        <w:rPr/>
      </w:pPr>
      <w:r>
        <w:rPr>
          <w:rFonts w:ascii="Arial;sans-serif" w:hAnsi="Arial;sans-serif"/>
          <w:b w:val="false"/>
          <w:i w:val="false"/>
          <w:caps w:val="false"/>
          <w:smallCaps w:val="false"/>
          <w:sz w:val="20"/>
        </w:rPr>
        <w:t>2025, compared to $32.9 million during the three months ended September</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30, 2024. The increase in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revenue was primarily attributable to </w:t>
      </w:r>
      <w:r>
        <w:rPr>
          <w:rFonts w:ascii="Arial;sans-serif" w:hAnsi="Arial;sans-serif"/>
          <w:b w:val="false"/>
          <w:i w:val="false"/>
          <w:caps w:val="false"/>
          <w:smallCaps w:val="false"/>
          <w:sz w:val="20"/>
        </w:rPr>
        <w:t>a 48%</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increase in revenue case volume, partially offset by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reduction in average sales price due to a higher percentage of revenue cases generated from clinic and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office-based accounts and an increase in </w:t>
      </w:r>
      <w:r>
        <w:rPr>
          <w:rFonts w:ascii="Arial;sans-serif" w:hAnsi="Arial;sans-serif"/>
          <w:b w:val="false"/>
          <w:i w:val="false"/>
          <w:caps w:val="false"/>
          <w:smallCaps w:val="false"/>
          <w:sz w:val="20"/>
        </w:rPr>
        <w:t>utilization and volume rebates</w:t>
      </w:r>
      <w:r>
        <w:rPr>
          <w:rFonts w:ascii="Arial;sans-serif" w:hAnsi="Arial;sans-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rFonts w:ascii="Arial;sans-serif" w:hAnsi="Arial;sans-serif"/>
          <w:b/>
          <w:i/>
          <w:strike w:val="false"/>
          <w:dstrike w:val="false"/>
          <w:sz w:val="20"/>
          <w:u w:val="none"/>
          <w:effect w:val="none"/>
          <w:shd w:fill="FFFFFF" w:val="clear"/>
        </w:rPr>
      </w:pPr>
      <w:r>
        <w:rPr>
          <w:rFonts w:ascii="Arial;sans-serif" w:hAnsi="Arial;sans-serif"/>
          <w:b/>
          <w:i/>
          <w:strike w:val="false"/>
          <w:dstrike w:val="false"/>
          <w:sz w:val="20"/>
          <w:u w:val="none"/>
          <w:effect w:val="none"/>
          <w:shd w:fill="FFFFFF" w:val="clear"/>
        </w:rPr>
        <w:t>Cost of revenue and gross margin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 of revenue increased $2.9 million, or 36%, to $10.9 million during the three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2025, compared to $8.0 million during the three months ended September 30, 2024.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was primarily attributable to an increase of $2.2 million in personnel and related expenses, $0.3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million in third-party hosting fees, $0.2 million in royalties, and $0.1 million in computer hardware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expenses. Personnel and related expenses included $127,000 and $71,000 of stock-based compensation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costs during the three months ended September 30, 2025 and 2024, respectively. Gross margin for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three months ended September 30, 2025 increased to 77% as compared to 76% for the three months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ended September 30, 2024. </w:t>
      </w:r>
      <w:r>
        <w:rPr>
          <w:rFonts w:ascii="Arial;sans-serif" w:hAnsi="Arial;sans-serif"/>
          <w:b w:val="false"/>
          <w:i w:val="false"/>
          <w:caps w:val="false"/>
          <w:smallCaps w:val="false"/>
          <w:strike w:val="false"/>
          <w:dstrike w:val="false"/>
          <w:sz w:val="20"/>
          <w:u w:val="none"/>
          <w:effect w:val="none"/>
          <w:shd w:fill="FFFFFF" w:val="clear"/>
        </w:rPr>
        <w:t xml:space="preserve">The increase in our gross margin for the three months ended September 30,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2025 w</w:t>
      </w:r>
      <w:r>
        <w:rPr>
          <w:rFonts w:ascii="Arial;sans-serif" w:hAnsi="Arial;sans-serif"/>
          <w:b w:val="false"/>
          <w:i w:val="false"/>
          <w:caps w:val="false"/>
          <w:smallCaps w:val="false"/>
          <w:strike w:val="false"/>
          <w:dstrike w:val="false"/>
          <w:sz w:val="20"/>
          <w:u w:val="none"/>
          <w:effect w:val="none"/>
        </w:rPr>
        <w:t xml:space="preserve">as primarily attributable to our increase in revenue case volume and improved production team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productivity partially offset by our continued investment in the hiring and training of additional personnel in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our production team to support our increasing revenue case volume</w:t>
      </w:r>
      <w:r>
        <w:rPr>
          <w:rFonts w:ascii="Arial;sans-serif" w:hAnsi="Arial;sans-serif"/>
          <w:b w:val="false"/>
          <w:i w:val="false"/>
          <w:caps w:val="false"/>
          <w:smallCaps w:val="false"/>
          <w:strike w:val="false"/>
          <w:dstrike w:val="false"/>
          <w:sz w:val="20"/>
          <w:u w:val="none"/>
          <w:effect w:val="none"/>
          <w:shd w:fill="FFFFFF" w:val="clear"/>
        </w:rPr>
        <w:t xml:space="preserve">. Although we expect to continue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invest in the hiring and training of additional personnel in our production team, we expect our gross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margin will continue to increase over the longer term.</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Research and development expenses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expenses increased $5.4 million, or 46%, to $17.3 million during the three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months ended September 30, 2025, compared to $11.9 million during the three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2024. The increase in research and development expenses was primarily attributable to an increase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$3.6 million in personnel and related expenses directly associated with an increase in headcount,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$0.7 million in consulting and professional fees, $0.4 million in allocated production team costs to support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clinical trials and research and development efforts, $0.3 million in software-related costs, $0.2 million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third-party hosting fees and $0.1 million in allocated overhead. Personnel and related expenses included </w:t>
      </w:r>
    </w:p>
    <w:p>
      <w:pPr>
        <w:pStyle w:val="TextBody"/>
        <w:bidi w:val="0"/>
        <w:spacing w:lineRule="atLeast" w:line="200" w:before="0" w:after="0"/>
        <w:jc w:val="left"/>
        <w:rPr/>
      </w:pPr>
      <w:r>
        <w:rPr>
          <w:rFonts w:ascii="Arial;sans-serif" w:hAnsi="Arial;sans-serif"/>
          <w:b w:val="false"/>
          <w:i w:val="false"/>
          <w:caps w:val="false"/>
          <w:smallCaps w:val="false"/>
          <w:sz w:val="20"/>
        </w:rPr>
        <w:t>$1.0 million and $0.6 million of stock-based compensation costs durin</w:t>
      </w:r>
      <w:r>
        <w:rPr>
          <w:rFonts w:ascii="Arial;sans-serif" w:hAnsi="Arial;sans-serif"/>
          <w:b w:val="false"/>
          <w:i w:val="false"/>
          <w:caps w:val="false"/>
          <w:smallCaps w:val="false"/>
          <w:strike w:val="false"/>
          <w:dstrike w:val="false"/>
          <w:sz w:val="20"/>
          <w:u w:val="none"/>
          <w:effect w:val="none"/>
          <w:shd w:fill="FFFFFF" w:val="clear"/>
        </w:rPr>
        <w:t xml:space="preserve">g the three months ended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September 30, 2025 and 2024, respectively.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Selling, general and administrative expenses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Selling, general and administrative expenses increased $5.2 million, or 19%, to $33.2 million during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three months ended September 30, 2025, compared to $28.0 million during the three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2024. The increase in selling, general and administrative expenses was primarily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attributable to an increase of $4.4 million in personnel and related expenses directly associated with an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increase in headcount, </w:t>
      </w:r>
      <w:r>
        <w:rPr>
          <w:rFonts w:ascii="Arial;sans-serif" w:hAnsi="Arial;sans-serif"/>
          <w:b w:val="false"/>
          <w:i w:val="false"/>
          <w:caps w:val="false"/>
          <w:smallCaps w:val="false"/>
          <w:strike w:val="false"/>
          <w:dstrike w:val="false"/>
          <w:sz w:val="20"/>
          <w:u w:val="none"/>
          <w:effect w:val="none"/>
        </w:rPr>
        <w:t>$0.5 million in computer hardware and software-related costs</w:t>
      </w:r>
      <w:r>
        <w:rPr>
          <w:rFonts w:ascii="Arial;sans-serif" w:hAnsi="Arial;sans-serif"/>
          <w:b w:val="false"/>
          <w:i w:val="false"/>
          <w:caps w:val="false"/>
          <w:smallCaps w:val="false"/>
          <w:sz w:val="20"/>
        </w:rPr>
        <w:t xml:space="preserve">, $0.5 million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advertising and other promotional expenses, $0.4 million in travel expenses, partially offset by a decrease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$0.3 million in allocated overhead, $0.2 million in professional fees, including legal, audit and consulting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fees, and $0.2 million in capitalized commissions and implementation costs. Personnel and related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expenses included $2.9 million and $1.7 million of stock-based compensation costs for the three months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ended September 30, 2025 and 2024, respectively.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Interest expense, net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Interest expense, net decreased to an expense of $1.7 million during the three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2025, compared to an expense of $4.5 million during the three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2024. This decreased expense was mainly attributable to the repayment in full of our 2024 Term Loan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August 2025 and the conversion of our 2025 Convertible Notes to common stock upon IPO in August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2025.</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Other income (expense), net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income (expense), net increased to an expense of $34.0 million during the three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2025, compared to an income of $0.3 million during the three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2024. The increase was primarily attributable to a $32.1 million charge from the remeasurement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recognition of the change in fair value related to our common stock warrant liability and a $6.4 million loss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extinguishment of debt related to the full repayment of our 2024 Term Loan in August 2025, partially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offset by a $4.8 million benefit from the remeasurement and recognition of the change in fair value related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to our derivative liability during the three months ended September 30, 2025.</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Provision for income taxes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Provision for income taxes was $30,000 for the three months ended September 30, 2025, compared to $0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the three months ended September 30, 2024, which was related to our state and foreign taxes.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Comparison of Nine Months Ended September 30, 2025 and 2024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following table summarizes our results of operations for the nine months ended September 30, 2025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and </w:t>
      </w:r>
      <w:r>
        <w:rPr>
          <w:rFonts w:ascii="Arial;sans-serif" w:hAnsi="Arial;sans-serif"/>
          <w:b w:val="false"/>
          <w:i w:val="false"/>
          <w:caps w:val="false"/>
          <w:smallCaps w:val="false"/>
          <w:strike w:val="false"/>
          <w:dstrike w:val="false"/>
          <w:sz w:val="20"/>
          <w:u w:val="none"/>
          <w:effect w:val="none"/>
        </w:rPr>
        <w:t>2024</w:t>
      </w:r>
      <w:r>
        <w:rPr>
          <w:rFonts w:ascii="Arial;sans-serif" w:hAnsi="Arial;sans-serif"/>
          <w:b w:val="false"/>
          <w:i w:val="false"/>
          <w:caps w:val="false"/>
          <w:smallCaps w:val="false"/>
          <w:sz w:val="20"/>
        </w:rPr>
        <w:t>:</w:t>
      </w:r>
    </w:p>
    <w:tbl>
      <w:tblPr>
        <w:tblW w:w="7532" w:type="dxa"/>
        <w:jc w:val="left"/>
        <w:tblInd w:w="0" w:type="dxa"/>
        <w:tblLayout w:type="fixed"/>
        <w:tblCellMar>
          <w:top w:w="28" w:type="dxa"/>
          <w:left w:w="28" w:type="dxa"/>
          <w:bottom w:w="28" w:type="dxa"/>
          <w:right w:w="28" w:type="dxa"/>
        </w:tblCellMar>
      </w:tblPr>
      <w:tblGrid>
        <w:gridCol w:w="3856"/>
        <w:gridCol w:w="916"/>
        <w:gridCol w:w="109"/>
        <w:gridCol w:w="916"/>
        <w:gridCol w:w="109"/>
        <w:gridCol w:w="916"/>
        <w:gridCol w:w="109"/>
        <w:gridCol w:w="601"/>
      </w:tblGrid>
      <w:tr>
        <w:trPr/>
        <w:tc>
          <w:tcPr>
            <w:tcW w:w="38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856"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Nine Months Ended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September 30,</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Change</w:t>
            </w:r>
          </w:p>
        </w:tc>
      </w:tr>
      <w:tr>
        <w:trPr/>
        <w:tc>
          <w:tcPr>
            <w:tcW w:w="3856"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(dollars in thousands)</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2024</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$126,904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$90,831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$36,073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40%</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Cost of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30,770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22,632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8,138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Gross profit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96,134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68,199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27,935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w:t>
            </w:r>
          </w:p>
        </w:tc>
      </w:tr>
      <w:tr>
        <w:trPr/>
        <w:tc>
          <w:tcPr>
            <w:tcW w:w="385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Operating expenses:</w:t>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Research and development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15,015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Selling, 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96,197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82,125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14,072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17%</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Total operating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142,450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113,363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29,087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26%</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Loss from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(46,316)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(45,164)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Interest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(12,262)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(14,142)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Other income (expense),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(33,729)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(4,097)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(29,632)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color w:val="000000"/>
                <w:sz w:val="20"/>
                <w:u w:val="none"/>
                <w:effect w:val="none"/>
              </w:rPr>
              <w:t>Loss before 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(92,307)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w:t>
            </w:r>
          </w:p>
        </w:tc>
      </w:tr>
      <w:tr>
        <w:trPr/>
        <w:tc>
          <w:tcPr>
            <w:tcW w:w="3856"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Provision for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85%</w:t>
            </w:r>
          </w:p>
        </w:tc>
      </w:tr>
      <w:tr>
        <w:trPr/>
        <w:tc>
          <w:tcPr>
            <w:tcW w:w="3856"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$(92,396)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$(63,451)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$(28,945)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46%</w:t>
            </w:r>
          </w:p>
        </w:tc>
      </w:tr>
      <w:tr>
        <w:trPr/>
        <w:tc>
          <w:tcPr>
            <w:tcW w:w="385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    Not Meaningful</w:t>
      </w:r>
    </w:p>
    <w:p>
      <w:pPr>
        <w:pStyle w:val="TextBody"/>
        <w:bidi w:val="0"/>
        <w:spacing w:lineRule="atLeast" w:line="200" w:before="0" w:after="0"/>
        <w:jc w:val="left"/>
        <w:rPr>
          <w:rFonts w:ascii="Arial;sans-serif" w:hAnsi="Arial;sans-serif"/>
          <w:b/>
          <w:i/>
          <w:sz w:val="20"/>
        </w:rPr>
      </w:pPr>
      <w:r>
        <w:rPr>
          <w:rFonts w:ascii="Arial;sans-serif" w:hAnsi="Arial;sans-serif"/>
          <w:b/>
          <w:i/>
          <w:sz w:val="20"/>
        </w:rPr>
        <w:t>Revenue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Revenue increased $36.1 million, or 40%, to $126.9 million during the nine months ended September 30,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2025, compared to $90.8 million during the nine months ended September 30, 2024. The increase in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revenue was primarily attributable to a 45% increase in revenue case volume, </w:t>
      </w:r>
      <w:r>
        <w:rPr>
          <w:rFonts w:ascii="Arial;sans-serif" w:hAnsi="Arial;sans-serif"/>
          <w:b w:val="false"/>
          <w:i w:val="false"/>
          <w:caps w:val="false"/>
          <w:smallCaps w:val="false"/>
          <w:strike w:val="false"/>
          <w:dstrike w:val="false"/>
          <w:sz w:val="20"/>
          <w:u w:val="none"/>
          <w:effect w:val="none"/>
          <w:shd w:fill="FFFFFF" w:val="clear"/>
        </w:rPr>
        <w:t xml:space="preserve">partially offset by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reduction in average sales price due to a higher percentage of revenue cases generated from clinic and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office-based accounts and an increase in </w:t>
      </w:r>
      <w:r>
        <w:rPr>
          <w:rFonts w:ascii="Arial;sans-serif" w:hAnsi="Arial;sans-serif"/>
          <w:b w:val="false"/>
          <w:i w:val="false"/>
          <w:caps w:val="false"/>
          <w:smallCaps w:val="false"/>
          <w:sz w:val="20"/>
        </w:rPr>
        <w:t>utilization and volume rebates</w:t>
      </w:r>
      <w:r>
        <w:rPr>
          <w:rFonts w:ascii="Arial;sans-serif" w:hAnsi="Arial;sans-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Cost of revenue and gross margin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 of revenue increased $8.1 million, or 36%, to $30.8 million during the nine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2025, compared to $22.6 million during the nine months ended September 30, 2024. This increase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was primarily attributable to $4.8 million in personnel and related expenses, $1.0 million in allocated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overhead, $0.6 million in third-party hosting fees, $0.5 million in amortization of capitalized internal-use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software, $0.5 million in computer hardware expenses and $0.3 million in royalties, partially offset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production team support costs allocated to research and development expense. Personnel and related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expenses included $0.2 million and $0.2 million of stock-based compensation costs during the nine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months ended September 30, 2025 and 2024, respectively. </w:t>
      </w:r>
      <w:r>
        <w:rPr>
          <w:rFonts w:ascii="Arial;sans-serif" w:hAnsi="Arial;sans-serif"/>
          <w:b w:val="false"/>
          <w:i w:val="false"/>
          <w:caps w:val="false"/>
          <w:smallCaps w:val="false"/>
          <w:strike w:val="false"/>
          <w:dstrike w:val="false"/>
          <w:sz w:val="20"/>
          <w:u w:val="none"/>
          <w:effect w:val="none"/>
        </w:rPr>
        <w:t xml:space="preserve">Gross margin for the nine months ended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September 30, 2025 increased to 76% as compared to 75% for the nine months ended September 30,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2024</w:t>
      </w:r>
      <w:r>
        <w:rPr>
          <w:rFonts w:ascii="Arial;sans-serif" w:hAnsi="Arial;sans-serif"/>
          <w:b w:val="false"/>
          <w:i w:val="false"/>
          <w:caps w:val="false"/>
          <w:smallCaps w:val="false"/>
          <w:sz w:val="20"/>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The increase in our gross margin for the nine months ended September 30, 2025, was primarily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attributable to our increase in revenue case volume and improved production team productivity, partially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offset by our continued investment in the hiring and training of additional personnel in our production team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to support our increasing revenue case volume.</w:t>
      </w:r>
    </w:p>
    <w:p>
      <w:pPr>
        <w:pStyle w:val="TextBody"/>
        <w:bidi w:val="0"/>
        <w:spacing w:lineRule="atLeast" w:line="200" w:before="0" w:after="0"/>
        <w:jc w:val="left"/>
        <w:rPr/>
      </w:pPr>
      <w:r>
        <w:rPr>
          <w:rFonts w:ascii="Arial;sans-serif" w:hAnsi="Arial;sans-serif"/>
          <w:b/>
          <w:i/>
          <w:strike w:val="false"/>
          <w:dstrike w:val="false"/>
          <w:sz w:val="20"/>
          <w:u w:val="none"/>
          <w:effect w:val="none"/>
          <w:shd w:fill="FFFFFF" w:val="clear"/>
        </w:rPr>
        <w:t>Research</w:t>
      </w:r>
      <w:r>
        <w:rPr>
          <w:strike w:val="false"/>
          <w:dstrike w:val="false"/>
          <w:u w:val="none"/>
          <w:effect w:val="none"/>
        </w:rPr>
        <w:t xml:space="preserve"> </w:t>
      </w:r>
      <w:r>
        <w:rPr>
          <w:rFonts w:ascii="Arial;sans-serif" w:hAnsi="Arial;sans-serif"/>
          <w:b/>
          <w:i/>
          <w:strike w:val="false"/>
          <w:dstrike w:val="false"/>
          <w:sz w:val="20"/>
          <w:u w:val="none"/>
          <w:effect w:val="none"/>
        </w:rPr>
        <w:t>and development expenses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expenses increased $15.0 million, or 48%, to $46.3 million during the nine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months ended September 30, 2025, compared to $31.2 million during the nine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2024. The increase in research and development expenses was primarily attributable to an increase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of $</w:t>
      </w:r>
      <w:r>
        <w:rPr>
          <w:rFonts w:ascii="Arial;sans-serif" w:hAnsi="Arial;sans-serif"/>
          <w:b w:val="false"/>
          <w:i w:val="false"/>
          <w:caps w:val="false"/>
          <w:smallCaps w:val="false"/>
          <w:strike w:val="false"/>
          <w:dstrike w:val="false"/>
          <w:sz w:val="20"/>
          <w:u w:val="none"/>
          <w:effect w:val="none"/>
        </w:rPr>
        <w:t xml:space="preserve">9.4 million in personnel and related expenses directly associated with an increase in headcount,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 xml:space="preserve">$1.7 million in clinical trial expenses, </w:t>
      </w:r>
      <w:r>
        <w:rPr>
          <w:rFonts w:ascii="Arial;sans-serif" w:hAnsi="Arial;sans-serif"/>
          <w:b w:val="false"/>
          <w:i w:val="false"/>
          <w:caps w:val="false"/>
          <w:smallCaps w:val="false"/>
          <w:sz w:val="20"/>
        </w:rPr>
        <w:t xml:space="preserve">$1.6 million in consulting and professional fees, $0.6 million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software-related costs, $0.5 million of capitalized internal-use software costs, $0.5 million in third-party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hosting fees, $0.3 million in grant expense and $0.3 million in allocated production team costs to support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clinical trials and research and development efforts. Personnel and related expenses included $1.9 million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$1.6 million of stock-based compensation costs during the nine months ended September 30,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2024, respectively.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Selling, general and administrative expenses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Selling, general and administrative expenses increased $14.1 million, or 17%, to $96.2 million during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nine months ended September 30, 2025, compared to $82.1 million during the nine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2024. The increase in selling, general and administrative expenses was primarily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attributable to an increase of $9.8 million in personnel and related expenses directly associated with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in headcount, $2.5 million in professional fees, including legal, audit and consulting fees,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$1.7 million in marketing expenses, $1.3 million in computer hardware and software-related costs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$0.7 million in travel costs, partially offset by a decrease of $1.2 million of capitalized commission costs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$1.2 million in facilities costs and allocated overhead. Personnel and related expenses included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$6.6 million and $5.9 million of stock-based compensation costs for the nine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30, 2025 and 2024, respectively.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Interest expense, net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Interest expense, net decreased to an expense of $12.3 million during the nine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2025, compared to an expense of $14.1 million during the nine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2024. This decreased expense was primarily attributable to a lower aggregate outstanding principal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balance under our 2024 Term Loan related to the conversion of $23.0 million in principal to convertible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notes in January 2025 and the full repayment of our 2024 Term Loan in August 2025, partially offset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amortization of debt issuance costs and debt discount related to our 2024 Term Loan and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Convertible Notes through its conversion to common stock upon our IPO in August 2025.</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Other income (expense), net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income (expense), net increased to expense of $33.7 million during the nine months 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September 30, 2025, compared to an expense of $4.1 million during the nine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2024. The increase was primarily attributable to the remeasurement and recognition of the change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fair value related to our common stock warrant liability charge of $34.6 million and a loss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extinguishment of debt of $6.4 million related to the full repayment of our 2024 Term Loan in August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partially offset by a benefit on the remeasurement and recognition of the change in fair value related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our derivative liability of $7.3 million.</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Provision for income taxes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Provision for income taxes was $89,000 and $48,000 for the nine months ended September 30, 2025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2024, respectively, related to our state and foreign taxes.</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Liquidity and Capital Resources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Sources of liquidity</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of September 30, 2025, we had $291.2 million in cash and cash equivalents and an accumulated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deficit of $1.1 billion. Prior to our IPO, we primarily funded our operations with proceeds from sales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shares of our redeemable convertible preferred stock, common stock and convertible promissory notes,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borrowings under our term loans and revenue received from our customers, which we expect to be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primary source of future liquidity.</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expect to continue to incur losses and to expend significant amounts of cash in the foreseeable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we continue to scale our business, invest in research and development activities, increase sales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49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marketing efforts to support commercial expansion, and increase general and administrative expenses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support being a publicly-traded company.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Based on our current operating plan, we believe that our existing cash and cash equivalents, together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the expected cash generated from revenue transactions with customers, will be sufficient to meet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capital requirements and fund our operations for at least the next 12 months.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Hayfin credit agreement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June 14, 2024, we entered into a Credit Agreement and Guaranty for a $138.1 million term loan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refinance the outstanding obligations under the initial credit agreement we entered into with Hayfin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January 19, 2021 and the additional term loans entered into with Hayfin on March 17, 2022 in exchange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the payment of exit fees and early prepayment fees in the aggregate amount of $8.3 million payable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sixteen equal quarterly installments, or immediately upon the occurrence of our IPO. On January 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2025, in connection with the issuance of the 2025 Convertible Notes as further described below,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entered into Amendment No. 1 to the Credit Agreement and Guaranty (as amended, the “2024 Credit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Agreement”) to amend the terms and conditions governing the term loan outstanding thereunder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amended, the “2024 Term Loan”). Under this amendment, Hayfin also converted $23.0 million of principal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 the 2024 Term Loan to 2025 Convertible Notes under the same terms as the other purchasers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2025 Convertible Notes.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2024 Term Loan was scheduled to mature on June 14, 2028 and bore interest equal to the sum of (i)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7.0% (or 6.0% if the alternative base rate (“ABR”) was in effect) plus (ii) the greater of (x) the forward-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looking term rate based on the Secured Overnight Financing Rate (“SOFR”) for a respective tenor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 on such day (or the alternative base rate, if applicable), and (y) 2.0%. The ABR equaled the sum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 6.0% plus (ii) the greater of (1) the Wall Street Journal Prime Rate, plus 0.5%, (2) the Federal Reserve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Bank of New York rate plus 0.5% or (3) the CBA Term SOFR for one month tenor plus 1.0%. We had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option to pay interest in-kind at the rate equal to the cash interest rate plus 1.0% through the last interest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period ending before the 18th month anniversary of the 2024 Credit Agreement. We had an option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prepay the 2024 Term Loan subject to a prepayment fee of 1.5% for prepayments after the second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anniversary but on or prior to the third anniversary of the 2024 Term Loan and a prepayment fee of 3%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prepayments thereafter.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On August 18, 2025,</w:t>
      </w:r>
      <w:r>
        <w:rPr>
          <w:sz w:val="24"/>
        </w:rPr>
        <w:t xml:space="preserve"> </w:t>
      </w:r>
      <w:r>
        <w:rPr>
          <w:rFonts w:ascii="Arial;sans-serif" w:hAnsi="Arial;sans-serif"/>
          <w:b w:val="false"/>
          <w:i w:val="false"/>
          <w:caps w:val="false"/>
          <w:smallCaps w:val="false"/>
          <w:sz w:val="20"/>
        </w:rPr>
        <w:t xml:space="preserve">we repaid </w:t>
      </w:r>
      <w:r>
        <w:rPr>
          <w:rFonts w:ascii="Arial;sans-serif" w:hAnsi="Arial;sans-serif"/>
          <w:b w:val="false"/>
          <w:i w:val="false"/>
          <w:caps w:val="false"/>
          <w:smallCaps w:val="false"/>
          <w:strike w:val="false"/>
          <w:dstrike w:val="false"/>
          <w:sz w:val="20"/>
          <w:u w:val="none"/>
          <w:effect w:val="none"/>
        </w:rPr>
        <w:t>$55.0 million</w:t>
      </w:r>
      <w:r>
        <w:rPr>
          <w:caps w:val="false"/>
          <w:smallCaps w:val="false"/>
          <w:sz w:val="24"/>
        </w:rPr>
        <w:t xml:space="preserve"> </w:t>
      </w:r>
      <w:r>
        <w:rPr>
          <w:rFonts w:ascii="Arial;sans-serif" w:hAnsi="Arial;sans-serif"/>
          <w:b w:val="false"/>
          <w:i w:val="false"/>
          <w:caps w:val="false"/>
          <w:smallCaps w:val="false"/>
          <w:sz w:val="20"/>
        </w:rPr>
        <w:t xml:space="preserve">of indebtedness outstanding under the 2024 Credit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Agreement for which we were obligated to pay in connection with the completion of our IPO and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approximately </w:t>
      </w:r>
      <w:r>
        <w:rPr>
          <w:rFonts w:ascii="Arial;sans-serif" w:hAnsi="Arial;sans-serif"/>
          <w:b w:val="false"/>
          <w:i w:val="false"/>
          <w:caps w:val="false"/>
          <w:smallCaps w:val="false"/>
          <w:strike w:val="false"/>
          <w:dstrike w:val="false"/>
          <w:sz w:val="20"/>
          <w:u w:val="none"/>
          <w:effect w:val="none"/>
        </w:rPr>
        <w:t>$5.8</w:t>
      </w:r>
      <w:r>
        <w:rPr>
          <w:caps w:val="false"/>
          <w:smallCaps w:val="false"/>
          <w:sz w:val="24"/>
        </w:rPr>
        <w:t> </w:t>
      </w:r>
      <w:r>
        <w:rPr>
          <w:rFonts w:ascii="Arial;sans-serif" w:hAnsi="Arial;sans-serif"/>
          <w:b w:val="false"/>
          <w:i w:val="false"/>
          <w:caps w:val="false"/>
          <w:smallCaps w:val="false"/>
          <w:sz w:val="20"/>
        </w:rPr>
        <w:t xml:space="preserve">million in fees consisting of a 3.0% exit fee and a 3.0% early prepayment fee due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under the 2021 Credit Agreement, as amended.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August 22, 2025, we prepaid in full all outstanding amounts under, and terminated, the 2024 Credit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Agreement, in the aggregate principal amount of </w:t>
      </w:r>
      <w:r>
        <w:rPr>
          <w:rFonts w:ascii="Arial;sans-serif" w:hAnsi="Arial;sans-serif"/>
          <w:b w:val="false"/>
          <w:i w:val="false"/>
          <w:caps w:val="false"/>
          <w:smallCaps w:val="false"/>
          <w:strike w:val="false"/>
          <w:dstrike w:val="false"/>
          <w:sz w:val="20"/>
          <w:u w:val="none"/>
          <w:effect w:val="none"/>
        </w:rPr>
        <w:t>$60.1 million</w:t>
      </w:r>
      <w:r>
        <w:rPr>
          <w:caps w:val="false"/>
          <w:smallCaps w:val="false"/>
          <w:sz w:val="24"/>
        </w:rPr>
        <w:t xml:space="preserve"> </w:t>
      </w:r>
      <w:r>
        <w:rPr>
          <w:rFonts w:ascii="Arial;sans-serif" w:hAnsi="Arial;sans-serif"/>
          <w:b w:val="false"/>
          <w:i w:val="false"/>
          <w:caps w:val="false"/>
          <w:smallCaps w:val="false"/>
          <w:sz w:val="20"/>
        </w:rPr>
        <w:t xml:space="preserve">plus accrued interest of </w:t>
      </w:r>
      <w:r>
        <w:rPr>
          <w:rFonts w:ascii="Arial;sans-serif" w:hAnsi="Arial;sans-serif"/>
          <w:b w:val="false"/>
          <w:i w:val="false"/>
          <w:caps w:val="false"/>
          <w:smallCaps w:val="false"/>
          <w:strike w:val="false"/>
          <w:dstrike w:val="false"/>
          <w:sz w:val="20"/>
          <w:u w:val="none"/>
          <w:effect w:val="none"/>
        </w:rPr>
        <w:t>$1.0 million</w:t>
      </w:r>
      <w:r>
        <w:rPr>
          <w:rFonts w:ascii="Arial;sans-serif" w:hAnsi="Arial;sans-serif"/>
          <w:b w:val="false"/>
          <w:i w:val="false"/>
          <w:caps w:val="false"/>
          <w:smallCaps w:val="false"/>
          <w:sz w:val="20"/>
        </w:rPr>
        <w:t xml:space="preserve">.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did not incur exit or prepayment fees in connection with the termination of the 2024 Credit Agreement.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Convertible notes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January and March 2025, we issued convertible promissory notes to various investors and certain </w:t>
      </w:r>
    </w:p>
    <w:p>
      <w:pPr>
        <w:pStyle w:val="TextBody"/>
        <w:bidi w:val="0"/>
        <w:spacing w:lineRule="atLeast" w:line="200" w:before="0" w:after="0"/>
        <w:jc w:val="left"/>
        <w:rPr/>
      </w:pPr>
      <w:r>
        <w:rPr>
          <w:rFonts w:ascii="Arial;sans-serif" w:hAnsi="Arial;sans-serif"/>
          <w:b w:val="false"/>
          <w:i w:val="false"/>
          <w:caps w:val="false"/>
          <w:smallCaps w:val="false"/>
          <w:sz w:val="20"/>
        </w:rPr>
        <w:t>employees in the aggregate amount of $98.3 million,</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which was comprised of </w:t>
      </w:r>
      <w:r>
        <w:rPr>
          <w:rFonts w:ascii="Arial;sans-serif" w:hAnsi="Arial;sans-serif"/>
          <w:b w:val="false"/>
          <w:i w:val="false"/>
          <w:caps w:val="false"/>
          <w:smallCaps w:val="false"/>
          <w:sz w:val="20"/>
        </w:rPr>
        <w:t xml:space="preserve">$74.0 million in aggregate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principal amount of notes issued for cash consideration, $1.3 million in aggregate principal amount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notes issued in lieu of cash compensation to certain employees and $23.0 million in aggregate principal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amount of notes issued from the conversion of principal under the 2024 Term Loan Conversion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(collectively, the “2025 Convertible Notes”). </w:t>
      </w:r>
      <w:r>
        <w:rPr>
          <w:rFonts w:ascii="Arial;sans-serif" w:hAnsi="Arial;sans-serif"/>
          <w:b w:val="false"/>
          <w:i w:val="false"/>
          <w:caps w:val="false"/>
          <w:smallCaps w:val="false"/>
          <w:strike w:val="false"/>
          <w:dstrike w:val="false"/>
          <w:sz w:val="20"/>
          <w:u w:val="none"/>
          <w:effect w:val="none"/>
          <w:shd w:fill="FFFFFF" w:val="clear"/>
        </w:rPr>
        <w:t>Th</w:t>
      </w:r>
      <w:r>
        <w:rPr>
          <w:rFonts w:ascii="Arial;sans-serif" w:hAnsi="Arial;sans-serif"/>
          <w:b w:val="false"/>
          <w:i w:val="false"/>
          <w:caps w:val="false"/>
          <w:smallCaps w:val="false"/>
          <w:sz w:val="20"/>
        </w:rPr>
        <w:t xml:space="preserve">e 2025 Convertible Notes did not accrue interest for one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year following the date of issuance and were due and payable in full 48 months from the issue date. Upon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completion of our IPO, the aggregate outstanding principal balance under the 2025 Convertible Notes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automatically converted into shares of our common stock at a 20% discount to the IPO price.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2025 Convertible Notes contained embedded derivative features, including conversion upon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 in control and automatic conversion upon completion of a qualified IPO, that were required to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bifurcated and accounted for separately as a single derivative instrument. The issuance date estimated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fair values of the derivative liability was $11.1 million and $20.8 million in January and March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respectively, which were recorded as debt discounts. The derivative liability was remeasured to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aggregate fair value of $24.6 million immediately before the conversion of the 2025 Convertible Notes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common stock upon the IPO, resulting in a gain of $7.3 million recorded within the condensed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consolidated statements of operations and comprehensive loss for the nine months ended September 30,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2025.</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Cash Flows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following table summarizes our cash flows for each of the periods presented: </w:t>
      </w:r>
    </w:p>
    <w:tbl>
      <w:tblPr>
        <w:tblW w:w="8077" w:type="dxa"/>
        <w:jc w:val="left"/>
        <w:tblInd w:w="0" w:type="dxa"/>
        <w:tblLayout w:type="fixed"/>
        <w:tblCellMar>
          <w:top w:w="28" w:type="dxa"/>
          <w:left w:w="28" w:type="dxa"/>
          <w:bottom w:w="28" w:type="dxa"/>
          <w:right w:w="28" w:type="dxa"/>
        </w:tblCellMar>
      </w:tblPr>
      <w:tblGrid>
        <w:gridCol w:w="6091"/>
        <w:gridCol w:w="916"/>
        <w:gridCol w:w="109"/>
        <w:gridCol w:w="961"/>
      </w:tblGrid>
      <w:tr>
        <w:trPr/>
        <w:tc>
          <w:tcPr>
            <w:tcW w:w="60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6091"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16"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 xml:space="preserve">Nine Months Ended </w:t>
            </w:r>
          </w:p>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September 30,</w:t>
            </w:r>
          </w:p>
        </w:tc>
      </w:tr>
      <w:tr>
        <w:trPr/>
        <w:tc>
          <w:tcPr>
            <w:tcW w:w="6091" w:type="dxa"/>
            <w:tcBorders/>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 thousands)</w:t>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Arial;sans-serif" w:hAnsi="Arial;sans-serif"/>
                <w:b/>
                <w:i w:val="false"/>
                <w:caps w:val="false"/>
                <w:smallCaps w:val="false"/>
                <w:strike w:val="false"/>
                <w:dstrike w:val="false"/>
                <w:sz w:val="18"/>
                <w:u w:val="none"/>
                <w:effect w:val="none"/>
              </w:rPr>
            </w:pPr>
            <w:r>
              <w:rPr>
                <w:rFonts w:ascii="Arial;sans-serif" w:hAnsi="Arial;sans-serif"/>
                <w:b/>
                <w:i w:val="false"/>
                <w:caps w:val="false"/>
                <w:smallCaps w:val="false"/>
                <w:strike w:val="false"/>
                <w:dstrike w:val="false"/>
                <w:sz w:val="18"/>
                <w:u w:val="none"/>
                <w:effect w:val="none"/>
              </w:rPr>
              <w:t>2024</w:t>
            </w:r>
          </w:p>
        </w:tc>
      </w:tr>
      <w:tr>
        <w:trPr/>
        <w:tc>
          <w:tcPr>
            <w:tcW w:w="609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cash used in operating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$(43,427)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$(54,963)</w:t>
            </w:r>
          </w:p>
        </w:tc>
      </w:tr>
      <w:tr>
        <w:trPr/>
        <w:tc>
          <w:tcPr>
            <w:tcW w:w="6091" w:type="dxa"/>
            <w:tcBorders/>
            <w:shd w:fill="FFFF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cash used in investing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(3,126)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(4,025)</w:t>
            </w:r>
          </w:p>
        </w:tc>
      </w:tr>
      <w:tr>
        <w:trPr/>
        <w:tc>
          <w:tcPr>
            <w:tcW w:w="6091" w:type="dxa"/>
            <w:tcBorders/>
            <w:shd w:fill="CCEEFF" w:val="clear"/>
            <w:vAlign w:val="center"/>
          </w:tcPr>
          <w:p>
            <w:pPr>
              <w:pStyle w:val="TableContents"/>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Net cash provided by financing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w:t>
            </w:r>
          </w:p>
        </w:tc>
        <w:tc>
          <w:tcPr>
            <w:tcW w:w="916"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286,093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1,386</w:t>
            </w:r>
          </w:p>
        </w:tc>
      </w:tr>
      <w:tr>
        <w:trPr/>
        <w:tc>
          <w:tcPr>
            <w:tcW w:w="6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Net cash used in operating activities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Net cash used in operating activities during the nine months ended September 30, 2025 was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$43.4 million, attributable to a net loss of $92.4 million and a net change in operating assets and liabilities </w:t>
      </w:r>
    </w:p>
    <w:p>
      <w:pPr>
        <w:pStyle w:val="TextBody"/>
        <w:bidi w:val="0"/>
        <w:spacing w:lineRule="atLeast" w:line="200" w:before="0" w:after="0"/>
        <w:jc w:val="left"/>
        <w:rPr/>
      </w:pPr>
      <w:r>
        <w:rPr>
          <w:rFonts w:ascii="Arial;sans-serif" w:hAnsi="Arial;sans-serif"/>
          <w:b w:val="false"/>
          <w:i w:val="false"/>
          <w:caps w:val="false"/>
          <w:smallCaps w:val="false"/>
          <w:sz w:val="20"/>
        </w:rPr>
        <w:t>of $6.0 million, partially offset by non-cash charges of $54.9 million.</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z w:val="20"/>
        </w:rPr>
        <w:t xml:space="preserve">The non-cash charges primarily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consisted of $8.7 million in stock-based compensation expense, $7.3 million of change in fair value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derivative liability, $34.6 million of change in fair value of common stock warrant liability, $4.1 million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depreciation and amortization, $2.3 million of amortization of right-of-use asset, $1.1 million of non-cash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interest charges, $5.4 million of amortization of debt discount and debt issuance costs, $6.4 million of loss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extinguishment of debt and $0.2 million change in allowance for credit losses. The increase in net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operating assets was primarily due to an increase of $3.0 million in accounts receivable, a $2.6 million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in prepaid expenses and other current assets, a $2.7 million increase in other non-current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assets, a $6.0 million increase in accrued expenses and other current liabilities, a $0.9 million decrease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accounts payable, and a $2.7 million decrease in operating lease liabilities.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Net cash used in operating activities during the nine months ended September 30, 2024 was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$55.0 million, attributable to a net loss of $63.5 million and a net change in operating assets and liabilities </w:t>
      </w:r>
    </w:p>
    <w:p>
      <w:pPr>
        <w:pStyle w:val="TextBody"/>
        <w:bidi w:val="0"/>
        <w:spacing w:lineRule="atLeast" w:line="200" w:before="0" w:after="0"/>
        <w:jc w:val="left"/>
        <w:rPr/>
      </w:pPr>
      <w:r>
        <w:rPr>
          <w:rFonts w:ascii="Arial;sans-serif" w:hAnsi="Arial;sans-serif"/>
          <w:b w:val="false"/>
          <w:i w:val="false"/>
          <w:caps w:val="false"/>
          <w:smallCaps w:val="false"/>
          <w:sz w:val="20"/>
        </w:rPr>
        <w:t>of $12.3 million, partially offset by non-cash charges of $20.8 million.</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The non-cash charges primarily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consisted of $7.7 million in stock-based compensation expense, $3.8 million of depreciation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amortization, $2.0 million of amortization of right-of-use asset, $1.5 million of amortization of debt discount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and debt issuance costs, $1.1 million of non-cash interest charges, $4.5 million of change in fair value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common stock warrant liability and $0.2 million of change in fair value of derivative liability. The increase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in net operating assets was primarily due to a $2.6 million increase in accounts receivable, a $1.4 million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increase in prepaid expenses and other current assets, a $1.4 million increase in other non-current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assets, a $1.6 million decrease in accounts payable, a decrease of $2.7 million in accrued expenses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other current liabilities, and a $2.4 million decrease in operating lease liabilities.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Net cash used in investing activities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Net cash used in investing activities for the nine months ended September 30, 2025 was $3.1 million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consisting of purchases of property and equipment.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Net cash used in investing activities for the nine months ended September 30, 2024 was $4.0 million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consisting of purchases of property and equipment.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Net cash provided by financing activities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Net cash provided by financing activities during the nine months ended September 30, 2025 was $286.1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million, consisting primarily </w:t>
      </w:r>
      <w:r>
        <w:rPr>
          <w:rFonts w:ascii="Arial;sans-serif" w:hAnsi="Arial;sans-serif"/>
          <w:b w:val="false"/>
          <w:i w:val="false"/>
          <w:caps w:val="false"/>
          <w:smallCaps w:val="false"/>
          <w:sz w:val="20"/>
        </w:rPr>
        <w:t xml:space="preserve">of $332.8 million in net proceeds from our IPO, $72.8 million in net proceeds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the issuance of our 2025 Convertible Notes and $2.4 million in proceeds from the exercise of stock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options, offset by $115.1 million principal repayment under our 2024 Term Loan and $6.8 million in exit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prepayment penalty fees related to our 2024 Term Loan.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Net cash provided by financing activities during the nine months ended September 30, 2024 was $1.4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million, consisting primarily of $3.2 million</w:t>
      </w:r>
      <w:r>
        <w:rPr>
          <w:caps w:val="false"/>
          <w:smallCaps w:val="false"/>
        </w:rPr>
        <w:t xml:space="preserve"> </w:t>
      </w:r>
      <w:r>
        <w:rPr>
          <w:rFonts w:ascii="Arial;sans-serif" w:hAnsi="Arial;sans-serif"/>
          <w:b w:val="false"/>
          <w:i w:val="false"/>
          <w:caps w:val="false"/>
          <w:smallCaps w:val="false"/>
          <w:sz w:val="20"/>
        </w:rPr>
        <w:t xml:space="preserve">in proceeds from the exercise of stock options, offset by $1.8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million in exit and prepayment penalty fees related to our 2024 Term Loan.</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Contractual Obligations and Commitments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contractual commitments will have an impact on our future liquidity. These commitments include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payments on non-cancellable facility leases, purchase obligations related to research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development and professional services under non-cancellable contracts and royalty obligations for </w:t>
      </w:r>
    </w:p>
    <w:p>
      <w:pPr>
        <w:pStyle w:val="TextBody"/>
        <w:bidi w:val="0"/>
        <w:spacing w:lineRule="atLeast" w:line="200" w:before="0" w:after="0"/>
        <w:jc w:val="left"/>
        <w:rPr/>
      </w:pPr>
      <w:r>
        <w:rPr>
          <w:rFonts w:ascii="Arial;sans-serif" w:hAnsi="Arial;sans-serif"/>
          <w:b w:val="false"/>
          <w:i w:val="false"/>
          <w:caps w:val="false"/>
          <w:smallCaps w:val="false"/>
          <w:sz w:val="20"/>
        </w:rPr>
        <w:t>exclusive technology licensing agreements</w:t>
      </w:r>
      <w:r>
        <w:rPr>
          <w:rFonts w:ascii="Arial;sans-serif" w:hAnsi="Arial;sans-serif"/>
          <w:b w:val="false"/>
          <w:i w:val="false"/>
          <w:caps w:val="false"/>
          <w:smallCaps w:val="false"/>
          <w:strike w:val="false"/>
          <w:dstrike w:val="false"/>
          <w:sz w:val="20"/>
          <w:u w:val="none"/>
          <w:effect w:val="none"/>
          <w:shd w:fill="FFFFFF" w:val="clear"/>
        </w:rPr>
        <w:t xml:space="preserve">. </w:t>
      </w:r>
      <w:r>
        <w:rPr>
          <w:rFonts w:ascii="Arial;sans-serif" w:hAnsi="Arial;sans-serif"/>
          <w:b w:val="false"/>
          <w:i w:val="false"/>
          <w:caps w:val="false"/>
          <w:smallCaps w:val="false"/>
          <w:sz w:val="20"/>
        </w:rPr>
        <w:t xml:space="preserve">Upon the closing of our IPO in August 2025, the aggregate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outstanding principal balance under the 2025 Convertible Notes automatically converted into shares of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our common stock. In August 2025, we repaid </w:t>
      </w:r>
      <w:r>
        <w:rPr>
          <w:rFonts w:ascii="Arial;sans-serif" w:hAnsi="Arial;sans-serif"/>
          <w:b w:val="false"/>
          <w:i w:val="false"/>
          <w:caps w:val="false"/>
          <w:smallCaps w:val="false"/>
          <w:strike w:val="false"/>
          <w:dstrike w:val="false"/>
          <w:sz w:val="20"/>
          <w:u w:val="none"/>
          <w:effect w:val="none"/>
        </w:rPr>
        <w:t>$55.0 million</w:t>
      </w:r>
      <w:r>
        <w:rPr>
          <w:caps w:val="false"/>
          <w:smallCaps w:val="false"/>
          <w:sz w:val="24"/>
        </w:rPr>
        <w:t xml:space="preserve"> </w:t>
      </w:r>
      <w:r>
        <w:rPr>
          <w:rFonts w:ascii="Arial;sans-serif" w:hAnsi="Arial;sans-serif"/>
          <w:b w:val="false"/>
          <w:i w:val="false"/>
          <w:caps w:val="false"/>
          <w:smallCaps w:val="false"/>
          <w:sz w:val="20"/>
        </w:rPr>
        <w:t xml:space="preserve">of indebtedness outstanding under the 2024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Term Loan for which we were obligated to pay in connection with the completion of our IPO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subsequently prepaid in full the remaining outstanding principal balance of $60.1 million. There have been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 other material changes to our contractual obligations from those described in our registration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statement on Form S-1 (File No. 333-288733), which became effective on August 7, 2025.</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Recently Issued Accounting Pronouncements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description of recently issued accounting pronouncements that may potentially impact our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position, results of operations or cash flows is disclosed in Note 2 to our condensed consolidated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statements included elsewhere in this Quarterly Report on Form 10-Q.</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Critical Accounting Policies and Estimates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management’s discussion and analysis of our financial condition and results of operations is based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our condensed consolidated financial statements, which have been prepared in accordance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accounting principles generally accepted in the United States of America. The preparation of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condensed consolidated financial statements requires us to make estimates and assumptions that affect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reported amounts of assets, liabilities, revenue, expenses and related disclosures. Our estimates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based on our historical experience and various other factors that we believe are reasonable under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circumstances, the results of which form the basis for making judgments about the carrying value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assets and liabilities that are not readily apparent from other sources. Actual results may differ from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estimates under different assumptions or conditions and any such differences may be material.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See Note 2 to our condensed consolidated financial statements included elsewhere in this Quarterly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Report on Form 10-Q for information about our significant accounting policies and estimates used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preparation of our condensed consolidated financial statements. There have been no significant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material changes in our critical accounting policies during the three and nine months ended September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30, 2025, as compared to those disclosed in “Management’s Discussion and Analysis of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Condition and Results of Operations” for the year ended December 31, 2024 included in our registration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statement on Form S-1 (File No. 333-288733), which became effective on August 7, 2025.</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Off-balance Sheet Arrangements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During the periods presented we did not have, nor do we currently have, any off-balance sheet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arrangements as defined in the rules and regulations of the SEC.</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Emerging Growth Company Status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an “emerging growth company” under the Jumpstart Our Business Startups Act of 2012 (the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JOBS Act”), which permits us to take advantage of an extended transition period to comply with new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revised accounting standards applicable to public companies. We have elected to use this extended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transition period until we are no longer an emerging growth company or until we affirmatively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irrevocably opt out of the extended transition period. As a result, our condensed consolidated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statements may not be comparable to companies that comply with new or revised accounting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pronouncements applicable to public companies. The JOBS Act also exempts us from having to provide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attestation and report from our independent registered public accounting firm on the assessment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internal control over financial reporting pursuant to the Sarbanes-Oxley Act of 2002.</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will remain an emerging growth company until the earliest of: (i) the last day of the fiscal year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following the fifth anniversary of the completion of our IPO; (ii) the last day of the fiscal year in which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have total annual gross revenue of at least $1.235 billion; (iii) the last day of the fiscal year in which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deemed to be a “large accelerated filer” as defined in Rule 12b-2 under the Exchange Act,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would occur if the market value of our common stock held by non-affiliates exceeded $700.0 million as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last business day of the second fiscal quarter of such year; or (iv) the date on which we have issued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more than $1.0 billion in non-convertible debt securities during the prior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3. Quantitative and Qualitative Disclosures About Market Risk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exposed to market risks in the ordinary course of our business. These risks primarily include risk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related to interest rate sensitivities, credit risk, foreign currency exchange rate sensitivity and inflation risk.</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Interest rate risk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of September 30, 2025, we had cash and cash equivalents of $291.2 million. Our cash and cash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equivalents are held for working capital purposes. We do not enter into investments for trading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speculative purposes. Due to the short-term nature of our cash equivalents, we have not been exposed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to, nor do we anticipate being exposed to, material risks due to changes in interest rates.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exposures to market risk for changes in interest rates related primarily to our 2024 Term Loan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(described above) which bore floating interest rates and a rising interest rate environment would increase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amount of interest paid on these loans. Each 100 basis point increase in these initial rates would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annual interest expense by approximately $1.2 million assuming the 2024 Term Loan remained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outstanding for the annual period. On August 22, 2025, we prepaid in full all outstanding amounts under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2024 Term Loan and terminated the 2024 Credit Agreement.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Credit risk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cash and cash equivalents, which at times may exceed federally insured limits, is maintained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large financial institutions. As of the issuance date of the financial statements included in this report,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have not experienced any losses on our deposits and all of our cash deposits have been accessible to us.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accounts receivable primarily relate to revenue from the sale of our products to medical providers. No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 represented 10% or more of our accounts receivable as of September 30, 2025 and December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31, 2024.</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Foreign currency exchange risk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vast majority of our cash generated from revenue is denominated in U.S. dollars, with a small amount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denominated in other foreign currencies. Our expenses are generally denominated in the currencies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jurisdictions in which we conduct our operations, which are primarily in the United States, United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Kingdom and Japan. Our results of operations and cash flows are, therefore, subject to fluctuations due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changes in foreign currency exchange rates. The effect of a hypothetical 10% change in foreign currency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exchange rates applicable to our business would not have had a material impact on our condensed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consolidated financial statements during any of the periods presented. As the impact of foreign currency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exchange rates has not been material to our historical operating results, we have not entered into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derivative or hedging transactions, but we may do so in the future if our exposure to foreign currency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becomes more significant.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Effects of inflation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Inflation generally affects us by increasing our cost of labor and overhead costs. We do not believe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inflation has had a material impact on our business, results of operations, or financial condition, or on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4. Controls and Procedures</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Evaluation of Disclosure Controls and Procedures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management, with the participation of our Chief Executive Officer and our Chief Financial Officer,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have evaluated the effectiveness of our disclosure controls and procedures (as defined in Rules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13a-15(e) and 15d-15(e) under the Securities Exchange Act of 1934, as amended) as of the end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period covered by this Quarterly Report on Form 10-Q. Based on that evaluation, our Chief Executive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Officer and our Chief Financial Officer have concluded that, as of September 30, 2025, our disclosure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controls and procedures were effective at the reasonable assurance level.</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Changes in Internal Control over Financial Reporting</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Due to a transition period established by SEC rules applicable to newly public companies,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management is not required to evaluate the effectiveness of our internal control over financial reporting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until the filing of our Annual Report on Form 10-K for the year ended December 31, 2026. As a result,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Quarterly Report on Form 10-Q does not address whether there have been any changes in our internal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control over financial reporting.</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Limitations on Effectiveness of Controls and Procedures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designing and evaluating the disclosure controls and procedures, our management recognizes that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controls and procedures, no matter how well designed and operated, can provide only reasonable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assurance of achieving the desired control objectives. In addition, the design of disclosure controls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procedures must reflect the fact that there are resource constraints and that our management is required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to apply judgment in evaluating the benefits of possible controls and procedures relative to their costs.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1. Legal Proceedings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October 2025, we and certain of our employees received civil investigative demands (the “CID”)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U.S. Department of Justice, Civil Division, in connection with an investigation under the federal Anti-</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Kickback Statute and Civil False Claims Act (the “Investigation”). The CID requests information,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documents, and testimony focused on our financial and contractual arrangements with providers and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sales and marketing activities. We are cooperating with the Investigation. We are unable to express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view at this time regarding the likely duration, or ultimate outcome, of the Investigation. Depending on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outcome of the Investigation, there may be a material impact on our business, results of operations,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financial condition, or cash flows.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we have become, and we may become in the future, involved in various legal proceedings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arising from the normal course of business activities. We are not presently a party to any litigation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the outcome, based on our reasonable belief, if determined adversely to us, would individually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taken together, materially and adversely affect our business, financial condition, or results of operations.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However, we may from time to time be involved in various claims and legal proceedings of a nature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believe are normal and incidental to a business such as ours. These matters may include employment,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contract, intellectual property, product liability and other general claims. Regardless of outcome, litigation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can have an adverse impact on us because of defense and settlement costs, diversion of management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1A. Risk Factors</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Investing in our common stock involves a high degree of risk. You should carefully consider the risks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described below, as well as the other information in this Quarterly Report on Form 10-Q, including our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condensed consolidated financial statements and the related notes and “Management’s Discussion and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Analysis of Financial Condition and Results of Operations.” The risks described below are not the only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ones facing us. Additional risks and uncertainties not presently known to us or that we currently believe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are not material may also impair our business, financial condition, results of operations and prospects. </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 xml:space="preserve">Please also see the sections titled “Special Note Regarding Forward-looking Statements.” </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Risk Factors Summary</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following risks and uncertainties included in this subsection are among the most significant we face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are qualified in their entirety by reference to all of the risk factors as further described in this Item 1A.</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have incurred significant net losses since our inception, we expect to incur additional substantial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losses in the foreseeable future and we may not be able to achieve or sustain profitability.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Our revenue is currently generated almost entirely from the sales of only one product, Heartflow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FFR</w:t>
      </w:r>
      <w:r>
        <w:rPr>
          <w:rFonts w:ascii="Arial;sans-serif" w:hAnsi="Arial;sans-serif"/>
          <w:b w:val="false"/>
          <w:i w:val="false"/>
          <w:caps w:val="false"/>
          <w:smallCaps w:val="false"/>
          <w:strike w:val="false"/>
          <w:dstrike w:val="false"/>
          <w:sz w:val="13"/>
          <w:u w:val="none"/>
          <w:effect w:val="none"/>
        </w:rPr>
        <w:t>CT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Analysis, and we are therefore highly dependent on the success of this product, which makes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it difficult to evaluate our current business, predict our future prospects and forecast our financial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performance and any growth.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If healthcare providers are unwilling to change their standard practice regarding the evaluation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CAD, our business, financial condition, results of operations and prospects will be adversely affected.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If third-party payors, including government payors, do not cover and provide adequate reimbursement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for the Heartflow Platform, or if existing payment amounts are reduced or coding policies change,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adoption of the Heartflow Platform by healthcare providers may be negatively impacted, and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business, financial condition, results of operations and prospects will be adversely affected.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We face risks associated with a concentrated customer base.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face significant competition in an environment of rapid technological change, and there is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possibility that our competitors may develop products that are more effective, accurate, reliable, cost-</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effective or more advanced than ours, which may harm our financial condition. If we are unable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compete successfully or our potential market share is reduced, we may be unable to increase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sustain our revenue or achieve profitability.</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commercialization of Heartflow Plaque Analysis is nascent, and we may not be able to achieve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maintain sufficient market acceptance or the levels of utilization we expect from Heartflow Plaque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Analysis or any other future product.</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face risks associated with our use and development of AI models, which may result in operational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challenges, legal liability, reputational concerns and competitive risks.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If we fail to properly manage our future growth, our business could suffer.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Our business could be disrupted by catastrophic events.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depend on our information technology systems, and any failure of these systems could harm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business and adversely affect our business and operating results.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Our networks and those of our third-party service providers may become the target of bad actors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security breaches that we cannot anticipate or successfully defend, which could have an adverse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impact on our business.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face extensive regulatory requirements to bring our products to market, and our failure to receive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maintain regulatory clearances or approvals of our current and future products in the United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States or abroad or to comply with medical device regulatory requirements could adversely affect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business.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If we are unable to obtain and maintain sufficient intellectual property rights, or the scope of our rights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 not sufficiently broad, third parties could develop and commercialize technology and products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similar or identical to ours, and our ability to successfully commercialize our technology and products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may be adversely affected.</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Risks Related to our Business and Industry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have incurred significant net losses since our inception, we expect to incur additional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substantial losses in the foreseeable future and we may not be able to achieve or sustain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profitability.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incurred significant net losses since our inception in 2007, and we expect to incur additional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substantial losses in the foreseeable future. For the three and nine months ended September 30, 2025,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incurred net losses of $50.9 million and $92.4 million, respectively. As of September 30, 2025, we had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accumulated deficit of approximately $1.1 billion. Since inception, we have spent significant amounts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cash to develop the Heartflow Platform, to fund research and development, including our preclinical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activities and clinical trials related to our products, to scale our commercial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operations and to recruit and retain key talent.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net losses we incur may fluctuate significantly from quarter to quarter and year to year, such that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period-to-period comparison of our results of operations may not be a good indication of our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performance. We expect to continue to incur significant research and development, sales and marketing,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regulatory and other expenses as we expand our marketing efforts to increase adoption of our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expand existing relationships with our customers, obtain regulatory clearances or approvals for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planned or future products, conduct clinical trials to extend applicability of our platform into new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indications or to develop new products or add new features to our existing products. The investments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business may be more costly than we expect, and if we do not achieve the benefits anticipated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these investments, or if the realization of these benefits is delayed, they may not result in increased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revenue or growth in our business. In addition to the anticipated costs of growing our business, we expect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general and administrative expenses to increase due to the additional costs of being a public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company. If our revenue growth does not increase to more than offset the anticipated increases in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operating expenses, we may not be able to achieve or sustain profitability and our business,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condition, results of operations and prospects will be harmed.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our revenue may decline or our revenue growth, if any, may be constrained.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sales is uncertain, and we may never be able to achieve or sustain profitability for many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reasons, including that: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may not achieve widespread adoption among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healthcare providers and we may be unable to increase revenue generated from sales of our </w:t>
      </w:r>
      <w:r>
        <w:rPr>
          <w:rFonts w:ascii="Arial;sans-serif" w:hAnsi="Arial;sans-serif"/>
          <w:b w:val="false"/>
          <w:i w:val="false"/>
          <w:caps w:val="false"/>
          <w:smallCaps w:val="false"/>
          <w:strike w:val="false"/>
          <w:dstrike w:val="false"/>
          <w:sz w:val="20"/>
          <w:u w:val="none"/>
          <w:effect w:val="none"/>
        </w:rPr>
        <w:t xml:space="preserve">Heartflow </w:t>
      </w:r>
    </w:p>
    <w:p>
      <w:pPr>
        <w:pStyle w:val="TextBody"/>
        <w:bidi w:val="0"/>
        <w:spacing w:lineRule="atLeast" w:line="200" w:before="0" w:after="0"/>
        <w:jc w:val="left"/>
        <w:rPr/>
      </w:pP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may not achieve widespread adoption among healthcare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providers and we may be unable to generate sufficient revenue from sales of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Analysis; payors, such as insurance companies and government insurance programs, </w:t>
      </w:r>
      <w:r>
        <w:rPr>
          <w:rFonts w:ascii="Arial;sans-serif" w:hAnsi="Arial;sans-serif"/>
          <w:b w:val="false"/>
          <w:i w:val="false"/>
          <w:caps w:val="false"/>
          <w:smallCaps w:val="false"/>
          <w:strike w:val="false"/>
          <w:dstrike w:val="false"/>
          <w:sz w:val="20"/>
          <w:u w:val="none"/>
          <w:effect w:val="none"/>
        </w:rPr>
        <w:t xml:space="preserve">may decide not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reimburse for our products, may set the amount of such reimbursement too low or may reduce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amount of such reimbursement; healthcare industry trends, including growth in CCT</w:t>
      </w:r>
      <w:r>
        <w:rPr>
          <w:rFonts w:ascii="Arial;sans-serif" w:hAnsi="Arial;sans-serif"/>
          <w:b w:val="false"/>
          <w:i w:val="false"/>
          <w:caps w:val="false"/>
          <w:smallCaps w:val="false"/>
          <w:sz w:val="20"/>
        </w:rPr>
        <w:t xml:space="preserve">A usage, may move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directions that do not allow for adoption of our products or that do not provide adequate incentives for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adoption of our products; competitors may develop or acquire a product that successfully competes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ours; manufacturers of CT scanners may partner with our competitors or develop or acquire a competing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and integrate one or more products that successfully competes with ours; we may not be 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 regulatory approval for future versions of our products (including improved versions of our AI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algorithms), new indications for use of our products or other future products; and there may be changes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existing or anticipated clinical guidelines, including the current American College of Cardiology (“ACC”)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American Heart Association (“AHA”) Class 1, Level A guidelines for CCTA and Class 2a, Level B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guidelines for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for certain patients with stable or acute chest pain and no known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CAD, or the timing of adoption of positive clinical guidelines that support the use of the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Because of these and the other risks and uncertainties described in this Quarterly Report on Form 10-Q,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unable to predict the extent to which we will be able to increase sales, if at all, or the timing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when or the extent to which we will become profitable, if ever. We will need to generate significant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additional revenue to achieve and sustain profitability, and even if we do achieve profitability, we may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able to sustain or increase profitability. Our failure to become and remain profitable would depress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value of our company and our stock price and could impair our ability to raise capital, fund our research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development efforts, expand our business, diversify our product offerings or continue our operations.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 decline in the value of our company could cause you to lose all or part of your investment.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revenue is currently generated almost entirely from the sales of only one product, Heartflow </w:t>
      </w:r>
    </w:p>
    <w:p>
      <w:pPr>
        <w:pStyle w:val="TextBody"/>
        <w:bidi w:val="0"/>
        <w:spacing w:lineRule="atLeast" w:line="200" w:before="0" w:after="0"/>
        <w:jc w:val="left"/>
        <w:rPr/>
      </w:pPr>
      <w:r>
        <w:rPr>
          <w:rFonts w:ascii="Arial;sans-serif" w:hAnsi="Arial;sans-serif"/>
          <w:b/>
          <w:i/>
          <w:strike w:val="false"/>
          <w:dstrike w:val="false"/>
          <w:sz w:val="20"/>
          <w:u w:val="none"/>
          <w:effect w:val="none"/>
        </w:rPr>
        <w:t>FFR</w:t>
      </w:r>
      <w:r>
        <w:rPr>
          <w:rFonts w:ascii="Arial;sans-serif" w:hAnsi="Arial;sans-serif"/>
          <w:b/>
          <w:i/>
          <w:strike w:val="false"/>
          <w:dstrike w:val="false"/>
          <w:sz w:val="13"/>
          <w:u w:val="none"/>
          <w:effect w:val="none"/>
        </w:rPr>
        <w:t>CT</w:t>
      </w:r>
      <w:r>
        <w:rPr>
          <w:strike w:val="false"/>
          <w:dstrike w:val="false"/>
          <w:u w:val="none"/>
          <w:effect w:val="none"/>
        </w:rPr>
        <w:t xml:space="preserve"> </w:t>
      </w:r>
      <w:r>
        <w:rPr>
          <w:rFonts w:ascii="Arial;sans-serif" w:hAnsi="Arial;sans-serif"/>
          <w:b/>
          <w:i/>
          <w:strike w:val="false"/>
          <w:dstrike w:val="false"/>
          <w:sz w:val="20"/>
          <w:u w:val="none"/>
          <w:effect w:val="none"/>
        </w:rPr>
        <w:t xml:space="preserve">Analysis, and we are therefore highly dependent on the success of this product, which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makes it difficult to evaluate our current business, predict our future prospects and forecast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financial performance and any growth.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As </w:t>
      </w:r>
      <w:r>
        <w:rPr>
          <w:rFonts w:ascii="Arial;sans-serif" w:hAnsi="Arial;sans-serif"/>
          <w:b w:val="false"/>
          <w:i w:val="false"/>
          <w:caps w:val="false"/>
          <w:smallCaps w:val="false"/>
          <w:strike w:val="false"/>
          <w:dstrike w:val="false"/>
          <w:sz w:val="20"/>
          <w:u w:val="none"/>
          <w:effect w:val="none"/>
          <w:shd w:fill="FFFFFF" w:val="clear"/>
        </w:rPr>
        <w:t>of September 30, 2025, our Heartflow FFR</w:t>
      </w:r>
      <w:r>
        <w:rPr>
          <w:rFonts w:ascii="Arial;sans-serif" w:hAnsi="Arial;sans-serif"/>
          <w:b w:val="false"/>
          <w:i w:val="false"/>
          <w:caps w:val="false"/>
          <w:smallCaps w:val="false"/>
          <w:strike w:val="false"/>
          <w:dstrike w:val="false"/>
          <w:sz w:val="13"/>
          <w:u w:val="none"/>
          <w:effect w:val="none"/>
          <w:shd w:fill="FFFFFF" w:val="clear"/>
        </w:rPr>
        <w:t>CT</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Analysis represented</w:t>
      </w:r>
      <w:r>
        <w:rPr>
          <w:caps w:val="false"/>
          <w:smallCaps w:val="false"/>
        </w:rPr>
        <w:t xml:space="preserve"> </w:t>
      </w:r>
      <w:r>
        <w:rPr>
          <w:rFonts w:ascii="Arial;sans-serif" w:hAnsi="Arial;sans-serif"/>
          <w:b w:val="false"/>
          <w:i w:val="false"/>
          <w:caps w:val="false"/>
          <w:smallCaps w:val="false"/>
          <w:sz w:val="20"/>
        </w:rPr>
        <w:t xml:space="preserve">98% </w:t>
      </w:r>
      <w:r>
        <w:rPr>
          <w:rFonts w:ascii="Arial;sans-serif" w:hAnsi="Arial;sans-serif"/>
          <w:b w:val="false"/>
          <w:i w:val="false"/>
          <w:caps w:val="false"/>
          <w:smallCaps w:val="false"/>
          <w:strike w:val="false"/>
          <w:dstrike w:val="false"/>
          <w:sz w:val="20"/>
          <w:u w:val="none"/>
          <w:effect w:val="none"/>
          <w:shd w:fill="FFFFFF" w:val="clear"/>
        </w:rPr>
        <w:t>of our tota</w:t>
      </w:r>
      <w:r>
        <w:rPr>
          <w:rFonts w:ascii="Arial;sans-serif" w:hAnsi="Arial;sans-serif"/>
          <w:b w:val="false"/>
          <w:i w:val="false"/>
          <w:caps w:val="false"/>
          <w:smallCaps w:val="false"/>
          <w:sz w:val="20"/>
        </w:rPr>
        <w:t xml:space="preserve">l revenue. In the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second half of 2023, we began limited market education efforts of our second product,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Over the next several years, we expect to continue to devote a substantial amount of resources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to increase sales of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and also expand our commercialization efforts and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drive increased adoption of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However, we may not succeed in increasing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sales of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or in increasing adoption of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We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expect to continue to derive almost all of our revenue from sales of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for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foreseeable future, so we are highly dependent on its success.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In addition, because we plan to devote substantial resources to increase sales of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and rely on it as our main source of revenue, any factors that negatively impact these efforts,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commercialization efforts or our ability to diversify our products would have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material adverse effect on our business, 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Therefore, it is difficult to predict our future prospects and forecast our financial performance and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growth, and any such forecasts are inherently limited and subject to a number of uncertainties. If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assumptions regarding the risks and uncertainties we face, which we use to plan our business,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incorrect or change due to circumstances in our business or our markets, or if we do not address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risks successfully, our operating and financial results could differ materially from our expectations and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business, financial condition, results of operations and prospects could suffer.</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healthcare providers are unwilling to change their standard practice regarding the evaluation of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CAD, our business, financial condition, results of operations and prospects will be adversely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affected.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success depends on physicians, hospitals and other healthcare providers adopting and using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to aid in the evaluation of CAD. While we have had some recent success in achieving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broader adoption of the Heartflow Platform, we have in the past faced, and may in the future face,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challenges in achieving higher rates of adoption. Many healthcare providers have extensive experience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existing non-invasive tests for CAD and have established relationships with the companies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 these tests or in some instances own or manage the equipment for these tests in their offices.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Existing tests are performed in a high enough volume that healthcare providers generate sufficient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revenue from their use and are well versed in their use, reimbursement and outcomes. The outcomes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workflow efficiencies that we believe our Heartflow Platform provides may not be valued by healthcare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providers as highly as we expect or at all. In addition, healthcare providers have been, and may continue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be, slower to adopt or recommend our products because we have a more limited commercial track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record and healthcare providers may feel they can generate more revenue from existing tests. Healthcare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providers also may not find our clinical data compelling and may not recommend or use our products until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they receive additional recommendations from other healthcare providers that our products have a clinical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benefit, or at all.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the Heartflow Platform relies on healthcare providers following the ACC and AHA guidelines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by referring certain patients with stable or acute chest pain and no known CAD to undergo a CCTA, with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the CCTA images to be analyzed by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Although the ACC and AHA guidelines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support CCTA plus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as the preferred pathway for diagnosing and managing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CAD in certain patients with stable or acute chest pain and no known CAD, these guidelines may not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widely adopted by healthcare providers. Moreover, healthcare providers may choose not to adopt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if they are not able to obtain an adequate CCTA. Further, if future studies and trials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events, including reimbursement rates of CCTA, adversely impact the rate of use of CCTAs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practice, then healthcare providers may be less willing to adopt a technology that uses CCTAs.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Also, the Heartflow Platform may be more difficult than we expect to integrate into standard practice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because a provider may be resistant to introduce our embedded information technology and workflow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infrastructure. Due to different laws, policies and preferences of healthcare providers regarding patient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privacy both in the United States and abroad, they may be averse to sending data externally (outside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their facility) or abroad. Furthermore, if healthcare providers using the Heartflow Platform experience what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they perceive to be false negative result or imprecise readings, including due to user error, they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determine not to continue using our platform going forward.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expect that addressing these and similar issues will require a significant amount of our time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resources, and if we are unsuccessful, we would be unable to achieve broader adoption of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by healthcare providers. If our products do not gain broader acceptance by healthcare providers,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our business, financial condition, results of operations and prospects will be adversely affected.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third-party payors, including government payors, do not cover and provide adequate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reimbursement for the Heartflow Platform, or if existing payment amounts are reduced or coding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policies change, adoption of the Heartflow Platform by healthcare providers may be negatively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impacted, and our business, financial condition, results of operations and prospects will be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adversely affected. </w:t>
      </w:r>
    </w:p>
    <w:p>
      <w:pPr>
        <w:pStyle w:val="TextBody"/>
        <w:bidi w:val="0"/>
        <w:spacing w:lineRule="atLeast" w:line="200" w:before="0" w:after="0"/>
        <w:jc w:val="left"/>
        <w:rPr/>
      </w:pPr>
      <w:r>
        <w:rPr>
          <w:rFonts w:ascii="Arial;sans-serif" w:hAnsi="Arial;sans-serif"/>
          <w:b w:val="false"/>
          <w:i w:val="false"/>
          <w:caps w:val="false"/>
          <w:smallCaps w:val="false"/>
          <w:sz w:val="20"/>
        </w:rPr>
        <w:t>Our ability to grow sales and revenue from our 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and to successfully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commercialize our Heartflow Plaque Analysis depend, in large part, on whether third-party payors,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private health insurers, managed care plans and government healthcare programs, such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Medicare and Medicaid, cover and adequately reimburse for the use of the Heartflow Platform and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underlying CCTA. Patients generally rely on payors to reimburse all or a significant part of the costs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associated with their treatment. As a result, appropriate coding, coverage determinations,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reimbursement levels are critical to the commercial success of the Heartflow Platform. Reimbursement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obtained from a variety of sources, including government sponsored and private health insurance plans,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varies by country and by region within some countries. These payors determine whether to provide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coverage and payment for specific products and procedures.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payors continually review new technologies and can, without notice, change coverage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parameters, deny coverage, bundle services, or reduce payment amounts. As a result, the coverage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determination process is often time consuming and costly, with no assurance that coverage and adequate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reimbursement will be obtained or maintained if obtained. If payors change their reimbursement policies, </w:t>
      </w:r>
    </w:p>
    <w:p>
      <w:pPr>
        <w:pStyle w:val="TextBody"/>
        <w:bidi w:val="0"/>
        <w:spacing w:lineRule="atLeast" w:line="200" w:before="0" w:after="0"/>
        <w:jc w:val="left"/>
        <w:rPr/>
      </w:pPr>
      <w:r>
        <w:rPr>
          <w:rFonts w:ascii="Arial;sans-serif" w:hAnsi="Arial;sans-serif"/>
          <w:b w:val="false"/>
          <w:i w:val="false"/>
          <w:caps w:val="false"/>
          <w:smallCaps w:val="false"/>
          <w:sz w:val="20"/>
        </w:rPr>
        <w:t>or if the current Category I CPT codes related to our 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or future Category I CPT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codes related to our Heartflow Plaque Analysis are not favorably categorized or priced, reimbursement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could be reduced to an amount that would make adoption of our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Platform challenging.</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Moreover, physicians, hospitals and other healthcare providers may decline to adopt or reduce usage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due to the economic impact a negative change in reimbursement may have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their business and, as a result, we may experience a significant loss of revenue, which would have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material adverse effect on our business, 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Reimbursement for our Heartflow Platform, which includes the separately billable services, Heartflow </w:t>
      </w:r>
    </w:p>
    <w:p>
      <w:pPr>
        <w:pStyle w:val="TextBody"/>
        <w:bidi w:val="0"/>
        <w:spacing w:lineRule="atLeast" w:line="200" w:before="0" w:after="0"/>
        <w:jc w:val="left"/>
        <w:rPr/>
      </w:pP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 xml:space="preserve">CT </w:t>
      </w:r>
      <w:r>
        <w:rPr>
          <w:rFonts w:ascii="Arial;sans-serif" w:hAnsi="Arial;sans-serif"/>
          <w:b w:val="false"/>
          <w:i w:val="false"/>
          <w:caps w:val="false"/>
          <w:smallCaps w:val="false"/>
          <w:sz w:val="20"/>
        </w:rPr>
        <w:t xml:space="preserve">Analysis and Heartflow Plaque Analysis, is subject to periodic changes to reimbursement levels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payors and private health insurers. For example, the Centers for Medicare and Medicaid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(“CMS”) adopts changes to reimbursement policies during the annual Medicare rulemaking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process, which includes updates to Medicare payment levels to hospitals under the Medicare Hospital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Outpatient Prospective Payment System (“OPPS”) rule, and updates to Medicare payment rates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physician offices, independent diagnostic testing facilities, and freestanding imaging centers under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Medicare Physician Fee Schedule (“MPFS”) rule. In addition to risks associated with government </w:t>
      </w:r>
    </w:p>
    <w:p>
      <w:pPr>
        <w:pStyle w:val="TextBody"/>
        <w:bidi w:val="0"/>
        <w:spacing w:lineRule="atLeast" w:line="200" w:before="0" w:after="0"/>
        <w:jc w:val="left"/>
        <w:rPr/>
      </w:pPr>
      <w:r>
        <w:rPr>
          <w:rFonts w:ascii="Arial;sans-serif" w:hAnsi="Arial;sans-serif"/>
          <w:b w:val="false"/>
          <w:i w:val="false"/>
          <w:caps w:val="false"/>
          <w:smallCaps w:val="false"/>
          <w:sz w:val="20"/>
        </w:rPr>
        <w:t>reimbursement, our 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and Heartflow Plaque Analysis technologies face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reimbursement uncertainty from commercial payors, such as UnitedHealthcare, Aetna, Cigna, Anthem,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regional Blue Cross Blue Shield plans. Such commercial payors routinely reassess their medical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policies, coverage criteria and payment policies and rates, and may choose to deny coverage or payment,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impose restrictive utilization management protocols (such as prior authorization), or reduce or bundle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payment amounts based on internal cost-effectiveness assessments or evolving clinical guidelines. Even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Medicare maintains favorable reimbursement, commercial payors may independently determine </w:t>
      </w:r>
    </w:p>
    <w:p>
      <w:pPr>
        <w:pStyle w:val="TextBody"/>
        <w:bidi w:val="0"/>
        <w:spacing w:lineRule="atLeast" w:line="200" w:before="0" w:after="0"/>
        <w:jc w:val="left"/>
        <w:rPr/>
      </w:pPr>
      <w:r>
        <w:rPr>
          <w:rFonts w:ascii="Arial;sans-serif" w:hAnsi="Arial;sans-serif"/>
          <w:b w:val="false"/>
          <w:i w:val="false"/>
          <w:caps w:val="false"/>
          <w:smallCaps w:val="false"/>
          <w:sz w:val="20"/>
        </w:rPr>
        <w:t>whether 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or Heartflow Plaque Analysis meets their plans’ medical necessity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standards, which may vary among commercial payors.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part of their participation in the Medicare program and in support of the annual rulemaking process,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hospitals submit Medicare cost reports and report their charges for specific services provided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hospital setting. These cost and charge data reported from hospitals can impact reimbursement rates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because CMS uses that data to determine future Medicare reimbursement levels on an annual basis.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aggregate, when costs associated with a specific service reported by the hospitals decrease, there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risk that CMS will reduce the reimbursement rate proportionately. These lower reported costs can be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 of coding errors or erroneous denials of claims, the inclusion of lower-cost services within the APC,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reductions in costs for services within the APC, or other similar issues. For example, in July 2025, CMS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issued the proposed 2026 OPPS rule, which, if finalized as proposed, could result in a reduction of up to </w:t>
      </w:r>
    </w:p>
    <w:p>
      <w:pPr>
        <w:pStyle w:val="TextBody"/>
        <w:bidi w:val="0"/>
        <w:spacing w:lineRule="atLeast" w:line="200" w:before="0" w:after="0"/>
        <w:jc w:val="left"/>
        <w:rPr/>
      </w:pPr>
      <w:r>
        <w:rPr>
          <w:rFonts w:ascii="Arial;sans-serif" w:hAnsi="Arial;sans-serif"/>
          <w:b w:val="false"/>
          <w:i w:val="false"/>
          <w:caps w:val="false"/>
          <w:smallCaps w:val="false"/>
          <w:sz w:val="20"/>
        </w:rPr>
        <w:t>15% in the Medicare reimbursement rate for the clinical APC that includes our 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along with other hospital services. CMS publishes final OPPS and MPFS rules in the fourth quarter each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year. We cannot be sure at this time whether the proposed hospital reimbursement rate for Heartflow </w:t>
      </w:r>
    </w:p>
    <w:p>
      <w:pPr>
        <w:pStyle w:val="TextBody"/>
        <w:bidi w:val="0"/>
        <w:spacing w:lineRule="atLeast" w:line="200" w:before="0" w:after="0"/>
        <w:jc w:val="left"/>
        <w:rPr/>
      </w:pP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for 2026 will be finalized, modified, or if CMS will increase the rate back to 2025 levels.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There is a risk that similar or other coding or claims issues may occur and lead CMS to lower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59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reimbursement rate for the Heartflow Platform for 2027 or in future years. In addition, we may not become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aware of any such issues early enough to prevent any adverse impacts to the reimbursement for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and our ability to remedy any such issues may be limited by applicable laws, regulations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policies.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Given the evolving nature of the healthcare industry and ongoing healthcare cost reforms, we are and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continue to be subject to effects of changes in the level of reimbursement for our products. We cannot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sure that third-party payors will maintain the current level of coverage and payment to our customers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use of our existing products. A reduction in coverage or payment or change in policy by the Medicare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program could cause some commercial third-party payors to implement similar reductions in their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coverage or payment amounts for the Heartflow Platform. Unfavorable coverage or payment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determinations at the national or local level could adversely affect our business, financial condition,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results of operations and prospects.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We face risks associated with a concentrated customer base.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Our Heartflow Platform had an installed base of more than 1,100 accounts in the United States as of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December 31, 2024.</w:t>
      </w:r>
      <w:r>
        <w:rPr>
          <w:caps w:val="false"/>
          <w:smallCaps w:val="false"/>
        </w:rPr>
        <w:t xml:space="preserve"> </w:t>
      </w:r>
      <w:r>
        <w:rPr>
          <w:rFonts w:ascii="Arial;sans-serif" w:hAnsi="Arial;sans-serif"/>
          <w:b w:val="false"/>
          <w:i w:val="false"/>
          <w:caps w:val="false"/>
          <w:smallCaps w:val="false"/>
          <w:sz w:val="20"/>
        </w:rPr>
        <w:t>We define an “account” as any individual facility that orders a Heartflow FFR</w:t>
      </w:r>
      <w:r>
        <w:rPr>
          <w:rFonts w:ascii="Arial;sans-serif" w:hAnsi="Arial;sans-serif"/>
          <w:b w:val="false"/>
          <w:i w:val="false"/>
          <w:caps w:val="false"/>
          <w:smallCaps w:val="false"/>
          <w:sz w:val="13"/>
        </w:rPr>
        <w:t>CT</w:t>
      </w:r>
      <w:r>
        <w:rPr>
          <w:caps w:val="false"/>
          <w:smallCaps w:val="false"/>
        </w:rPr>
        <w:t xml:space="preser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Heartflow Plaque Analysis, or both. We define an account as “new” if a unique facility begins </w:t>
      </w:r>
    </w:p>
    <w:p>
      <w:pPr>
        <w:pStyle w:val="TextBody"/>
        <w:bidi w:val="0"/>
        <w:spacing w:lineRule="atLeast" w:line="200" w:before="0" w:after="0"/>
        <w:jc w:val="left"/>
        <w:rPr/>
      </w:pPr>
      <w:r>
        <w:rPr>
          <w:rFonts w:ascii="Arial;sans-serif" w:hAnsi="Arial;sans-serif"/>
          <w:b w:val="false"/>
          <w:i w:val="false"/>
          <w:caps w:val="false"/>
          <w:smallCaps w:val="false"/>
          <w:sz w:val="20"/>
        </w:rPr>
        <w:t>generating revenue cases for our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Plaque Analysis, or both. Accounts may have more </w:t>
      </w:r>
    </w:p>
    <w:p>
      <w:pPr>
        <w:pStyle w:val="TextBody"/>
        <w:bidi w:val="0"/>
        <w:spacing w:lineRule="atLeast" w:line="200" w:before="0" w:after="0"/>
        <w:jc w:val="left"/>
        <w:rPr/>
      </w:pPr>
      <w:r>
        <w:rPr>
          <w:rFonts w:ascii="Arial;sans-serif" w:hAnsi="Arial;sans-serif"/>
          <w:b w:val="false"/>
          <w:i w:val="false"/>
          <w:caps w:val="false"/>
          <w:smallCaps w:val="false"/>
          <w:sz w:val="20"/>
        </w:rPr>
        <w:t>than one reading physician or CT machine. Converse</w:t>
      </w:r>
      <w:r>
        <w:rPr>
          <w:rFonts w:ascii="Arial;sans-serif" w:hAnsi="Arial;sans-serif"/>
          <w:b w:val="false"/>
          <w:i w:val="false"/>
          <w:caps w:val="false"/>
          <w:smallCaps w:val="false"/>
          <w:strike w:val="false"/>
          <w:dstrike w:val="false"/>
          <w:sz w:val="20"/>
          <w:u w:val="none"/>
          <w:effect w:val="none"/>
          <w:shd w:fill="FFFFFF" w:val="clear"/>
        </w:rPr>
        <w:t xml:space="preserve">ly, a “customer” can be either an individual account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or a health or hospital system with multiple accounts. While a single customer may include multiple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accounts, no single customer accounted for 10% or more of our revenue during the three and nine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months ended September 30, 2025 and 2024. However, the decision-m</w:t>
      </w:r>
      <w:r>
        <w:rPr>
          <w:rFonts w:ascii="Arial;sans-serif" w:hAnsi="Arial;sans-serif"/>
          <w:b w:val="false"/>
          <w:i w:val="false"/>
          <w:caps w:val="false"/>
          <w:smallCaps w:val="false"/>
          <w:sz w:val="20"/>
        </w:rPr>
        <w:t xml:space="preserve">aking function for some of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accounts is concentrated in a relatively small number of customers, such that the loss of one customer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result in a disproportionate loss across our accounts. For example, for the year ended December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31, 2024, our top two largest customers, both large health systems with multiple accounts, collectively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represented approximately 8% of our revenue.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cannot guarantee that we will continue to generate revenue from these customers, whether due to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in competition, new technologies, our customers’ ability to terminate their contracts with us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reduce order volumes, or other factors outside of our control. If we do not increase the number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customers and drive increased use of the Heartflow Platform as the preferred non-invasive testing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method for assessing CAD, we will continue to face risks associated with a more concentrated customer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base.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Revenue from these customers may fluctuate from time to time due to demand for the Heartflow Platform,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timing of which may be affected by seasonality or other factors outside of our control such as 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scanner capacity, contrast availability and staffing availability. These customers could also potentially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pressure us to reduce the prices we charge for the Heartflow Platform, which could have a material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adverse effect on our margins and business. For example, during the year ended December 31, 2024,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average sales price was impacted by customer pricing contracts that included utilization and volume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rebates and by changes in the mix of customer accounts, which is a trend we expect to continue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near term, and it is possible that similar trends in customer pricing contracts may continue to have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negative impact on our average sales price in the future. In addition, if any of our largest customers </w:t>
      </w:r>
    </w:p>
    <w:p>
      <w:pPr>
        <w:pStyle w:val="TextBody"/>
        <w:bidi w:val="0"/>
        <w:spacing w:lineRule="atLeast" w:line="200" w:before="0" w:after="0"/>
        <w:jc w:val="left"/>
        <w:rPr/>
      </w:pPr>
      <w:r>
        <w:rPr>
          <w:rFonts w:ascii="Arial;sans-serif" w:hAnsi="Arial;sans-serif"/>
          <w:b w:val="false"/>
          <w:i w:val="false"/>
          <w:caps w:val="false"/>
          <w:smallCaps w:val="false"/>
          <w:sz w:val="20"/>
        </w:rPr>
        <w:t>terminates its relationship with us or otherwise reduces its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volumes for any reason,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be unable to replace them with a customer who refers a similar number of patients for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and such termination or reduction in volume could have a material adverse effect on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financial condition, results of operations and prospects.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face significant competition in an environment of rapid technological change, and there is a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possibility that our competitors may develop products that are more effective, accurate, reliable,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cost-effective or more advanced than ours, which may harm our financial condition. If we are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unable to compete successfully or our potential market share is reduced, we may be unable to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increase or sustain our revenue or achieve profitability.</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medical technology industry is highly competitive, subject to rapid change and significantly affected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by the introduction of new products and technologies and other activities of industry participants. Because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the size of the market opportunity for the treatment of CAD, we believe current and potential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competitors will dedicate significant resources to aggressively promote their products or develop new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products or treatments. Our principal competition comes from companies that provide traditional non-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invasive tests that aid physicians in the evaluation of CAD, such as SPECT, stress echocardiography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PET. Established, traditional non-invasive tests for CAD have been used for many years and are therefore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 to change or supplement. Many of the companies that sell these traditional non-invasive tests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equipment they require have established relationships with healthcare providers. One of the major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hurdles to adoption of our products is overcoming established testing patterns, which requires education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physicians and supportive clinical data.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companies that sell the traditional non-invasive tests for CAD include companies that offer: (i) cardiac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specific tests to primary care and cardiology offices, such as manufacturers of capital equipment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stress echocardiography and SPECT, including GE Healthcare, Siemens Healthineers AG and Koninklijke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Philips N.V.; and (ii) products used for the invasive FFR testing market.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the greater resources of some of these competitors and their more diversified product offerings, it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possible that they or other entrants into the market may develop competing products or technologies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be more effective, accurate, reliable, cost-effective, more advanced or otherwise improved relative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the Heartflow Platform, which could render our products obsolete or less competitive. In addition, one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more competitors could develop and market an on-premise solution, which may be more appealing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than our cloud-based offering. Moreover, new treatments, such as GLP-1s, may indirectly reduce stenosis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plaque build-up, which could reduce the market opportunity for non-invasive CAD tests and, as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 our Heartflow Platform. In addition, we currently target our Heartflow Platform for use only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symptomatic patients and expanding the Heartflow Platform for asymptomatic patients may take years,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with potential delays due to the high-risk nature of the effort. Our competitors who offer traditional non-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invasive tests offer those tests to both symptomatic and asymptomatic patients, and this increased market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penetration could create additional price pressure for our products.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the field of cardiovascular genomics is subject to rapidly changing technology, and others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invent and commercialize technology platforms such as next generation sequencing approaches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compete with our products or could make our products or any product we may sell in the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obsolete. We also face competition and price pressure from companies that have developed or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developing AI-based platforms that leverage CCTA to diagnose CAD, including earlier-stage companies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as Cleerly, Inc., Elucid Bioimaging Inc. and Keya Medical Technology Co., Ltd. We may also face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competition from companies developing AI-based platforms, even if they are not currently in the CAD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and recent and future advances in AI may allow other companies to quickly create competing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and they may be able to create such products less expensively and benefit from FDA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reimbursement approvals we and others have obtained. For us to remain competitive, we must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continuously work on our products’ design and features, improve our algorithms, and invest in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 new technologies, including in the rapidly evolving area of AI. If we are unable to introduce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features and improvements aimed at increasing the value proposition of the Heartflow Platform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our customers, or if the products, features and improvements we introduce are viewed less favorably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than our competitors’ products, we may be unable to compete successfully. If we are unable to compete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successfully against our current or future competitors, we may be unable to increase market acceptance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our products, which could prevent us from increasing or sustaining our revenue or achieving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profitability and could cause the market price of our common stock to decline.</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the Heartflow Platform relies on a CCTA first being performed, as the Heartflow Platform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requires a CT image from a CT scanner to perform its analysis. A number of companies manufacture 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scanners, including, among others, GE Healthcare, Hitachi, Ltd., Koninklijke Philips N.V., Samsung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Electronics Co., Ltd., Siemens Healthineers AG and Canon Medical Systems Corporation.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companies are more diversified than we are and have substantial financial, manufacturing, sales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marketing distribution and other resources. Any of these companies or others could determine to develop,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partner with or acquire and offer a product that competes with ours or manufacture CT scanners that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 longer compatible with our Heartflow Platform. Further, these larger companies have market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penetration in the CT scanner market and understand the market for CAD and, if they are able to develop,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partner with or acquire a competing product, they may offer it as a bundle with the purchase of a 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scanner, which could prevent us from increasing or sustaining our revenue or achieving profitability.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past, three of these companies, Siemens Healthineers AG, Koninklijke Philips N.V. and Canon Medical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Systems Corporation, considered development of a local workstation-based technology prototype aimed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 deriving CT-based blood flow data without an invasive procedure. If these companies decide to further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pursue this technology and obtain regulatory approval or clinical validation, it may become competitive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our products. In addition, we are reliant on these third-party CCTAs and CT scanners continuing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support standard output file formats that our Heartflow Platform supports. If a CT manufacturer were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 to a proprietary format or develop a novel method of performing CT scans, we would need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develop our existing technology to accommodate the images its scanners output, which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materially affect the ability of physicians to use the Heartflow Platform, increase our R&amp;D expenses,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adversely affect our business, financial condition, results of operations and prospects.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The size and expected growth of our addressable market may be smaller than we estimate.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estimate of the addressable market for our current products and any future products is subject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uncertainty and is based on assumptions and estimates, including our internal analysis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industry experience. While we believe our assumptions and the data underlying our estimates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reasonable, these assumptions and estimates may not be correct. As a result, our estimates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addressable market for our current or future products may prove to be incorrect. Moreover,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serve a significant portion of this estimated market is subject to many factors, including our success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promoting the use of CCTA as a non-invasive diagnostic test that can be combined with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which is subject to many risks and uncertainties, and relies on the availability and proximity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healthcare facilities with active CCTA programs to the patients in our estimated market. Accordingly, if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unable to increase the use of CCTA at the rates we estimate, if the actual number of patients who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would benefit from our products is less than we estimate, or if the price at which we can sell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or the reimbursement rate received by healthcare providers is less than we estimate, the size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expected growth of our addressable market would be smaller than our estimates, which could have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material adverse effect on our business, 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not be successful in updating or otherwise enhancing the Heartflow Platform.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part of our strategy is bringing new enhancements to our customers through updates to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which may include offering new products, additional features, applications and improvements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technology. We expect to make significant investments to advance these efforts, and enhancing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is a complex and time-consuming endeavor. New products, additional features,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applications and improvements to our technology that initially show promise may fail to achieve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desired results or may not achieve acceptable levels of analytical accuracy, utility or user friendliness.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development and improvement is expensive, may take months or years to complete and can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have uncertain outcomes. Failure can occur at any stage of the development or improvement process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may occur only after substantial work has been completed, or after completion.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Even if, after development, an updated product appears successful, we may, depending on the nature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update, need to obtain regulatory clearances, authorizations or approvals before we can market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updated product. Such regulatory clearances, authorizations or approvals are likely to require significant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 and expenditures and the applicable regulatory authority may not clear, authorize or approve any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update or new product we develop. Obtaining such clearances, authorizations or approvals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 data from clinical trials, which can be costly and time-consuming to obtain. In certain jurisdictions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in certain cases, clinical data may also be required in order to obtain reimbursement coverage, and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clinical data may be in addition to data required to obtain regulatory clearances, authorizations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approvals. Some clinical studies may fail to meet their endpoints, introducing risk or delay in the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commercialize a new feature or product. In light of these requirements, we may choose to limit the scope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any new products, additional features, applications and improvements we seek to develop.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Even if we develop a product update or new product that receives regulatory clearance, authorization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approval, and for which we obtain sufficient commercial third party and government reimbursement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coverage, we would need to commit substantial resources to commercialize and market the updated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new product or new application of our existing product, which may never achieve market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acceptance among various stakeholders or be commercially successful. Further, the applicable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regulations or the application of those regulations could change in ways that would impact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and our ability to successfully manufacture or market our products. The expenses or losses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associated with unsuccessful updates to or expansion of the Heartflow Platform could adversely affect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financial condition, results of operations and prospects.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 commercialization of Heartflow Plaque Analysis is nascent, and we may not be able to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achieve or maintain sufficient market acceptance or the levels of utilization we expect from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Heartflow Plaque Analysis or any other future product.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began limited market education efforts for our Heartflow Plaque Analysis in the second half of 2023,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we have generated very minimal revenue from this product. HeartFlow Plaque Analysis is covered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all seven local Medicare Administrative Contractors (MACs) regions and select commercial payors.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However, the coverage criteria, timing, commercial payor reimbursement rates and availability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coverage are still evolving and may vary by payor and jurisdiction, and other payors may not adopt similar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coverage policies. As a result, even with these developments, we may not be able to achieve customer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acceptance or broad commercial reimbursement coverage, which could limit its adoption.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market for alternative plaque analysis products is competitive in terms of development, availability,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pricing, product quality and time-to-market. We face competition from companies that provide or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developing similar plaque analysis products, which may distinguish themselves from us through, among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things, perceived product quality, style and visuals, sleek design, enhanced user-friendliness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innovative features. In addition, some of these competitors are agile, early-stage companies that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able to respond more quickly and effectively than we can to new or changing opportunities, technologies,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standards or customer requirements in the plaque analysis category. Some of these competitors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commercially launched competing plaque analysis products prior to our launch of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and may have a first-mover advantage as a result. For more information on risks related to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competition, see the risk factor titled “We face significant competition in an environment of rapid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technological change, and there is a possibility that our competitors may develop products that are more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effective, accurate, reliable, cost-effective or more advanced than ours, which may harm our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condition. If we are unable to compete successfully or our potential market share is reduced, we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unable to increase or sustain our revenue or achieve profitability.”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competitors may also be able to offer plaque analysis products similar or superior to ours at a more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attractive price than we can or may be better positioned to serve certain segments of our market,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create additional price pressure. For example, our competitors have in the past, and may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offer plaque analysis and other products at a more attractive price than we can such that current or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potential customers may select our competitors’ products in lieu of purchasing and using our </w:t>
      </w:r>
      <w:r>
        <w:rPr>
          <w:rFonts w:ascii="Arial;sans-serif" w:hAnsi="Arial;sans-serif"/>
          <w:b w:val="false"/>
          <w:i w:val="false"/>
          <w:caps w:val="false"/>
          <w:smallCaps w:val="false"/>
          <w:strike w:val="false"/>
          <w:dstrike w:val="false"/>
          <w:sz w:val="20"/>
          <w:u w:val="none"/>
          <w:effect w:val="none"/>
        </w:rPr>
        <w:t xml:space="preserve">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Plaque Analysis. Moreover, our competitors have in the past, and may in the future, suggest that their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plaque analysis and other products could replace both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and our </w:t>
      </w:r>
      <w:r>
        <w:rPr>
          <w:rFonts w:ascii="Arial;sans-serif" w:hAnsi="Arial;sans-serif"/>
          <w:b w:val="false"/>
          <w:i w:val="false"/>
          <w:caps w:val="false"/>
          <w:smallCaps w:val="false"/>
          <w:strike w:val="false"/>
          <w:dstrike w:val="false"/>
          <w:sz w:val="20"/>
          <w:u w:val="none"/>
          <w:effect w:val="none"/>
        </w:rPr>
        <w:t xml:space="preserve">Heartflow </w:t>
      </w:r>
    </w:p>
    <w:p>
      <w:pPr>
        <w:pStyle w:val="TextBody"/>
        <w:bidi w:val="0"/>
        <w:spacing w:lineRule="atLeast" w:line="200" w:before="0" w:after="0"/>
        <w:jc w:val="left"/>
        <w:rPr/>
      </w:pP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which would adversely affect our ability to achieve sufficient market acceptance for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could affect sales of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and could cause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to lose market share. While we believe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represents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long-term opportunity for us, there can be no assurances that we will successfully compete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market and our business, financial condition, results of operations and prospects could be materially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adversely affected.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face risks associated with our use and development of AI models, which may result in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operational challenges, legal liability, reputational concerns and competitive risks.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use and develop AI and automated analysis and decision-making technologies, including proprietary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AI algorithms and models and computational fluid dynamics (collectively, “AI Technologies”) to power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In addition, we use AI Technologies to drive improvements in the performance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We expect that significant increased investment will be required in the future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improve our use and development of AI Technologies.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with many technological innovations, there are significant risks involved in developing, maintaining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deploying these technologies. In particular, if the AI Technologies underlying our Heartflow Platform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incorrectly designed or implemented; trained or reliant on incomplete, inadequate, inaccurate or otherwise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poor quality data; used without sufficient oversight and quality control; misused or used outside of scope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applicable regulatory authorizations; and/or adversely impacted by unforeseen bugs, defects, technical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challenges, cybersecurity threats or material performance issues, the performance of our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and business, as well as our reputation and the reputations of our customers, could suffer or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incur liability resulting from the violation of laws or contracts to which we are a party,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enforcement actions or civil claims. This could result in fines, penalties and damage awards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disgorgement of any output, development or technology developed as a result of such violations.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we leverage a human-in-the-loop AI system that combines advanced algorithms with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analyst-based quality inspection and monitoring process to create patient-specific reports based on CCTA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images. While we constantly work to improve our Heartflow Platform and algorithms, the AI Technologies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work with are novel and complex, and we cannot assure you that our AI Technologies will be 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perform as intended under all circumstances, or that our analyst-based review process will identify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correct any errors in the outputs of our AI Technologies.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regulatory framework for AI Technologies is rapidly evolving as many federal, state and foreign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bodies and agencies have introduced or are currently considering additional laws, regulations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guidance. For example, the FDA has issued guidance documents relating to the incorporation of AI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Technologies into medical devices and marketing submissions for AI-enabled devices. Specifically, draft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guidance issued on January 7, 2025, titled Artificial Intelligence-Enabled Device Software Functions: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Lifecycle Management and Marketing Submission Recommendations, proposes recommendations for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design, development and implementation of AI-enabled devices that the FDA encourages manufacturers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consider using throughout the total product lifecycle. In addition, the California Privacy Protection Agency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has approved for rulemaking regulations under the CCPA regarding the use of automated decision-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making that may require assessing risks and to provide notice and rights to opt-out and access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underlying the logic and outputs. Colorado passed the Colorado AI Act, which will go into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 in February 2026. This law creates duties for developers and deployers to use reasonable care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protect consumers from any known or reasonably foreseeable risks of “algorithmic discrimination” arising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the intended and contracted uses of “high-risk AI systems,” including those that impact healthcare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Such additional laws, regulations and guidance may impact our ability to develop, use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commercialize AI Technologies in the future.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It is possible that further new laws and regulations will be adopted in the United States and in other non-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 jurisdictions, or that existing laws and regulations, including competition and antitrust laws,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interpreted in ways that would limit our ability to use AI Technologies for our business, or require us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 the way we use AI Technologies in a manner that negatively affects the performance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and the way in which we use AI Technologies. We may need to expend resources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adjust our Heartflow Platform in certain jurisdictions if the laws, regulations or decisions are not consistent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across jurisdictions. Further, the cost to comply with such laws, regulations or decisions and/or guidance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interpreting existing laws, could be significant and would increase our operating expenses (such as by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imposing additional reporting obligations regarding our use of AI Technologies). Such an increase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operating expenses, as well as any actual or perceived failure to comply with such laws and regulations,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materially and adversely affect our business, financial condition, results of operations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Heartflow Platform and the data and models it generates could have bugs, defects or errors,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including human quality control errors, or otherwise fail to meet the expectations of patients,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physicians and third-party payors, which could adversely affect our reputation, business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operating results.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cannot provide assurance that the proprietary technology and algorithms used in our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do not contain undetected bugs, defects or errors or that our analyst-based review process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identify and correct any errors in the outputs of our AI Technologies. We cannot provide assurance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inbound CCTA images and image quality will always allow a true representation of the patient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anatomy, and any such limitations in CCTA images could affect the results of our analyses. We have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past, and may in the future, experience defects or errors in our Heartflow Platform or the data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models it generates that remain undetected by our analyst-based review process, and our reputation,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business and operating results could be adversely affected.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Furthermore, the success of the Heartflow Platform depends in part on patients’, physicians’ and third-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party payors’ confidence that our platform can provide reliable, high-quality actionable data and analysis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that will improve clinical decision making. We believe that patients, physicians and third-party payors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likely to be sensitive to product defects and errors in the use of our products, including if the defects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errors affect a physician’s ability to use the CCTA imaging results or result in a misdiagnosis. In the past,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experienced software code defects and software release process defects that have resulted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intermittent interruptions to the physician’s ability to use our Heartflow Platform, and we may experience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defects in the future. A subset of these defects were reported as part of the FDA’s Manufacturer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User Facility Device Experience (“MAUDE”) disclosure. For more information, see the risk factor titled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The Heartflow Platform may be subject to recalls, which could be costly and could harm our reputation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business.” As a result, the failure of our Heartflow Platform to perform as expected, including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reduce unnecessary invasive testing or fail to enable physicians to optimize treatment planning or provide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 efficient care, could significantly impact a physician’s willingness to use and rely on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which would impair our operating results and our reputation. In addition, we may be subject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legal claims arising from any such failures.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Bugs, defects or errors in the Heartflow Platform or the failure of third-party service providers we rely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as Amazon Web Services (“AWS”) or other cloud storage and telecommunications services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providers, to block a virus or prevent a security breach could harm our reputation and adversely impact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results of operations. Defects may cause our products to be vulnerable to security attacks, cause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them to fail to produce accurate results or temporarily interrupt our commercial operations. Because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techniques used by computer hackers to access or sabotage networks change frequently and generally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not recognized until launched against a target, we or our third-party services providers may be unable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anticipate these techniques and provide a corrective measure in time to protect the Heartflow Platform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our networks. Potential defects may further cause the platform to be unavailable for a period of time,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affect ability of a customer to access information, result in a slow or suboptimal user experience, impact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turnaround time of an analysis, or provide other forms of degradation to the overall service.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depend on our talent to grow and operate our business, and if we are unable to hire, integrate,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develop, motivate and retain our personnel, including highly qualified, technical personnel, we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may not be able to grow effectively and this could adversely affect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execute our growth plan, we must attract and retain highly qualified, technical personnel. Competition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these personnel is intense, especially for engineers with high levels of expertise in AI, cloud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architecture, 3D visualization, research scientists and senior sales executives with experience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cardiology industry. We may experience difficulty in hiring and retaining employees with appropriate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qualifications. Many of the companies with which we compete for experienced personnel have greater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resources than we have. We also compete with companies that are believed to have high potential growth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opportunities or that have experienced rapid recent growth.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future success depends in part on our ability to continue to retain our executive officers and other key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employees and to recruit and hire new employees, including engineers, research scientists, case analysts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production team members. We do not maintain “key person” insurance for any of our executives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employees. The loss of the services of any of these persons could impede the achievement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development, research and commercialization objectives. Any of our executive officers and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employees may terminate employment with us at any time with no advance notice. The replacement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of our key personnel likely would involve significant time and costs, may significantly delay or prevent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achievement of our business objectives and may harm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job candidates and existing employees often consider the value of the stock awards they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receive in connection with their employment. If the perceived value of our stock awards declines or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perceived to be less valuable than stock awards of other competing employers, it may adversely affect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ability to recruit and retain highly skilled employees. In addition, many of our employees have become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will soon become vested in a substantial amount of stock or number of stock options. Our employees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be more likely to leave us if the shares they own or the shares underlying their vested options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significantly appreciated in value relative to the original purchase prices of the shares or the exercise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prices of the options, or if the exercise prices of the options that they hold are significantly below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price of our common stock. If we fail to attract new personnel, or fail to retain and motivate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current personnel, our business and prospects could be adversely affected.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If we fail to properly manage our future growth, our business could suffer.</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intend to continue to grow and may experience periods of rapid growth and expansion, which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place a significant additional strain on our limited personnel, information technology systems and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resources. Our future growth will impose significant added responsibilities on management, including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need to identify, recruit, train and integrate additional employees. In order to manage our operations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growth we will need to continue to improve our operational and management controls, administrative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operational infrastructure, reporting and information technology systems and financial internal control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procedures. Due to our limited financial resources and the limited experience of our management team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managing a company with such future growth expectations, we may not be able to effectively manage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expected expansion of our operations or recruit and train additional qualified personnel. Moreover,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expected expansion of our operations may lead to significant costs and may divert our management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development resources. Any inability to manage growth could delay the execution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business plans or disrupt our operations.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as demand for the Heartflow Platform increases, we will need to scale our capacity, expand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 service and enhance our internal quality assurance program. We may fail to implement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increases in scale, related improvements and quality assurance, and we may fail to find appropriate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personnel to facilitate the growth of our business. Due to our limited resources, we may not be 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effectively manage this simultaneous execution and expansion of our operations. This may result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weaknesses in our infrastructure, give rise to operational mistakes, legal or regulatory compliance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failures, loss of business opportunities, loss of employees and reduced productivity among remaining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employees. The expansion of our operations may lead to significant costs and may divert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resources from other projects, such as the development of any new products. If our management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unable to effectively manage our expected development and expansion, our expenses may increase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 than expected, our ability to generate or increase our revenue could be reduced and we may not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able to implement our business strategy. Our future financial performance and our ability to compete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effectively and commercialize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Analysis or any of our future products will depend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 on our ability to effectively manage the future growth and expansion of our company. If we are unable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manage our growth effectively, it may be difficult for us to execute our business strategy and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business, financial condition, results of operations and prospects may be adversely affected.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business could be disrupted by catastrophic events.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occurrence of any catastrophic event, including earthquake, fire, flood, tsunami or other weather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event, power loss, telecommunications failure, software or hardware malfunctions, pandemics, political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unrest, geopolitical instability, severe or prolonged economic downturn, including domestic and global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inflationary trends, interest rate volatility, and uncertainty with respect to the federal debt ceiling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budget and potential government shutdowns related thereto, cyberattack (including a ransomware attack),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war or terrorist attack, could result in lengthy interruptions in our ability to serve our customers.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acts of terrorism could cause disruptions to the internet or the economy as a whole and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disproportionately affect us given our reliance on the internet and cloud-based services. Specifically,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corporate headquarters are located in Mountain View, California and our production-related computers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currently located in our Mountain View office and in Austin, Texas. California is considered to be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active earthquake zone, is prone to catastrophic fires, severe weather events and the follow-on effects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thereof, including tsunamis, mudslides, flooding, power outages and other events that could disrupt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Texas is also subject to severe weather events, power outages and other events that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disrupt our business. Any event that prevents our access to such facilities, physically or virtually, would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prevent us from operating our business and have an adverse effect on our business, financial condition,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results of operations and prospects.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we rely on our network and third-party infrastructure, including our cloud-based infrastructure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we outsource to AWS, enterprise applications, internal technology systems and our website, for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development, marketing, operational support-hosted services and sales activities. In the event of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catastrophic event, we may be unable to continue our operations and may endure system interruptions,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delays in our ability to generate reports and output them to physicians, reputational harm, delays in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development, breaches of data security and loss of critical data, all of which could have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adverse effect on our future operating results. If we are unable to develop adequate plans to ensure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business functions continue to operate during and after a disaster and to execute successfully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those plans in the event of a disaster or emergency, our business would be harmed. Even with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disaster recovery arrangements and insurance coverage, the ability of our customers to access and utilize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Heartflow Platform could be interrupted, or we could lose critical data, which would have a negative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impact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the occurrence of a catastrophic event could impact providers of CCTAs, contrast agents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CCTAs or suppliers of iodinated contrast media or similar supplies that are necessary to perform CCTAs.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example, in 2022, the shutdown of an iodinated contrast media manufacturing facility led to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significant shortage of iodinated contrast media, which resulted in the cancellation or rescheduling of non-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urgent contrast-requiring cardiac procedures and imaging. Any of these events could affect demand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which could have a material adverse effect on our business, financial condition,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results of operations and prospects.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Consolidation among healthcare providers could have an adverse effect on our business,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the United States, there has been a trend of consolidation among healthcare providers and purchasers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medical technology devices, often to gain greater market power. As healthcare providers consolidate,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they may try to use their market power to negotiate price concessions or reductions for the products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they purchase and use, including our Heartflow Platform. As a result, it is unknown whether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purchasers will decide to stop purchasing our Heartflow Platform or demand discounts on our prices. If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reduce our prices in response to these industry trends, our revenue would decrease, which could have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material adverse effect on our business, 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acquire other companies, solutions or technologies, which could divert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management’s attention, result in additional dilution to our stockholders and otherwise disrupt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operations and adversely affect our operating results.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may in the future seek to acquire or invest in companies, solutions or technologies that we believe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complement or expand our products, enhance our technical capabilities or otherwise offer growth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opportunities. The pursuit of potential acquisitions or other investment opportunities may divert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attention of management and cause us to incur various expenses in identifying, investigating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pursuing suitable transactions, whether or not they are consummated.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we acquire any businesses, we may not be able to integrate the acquired personnel, operations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technologies successfully, or effectively manage the combined business following the acquisition. We also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not achieve the anticipated benefits from the acquired business due to a number of factors,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inability to integrate or benefit from acquired technologies or services in a profitable manner;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unanticipated costs or liabilities associated with the acquisition; incurrence of acquisition-related costs;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difficulty integrating the accounting systems, operations and personnel of the acquired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difficulties and additional expenses associated with supporting legacy products and hosting infrastructure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the acquired business; diversion of management’s attention from other business concerns; 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resources that are needed in other parts of our business; adverse effects on our existing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relationships with business partners and customers as a result of the acquisition; the potential loss of key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employees; and use of substantial portions of our available cash to consummate the acquisition.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a significant portion of the purchase price of any companies, solutions or technologies that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acquire may be allocated to acquired goodwill and other intangible assets, which must be assessed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impairment at least annually. If our acquisitions do not yield expected returns, we may be required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take charges to our operating results based on this impairment assessment process, which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adversely affect our results of operations.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Acquisitions could also result in dilutive issuances of equity securities or the incurrence of debt,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adversely affect our operating results and cause the market price of our common stock to decline. If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acquired company, solution or technology fails to meet our expectations and does not complement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expand our products, enhance our technical capabilities or otherwise offer growth opportunities,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business, financial condition, results of operations and prospects may suffer.</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Sales to customers outside the United States or with international operations expose us to risks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inherent in international sales.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In the three months ended September 30, 2025 and 2024, sales to customers outside the United States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accounted for approximately</w:t>
      </w:r>
      <w:r>
        <w:rPr>
          <w:caps w:val="false"/>
          <w:smallCaps w:val="false"/>
        </w:rPr>
        <w:t> </w:t>
      </w:r>
      <w:r>
        <w:rPr>
          <w:rFonts w:ascii="Arial;sans-serif" w:hAnsi="Arial;sans-serif"/>
          <w:b w:val="false"/>
          <w:i w:val="false"/>
          <w:caps w:val="false"/>
          <w:smallCaps w:val="false"/>
          <w:sz w:val="20"/>
        </w:rPr>
        <w:t xml:space="preserve">7% and 8%, respectively, and accounted for approximately 8% and 9%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revenue in the nine months ended September 30, 2025 and 2024, respectively. One element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growth strategy is to further expand our international operations and worldwide customer base. Operating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international markets requires significant resources and management attention and subjects us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regulatory, economic and political risks that are different from those in the United States.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limited operating experience in international markets, and we cannot assure you that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existing presence in the United Kingdom, Europe and Japan or any expansion efforts into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international markets will be successful. Our experience in the United States and international markets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not be relevant to our ability to expand in other markets. Our international expansion efforts may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successful in creating further demand for our products outside of the United States or in effectively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selling our products in the international markets we enter. In addition, expansion into other international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markets will be costly and will impose additional burdens on our executive and administrative personnel,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finance and legal teams, sales and marketing teams and general managerial resources. If our efforts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introduce our products into other international markets are not successful, we may have expended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resources without realizing the expected benefit. Ultimately, the investment required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international expansion could exceed the results of operations generated from this expansion.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we operate in an industry which is subject to significant enforcement scrutiny by both U.S.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non-U.S. government authorities. Our international business requires us to comply with U.S. and foreign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laws and regulations, such as various anti-bribery and anti-corruption laws, including the U.S. Foreign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Corrupt Practices Act (“FCPA”), the U.S. Fraud Act and in certain cases the U.K. Bribery Act of 2010.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Compliance with these is costly and exposes us to significant civil and criminal penalties for non-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compliance. Any failure to comply with applicable legal and regulatory obligations could impact us in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variety of ways that include, but are not limited to, significant criminal, civil and administrative fines,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penalties and disgorgement of profits, including imprisonment of individuals, denial of export privileges,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seizure of shipments, restrictions on certain business activities and exclusion or debarment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contracting. Our international operations expose us to risks inherent in operating in foreign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jurisdictions that could adversely affect our business.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we do not obtain and maintain international regulatory registrations, clearances or approvals for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Heartflow Platform, we will be unable to market and sell our products outside of the United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States.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future sales of our products outside of the United States are subject to foreign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that vary widely from country to country. While the regulations of some countries may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impose barriers to marketing and selling our products or only require notification, others require that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 the clearance or approval of a specified regulatory authority or a Certificate of Conformity of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notified body. Complying with foreign regulatory requirements, including obtaining registrations,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clearances or approvals, can be expensive and time consuming and we may not receive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clearances or approvals in each country in which we plan to market our products or we may be unable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do so on a timely basis. The time required to obtain registrations, clearances or approvals, if required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countries, may be longer than that required for FDA clearance or approval, and requirements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registrations, clearances or approvals may significantly differ from FDA requirements. If we modify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we may need to apply for regulatory clearances or approvals before we are permitted to sell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modified product.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AI governing regulations around medical devices evolve rapidly, and we may not continue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meet the quality and safety standards required to maintain the authorizations that we have received. If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unable to maintain our authorizations in a particular country, we will no longer be able to sell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applicable product in that country.</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Regulatory registration, clearance, marketing authorization, or approval by the FDA does not ensure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registration, clearance, marketing authorization, or approval by foreign regulatory authorities or authorized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representatives in other countries. Registration, clearance, marketing authorization, or approval by one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 foreign regulatory authorities or authorized representatives do not ensure registration, clearance,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marketing authorization, or approval by regulatory authorities in other foreign countries or by the FDA.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Nevertheless, a failure or delay in obtaining registration or regulatory clearance or approval in one country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may have a negative effect on the regulatory process in others.</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Risks Related to Data Privacy and Information Technology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Failure to comply with laws and regulations affecting the transmission, security and privacy of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personal information (including health information) could result in significant penalties.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Federal, state and foreign government bodies and authorities have adopted, are considering adopting,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adopt laws and regulations regarding the collection, use, processing, storage and disclosure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personal information obtained from consumers and individuals. In the United States, federal, state,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local governments have enacted numerous data privacy and security laws, including data breach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notification laws, personal data privacy laws, consumer protection laws (e.g., Section 5 of the Federal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Trade Commission Act), and other similar laws (e.g., wiretapping laws). Under these laws we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required to obtain certain consents to process personal data. For example, some of our data processing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practices have been, and may in the future continue to be, subject to challenges or lawsuits under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privacy, security, and communications laws, including, for example, challenges based on wiretapping laws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69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sharing consumer information with third parties through various methods, such as via third-party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marketing pixels or software development kits. Our inability or failure to obtain consent for these practices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result in adverse consequences, including class action litigation and mass arbitration demands.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numerous federal and state laws and regulations, including the Health Insurance Portability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Accountability Act of 1996 (“HIPAA”), as amended by the Health Information Technology for Economic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Clinical Health Act of 2009 (“HITECH”), govern the collection, dissemination, security, use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confidentiality of patient identifiable health information. HIPAA and the HITECH Act require us to comply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standards for the use and disclosure of health information within our company and with third parties.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Standards for Privacy of Individually Identifiable Health Information (“Privacy Standards”), and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Security Standards for the Protection of Electronic Protected Health Information (“Security Standards”),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 HIPAA establish a set of basic national privacy and security standards for the protection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individually identifiable health information by health plans, healthcare clearinghouses and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healthcare providers, referred to as covered entities, and the business associates with whom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covered entities contract for services. As a result, both covered entities and business associates can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subject to significant civil and criminal penalties for failure to comply with the Privacy Standards or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Security Standards.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HIPAA, the HITECH Act and the Affordable Care Act (“ACA”) also include standards for common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healthcare electronic transactions and code sets, such as claims information, plan eligibility, payment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and the use of electronic signatures, unique identifiers, operating rules. Companies that bill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payors for healthcare-related services and device use are required to conform to the transaction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standards. CMS, on behalf of HHS, has the authority to investigate complaints and audit for compliance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the HIPAA standards for transactions, code sets, unique identifiers and operating rules, including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Administrative Simplification provisions of HIPAA and the ACA. Failure to comply with these standards,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any investigation or audit and penalties imposed may have an adverse impact on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HIPAA requires covered entities and business associates to develop and maintain policies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procedures with respect to protected health information that is used or disclosed, including the adoption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administrative, physical and technical safeguards to protect such information. The HITECH Act expands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notification requirement for breaches of patient identifiable health information, restricts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disclosures and sales of patient identifiable health information and provides a tiered system for civil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monetary penalties for HIPAA violations. The Final HIPAA Omnibus Rule modifies the breach reporting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standard in a manner that will likely make more data security incidents qualify as reportable breaches.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HITECH Act also increased the civil and criminal penalties that may be imposed against covered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entities, business associates and possibly other persons and gave state attorneys general new authority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file civil actions for damages or injunctions in federal courts to enforce the federal HIPAA laws and seek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attorney fees and costs associated with pursuing federal civil actions. Additionally, states have adopted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comparable privacy and security laws and regulations that differ somewhat from federal and other states’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laws, and that govern where more stringent than federal law.</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a business associate under HIPAA, if we do not comply with the requirements of HIPAA, the HITECH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 or applicable state privacy and security laws, we could be subject to criminal or civil sanctions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adversely affect our financial condition. The costs of complying with privacy and security related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legal and regulatory requirements are substantial and could have an adverse effect on our business.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we are unable to predict what changes to the HIPAA Privacy Standards and Security Standards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might be made in the future or how those changes could affect our business. Any new legislation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regulation in the area of privacy and security of personal information, including personal health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could also adversely affect our business operations. In addition, a security breach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 reporting to federal and state government entities, notification to affected individuals, expensive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investigation and remediation and mitigation. Government agencies could, in their discretion, impose fines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penalties relating to the breach, that would have an adverse effect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Foreign data privacy regulations, such as the General Data Protection Regulation (E.U.) 2016/679,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European Union’s Data Protection Directive (“Directive 95/46/EC”), and the country specific regulations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that implement Directive 95/46/EC, also govern the processing of personally identifiable data, and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number of these regulations are stricter than U.S. laws.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many states have laws, regulations and other authorities that govern data privacy, security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breach notification. While some of these laws exempt protected health information subject to HIPAA,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they may apply to other personal information we collect, including personal information collected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employees or from visitors to our website. Failure to comply with these authorities may have an adverse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impact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expect to expend significant resources to comply with these laws and regulations. The functional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operational requirements and costs of compliance with such laws and regulations may adversely impact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business, and failure to enable our solutions to comply with such laws and regulations could lead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fines and penalties imposed by regulators, as well as claims, lawsuits and contractual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indemnification obligations by or for our customers or third parties and significant reputational harm.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depend on our information technology systems, and any failure of these systems could harm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business and adversely affect our business and operating results.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technology and telecommunications systems are vulnerable to damage from a variety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sources, including telecommunications or network failures, failures during the processes of upgrading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replacing software, power outages, hardware failures, user or human errors and natural disasters.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Moreover, despite network security and back up measures, some of our servers are potentially vulnerable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cybersecurity incidents, including phishing attacks by computer hackers or other malicious human acts,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computer viruses, ransomware, malware and similar disruptive problems or other methods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compromising employee or customer administrator credentials to access protected health information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internal data. Failures or significant downtime of our information technology or telecommunications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systems could prevent us from operating our business. Any disruption or loss of information technology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telecommunications systems on which critical aspects of our operations depend could have an adverse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effect on our business and our operating results may suffer.</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our brand, reputation and ability to attract, retain and serve our customers are dependent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upon the reliable performance of our Heartflow Platform, including our underlying information technology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systems and infrastructure. Our technical infrastructure may not be adequately designed with sufficient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reliability and redundancy to avoid performance delays or outages that could be harmful to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our Heartflow Platform is unavailable when physicians attempt to access it, or if it does not load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quickly as they expect, physicians may not use our Heartflow Platform as often in the future, or at all.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customer base continues to grow, we will need an increasing amount of technical infrastructure,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network capacity and computing power, to continue to satisfy the needs of our users.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rely upon AWS to operate our cloud offering; any disruption of or interference with our use of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AWS would adversely affect our business, results of operations and financial condition.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outsource all of our cloud-based infrastructure to AWS. Our customers need to be able to access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cloud-based infrastructure at any time, without interruption or degradation of performance. AWS runs its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own platform that we access, and we are, therefore, vulnerable to service interruptions at AWS. We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experience interruptions, delays and outages in service and availability from time to time as a result of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problems with our AWS provided infrastructure. </w:t>
      </w:r>
      <w:r>
        <w:rPr>
          <w:rFonts w:ascii="Arial;sans-serif" w:hAnsi="Arial;sans-serif"/>
          <w:b w:val="false"/>
          <w:i w:val="false"/>
          <w:caps w:val="false"/>
          <w:smallCaps w:val="false"/>
          <w:strike w:val="false"/>
          <w:dstrike w:val="false"/>
          <w:sz w:val="20"/>
          <w:u w:val="none"/>
          <w:effect w:val="none"/>
        </w:rPr>
        <w:t xml:space="preserve">For example, in October 2025 and at other times in the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rPr>
        <w:t>past, AWS</w:t>
      </w:r>
      <w:r>
        <w:rPr>
          <w:caps w:val="false"/>
          <w:smallCaps w:val="false"/>
          <w:sz w:val="24"/>
        </w:rPr>
        <w:t xml:space="preserve"> </w:t>
      </w:r>
      <w:r>
        <w:rPr>
          <w:rFonts w:ascii="Arial;sans-serif" w:hAnsi="Arial;sans-serif"/>
          <w:b w:val="false"/>
          <w:i w:val="false"/>
          <w:caps w:val="false"/>
          <w:smallCaps w:val="false"/>
          <w:sz w:val="20"/>
        </w:rPr>
        <w:t xml:space="preserve">has suffered significant outages that had a widespread impact on cloud-based software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companies. Although our cloud offering has not been affected by these outages, a similar outage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render our cloud offering inaccessible to customers, and such outages may be prolonged.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Additionally, AWS has suffered outages at specific customer locations in the past, rendering the customer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unable to access our offering for periods of time. Lack of availability of our AWS infrastructure could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due to a number of potential causes including technical failures, natural disasters, fraud or security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attacks that we cannot predict or prevent.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if the security of the AWS infrastructure is compromised or believed to have been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compromised, our business, results of operations and financial condition could be adversely affected. It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possible that our customers and potential customers would hold us accountable for any breach of security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affecting the AWS infrastructure and we may incur significant liability from those customers and from third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parties with respect to any breach affecting AWS systems. For more information, see the risk factor titled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Failure to comply with laws and regulations affecting the transmission, security and privacy of personal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(including health information) could result in significant penalties.” Because our agreement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AWS limits AWS’ liability for damages, we may not be able to recover a material portion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liabilities to our customers and third parties from AWS. Customers and potential customers may refuse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do business with us because of the perceived or actual failure of our cloud offering as hosted by AWS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our operating results could be harmed.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agreement with AWS allows AWS to terminate the agreement by providing 30 days’ advance notice,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allows AWS to terminate in case of a material breach of contract if such breach is uncured for 30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days following receipt of notice of such breach, or to terminate immediately upon notice to us (i) if AWS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has the right to suspend our account; (ii) if AWS’ relationship with a third-party software or technology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provider terminates, expires or requires AWS to change the way it provides its services; or (iii) in order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comply with the law or requests of governmental entities. Although we expect that we could receive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similar services from other third parties, if any of our arrangements with AWS are terminated, we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experience interruptions on our platform and in our ability to make our platform available to customers,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well as delays and additional expenses in arranging alternative cloud infrastructure services.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If we fail to offer high quality customer support, our business and reputation could suffer.</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customers rely on our customer support teams to resolve technical and operational issues if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when they arise. We may be unable to respond quickly enough to accommodate short-term increases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 demand for customer support. We also may be unable to modify the nature, scope and delivery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our customer support to compete with changes in customer support services provided by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competitors or to adapt to product and industry developments. Increased customer demand for customer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support, without corresponding revenue, could increase costs and harm our results of operations.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as we continue to grow our operations and reach a large global customer base, we need to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able to provide efficient customer support that meets our customers’ needs globally at scale. The number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our customers has grown significantly, and that growth has and will continue to put additional pressure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our support organization. As our business scales, we may need to engage third-party customer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support service providers, which could negatively impact the quality of our customer support if such third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parties are unable to provide customer support that is as effective as that we provide ourselves. Our sales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highly dependent on our business reputation and on positive recommendations from our existing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customers. Accordingly, high quality customer support is important for the renewal and expansion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agreements with existing customers and any failure to maintain such standards of customer support, or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perception that we do not maintain high quality customer support, could harm our reputation,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ability to sell product to existing and prospective customers and our business, financial condition, results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invest significantly in research and development, and to the extent our research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development investments do not translate into new products, features or improvements to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current products, or if we do not use those investments efficiently, our business, financial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condition, results of operations and prospects would be harmed.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key element of our strategy is to invest significantly in our research and development efforts to </w:t>
      </w:r>
    </w:p>
    <w:p>
      <w:pPr>
        <w:pStyle w:val="TextBody"/>
        <w:bidi w:val="0"/>
        <w:spacing w:lineRule="atLeast" w:line="200" w:before="0" w:after="0"/>
        <w:jc w:val="left"/>
        <w:rPr/>
      </w:pPr>
      <w:r>
        <w:rPr>
          <w:rFonts w:ascii="Arial;sans-serif" w:hAnsi="Arial;sans-serif"/>
          <w:b w:val="false"/>
          <w:i w:val="false"/>
          <w:caps w:val="false"/>
          <w:smallCaps w:val="false"/>
          <w:sz w:val="20"/>
        </w:rPr>
        <w:t>introduce new products, features and improvements aim</w:t>
      </w:r>
      <w:r>
        <w:rPr>
          <w:rFonts w:ascii="Arial;sans-serif" w:hAnsi="Arial;sans-serif"/>
          <w:b w:val="false"/>
          <w:i w:val="false"/>
          <w:caps w:val="false"/>
          <w:smallCaps w:val="false"/>
          <w:strike w:val="false"/>
          <w:dstrike w:val="false"/>
          <w:sz w:val="20"/>
          <w:u w:val="none"/>
          <w:effect w:val="none"/>
          <w:shd w:fill="FFFFFF" w:val="clear"/>
        </w:rPr>
        <w:t xml:space="preserve">ed at increasing the value proposition of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Heartflow Platform for our customers. For the three months ended September 30, 2025 and 2024,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research and development expenses were</w:t>
      </w:r>
      <w:r>
        <w:rPr>
          <w:caps w:val="false"/>
          <w:smallCaps w:val="false"/>
        </w:rPr>
        <w:t xml:space="preserve"> </w:t>
      </w:r>
      <w:r>
        <w:rPr>
          <w:rFonts w:ascii="Arial;sans-serif" w:hAnsi="Arial;sans-serif"/>
          <w:b w:val="false"/>
          <w:i w:val="false"/>
          <w:caps w:val="false"/>
          <w:smallCaps w:val="false"/>
          <w:sz w:val="20"/>
        </w:rPr>
        <w:t xml:space="preserve">37% and 36% of our revenue, respectively, and 36% and 34% </w:t>
      </w:r>
    </w:p>
    <w:p>
      <w:pPr>
        <w:pStyle w:val="TextBody"/>
        <w:bidi w:val="0"/>
        <w:spacing w:lineRule="atLeast" w:line="200" w:before="0" w:after="0"/>
        <w:jc w:val="left"/>
        <w:rPr/>
      </w:pPr>
      <w:r>
        <w:rPr>
          <w:rFonts w:ascii="Arial;sans-serif" w:hAnsi="Arial;sans-serif"/>
          <w:b w:val="false"/>
          <w:i w:val="false"/>
          <w:caps w:val="false"/>
          <w:smallCaps w:val="false"/>
          <w:sz w:val="20"/>
        </w:rPr>
        <w:t>o</w:t>
      </w:r>
      <w:r>
        <w:rPr>
          <w:rFonts w:ascii="Arial;sans-serif" w:hAnsi="Arial;sans-serif"/>
          <w:b w:val="false"/>
          <w:i w:val="false"/>
          <w:caps w:val="false"/>
          <w:smallCaps w:val="false"/>
          <w:strike w:val="false"/>
          <w:dstrike w:val="false"/>
          <w:sz w:val="20"/>
          <w:u w:val="none"/>
          <w:effect w:val="none"/>
          <w:shd w:fill="FFFFFF" w:val="clear"/>
        </w:rPr>
        <w:t xml:space="preserve">f our revenue for the nine months ended September 30, 2025 and 2024, respectively. If we do not spend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our re</w:t>
      </w:r>
      <w:r>
        <w:rPr>
          <w:rFonts w:ascii="Arial;sans-serif" w:hAnsi="Arial;sans-serif"/>
          <w:b w:val="false"/>
          <w:i w:val="false"/>
          <w:caps w:val="false"/>
          <w:smallCaps w:val="false"/>
          <w:sz w:val="20"/>
        </w:rPr>
        <w:t xml:space="preserve">search and development budget efficiently or effectively on compelling innovation and technologies,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business may be harmed and we may not realize the expected benefits of our strategy. Moreover,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projects can be technically challenging and expensive. The nature of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research and development cycles may cause us to experience delays between the time we incur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expenses associated with research and development and the time we are able to offer compelling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solutions and generate revenue, if any, from such investment. For example, investments made to expand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to asymptomatic patients may be expensive, technically challenging, experience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delays and may not be successful. Additionally, anticipated customer demand for a product or feature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developing could decrease after the development cycle has commenced, and we would nonetheless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unable to avoid substantial costs associated with the development of any such product or features. If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expend a significant amount of resources on research and development and our efforts do not lead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successful introduction or improvement of products or features that are competitive in our current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future markets, it would harm our business, 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networks and those of our third-party service providers may become the target of bad actors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or security breaches that we cannot anticipate or successfully defend, which could have an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adverse impact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involves the storage and transmission of our customers’ personal information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identifying information of their patients. Increasingly, we and other companies are subject to a wide variety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attacks on their networks on an ongoing basis. In addition to attacks from traditional computer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hackers,” malicious code (such as viruses and worms), employee theft or misuse, ransomware attacks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denial of service attacks, sophisticated nation state and nation state supported actors now engage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intrusions and attacks (including advanced persistent threat intrusions), and add to the risks to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internal networks and the information they store and process. Additionally, such bad actors frequently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attempt to fraudulently induce employees or customers into disclosing sensitive information such as user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names, passwords or other information in order to gain access to our customers’ data, their patient’s data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our data, including our intellectual property and other confidential business information, or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technology systems. Because techniques used to obtain unauthorized access or to sabotage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systems change frequently and generally are not recognized until successfully launched against a target,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we may be unable to anticipate these techniques or to implement adequate preventative measures.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Despite significant efforts to create process and security barriers to such threats, it is virtually impossible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us to entirely mitigate these risks. Any such breach could compromise our networks, creating system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disruptions or slowdowns and exploiting security vulnerabilities of our products, and the information stored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our networks could be accessed, publicly disclosed, lost or stolen, which could subject us to liability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cause us significant financial harm. Such breaches often result in reputational damage, negative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publicity, loss of industry data security certifications, customers and sales, increased costs to remedy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problem, costly litigation and contractual indemnification obligations by or for impacted customers or third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parties any of which could adversely affect our business. In addition, although we have, and intend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maintain, insurance with respect to any such indemnification obligations, the coverage limits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insurance policies may not be adequate and one or more successful claims brought against us may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 adverse effect on our business, 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also rely on third-party service providers, such as cloud storage and telecommunications services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providers. Such service providers are also potentially vulnerable to cybersecurity incidents that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 in the interruption of their services to us or unauthorized access, use or disclosure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confidential information and confidential information of our customers and protected health information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their patients.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are also targets for malicious cybersecurity acts. While some of our products contain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encryption or security algorithms to protect third-party content or patient information or other data stored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our products, these products could still be hacked or targeted by malicious software programs or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attacks or the encryption schemes could be compromised, breached or circumvented by motivated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sophisticated hackers, which could harm our business and our reputation. In addition, see the risk factor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titled “Our Heartflow Platform and the data and models it generates could have bugs, defects or errors,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human quality control errors, or otherwise fail to meet the expectations of patients, physicians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third-party payors, which could adversely affect our reputation, business and operating results”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 information on bugs, defects or errors in the Heartflow Platform.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Risks Related to Legal and Regulatory Matters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face extensive regulatory requirements to bring our products to market, and our failure to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receive and maintain regulatory clearances or approvals of our current and future products in the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United States or abroad or to comply with medical device regulatory requirements could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adversely affect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order to market any product, we must establish and comply with numerous and varying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that differ by country and by region within certain countries. Approval, clearance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marketing authorization in the United States by the FDA or by a regulatory authority or other body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another country does not ensure approval by the regulatory authorities in other countries or jurisdictions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ensure approval, clearance or other marketing authorization for the same conditions of use. Approval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processes vary among countries and can involve additional product testing and validation and additional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administrative review periods. In general, unless an exemption applies, in the United States, current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versions of our products must receive pre-market notification (“510(k)”), de novo classification (“de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novo”) or pre-market approval (“PMA”) from the FDA before they can be marketed in the United States.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cannot provide assurance that any of our future products, to the extent required, will be cleared,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approved or otherwise authorized by the FDA through any of its pre-market review processes, or that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FDA will provide export certificates that are necessary to export certain products to certain countries.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the national health or social security organizations of certain foreign countries, including those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outside Europe, require our products to be qualified before they can be marketed in those countries.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Failure to receive, or delays in the receipt of, relevant foreign qualifications in the European Economic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Area or other foreign countries could have an adverse effect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Pre-market notification, de novo classification request or PMA applications may require support by data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clinical trials. We are subject to requirements to publicly register and report the results of our clinical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trials. We must also abide by good clinical practice (“GCP”) requirements in the conduct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documentation of our clinical trials and report to the FDA significant financial interests of investigators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clinical trials we submit to support marketing applications for our products. We, the FDA or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institutional review board (“IRB”), may suspend or terminate clinical trials at any time on various grounds,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a finding that patients are being exposed to an unacceptable health risk or that the treatment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does not have any effect. If the FDA considers data from our clinical trials to be actually or potentially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biased due to investigators’ financial interests, or unreliable due to GCP noncompliance, it can require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implement extensive data analyses or other corrective actions, or exclude data from consideration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support of our marketing applications. These outcomes could result in delay or denial of FDA clearance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approval and could result in the need to conduct additional, costly and time-consuming clinical trials.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Additionally, we are required to obtain pre-market clearance or approval to market significantly modified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versions of our currently cleared Heartflow Platform, as well as to market the existing product for new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indications. The FDA requires us to make and document a determination as to whether or not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modification requires a new 510(k) clearance, de novo classification or PMA approval; however, the FDA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can review and disagree with our decision. Although we have received 510(k) clearance from the FDA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current version of the Heartflow Platform, we may not be successful in receiving clearances, de novo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classification or approvals in the future or the FDA may not agree with our decisions not to seek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clearances, de novo classifications or approvals for any new products or particular product modifications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updates. The FDA may require us to obtain a new 510(k) clearance, de novo classifications or approval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any past or future modification or a new indication for our existing products. Such submissions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 the development and submission of additional data, may be time consuming and costly,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ultimately may not be cleared or approved by the FDA.</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the FDA requires us to obtain pre-market clearances, de novo classifications or approvals for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marketed modification to a previously cleared version of the Heartflow Platform, we may be required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cease manufacturing and marketing of the modified product or to recall the modified product until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 such FDA marketing authorization. The FDA may not clear, grant or approve such submissions in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timely manner, if at all. The FDA also may change its policies, adopt additional regulations, or revise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existing regulations, each of which could prevent or delay pre-market clearance, de novo classification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approval of our devices, or could impact our ability to market a device that was previously cleared. Any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foregoing could adversely impact our business and financial condition.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the FDA and other comparable foreign regulatory authorities may delay, limit or deny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clearance, de novo classification or approval of future versions of or future indications for our products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any other potential product for many reasons, including, among others: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results of our clinical trials may not meet the level of statistically significant and clinically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meaningful efficacy with an acceptable safety profile as required by FDA, or other comparable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regulatory authorities in other countries, for marketing approval;</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FDA or other comparable regulatory authorities in other countries may disagree with the number,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design, size, conduct or implementation of our clinical trials;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FDA or other comparable regulatory authorities in other countries may disagree with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interpretation of data from our clinical trials;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FDA or other comparable regulatory authorities in other countries may not accept data generated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at one or more of our clinical trial sites;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if our 510(k) notifications, de novo classification requests, PMA applications, or similar notifications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applications, if and when submitted, are reviewed by the FDA or other comparable regulatory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authorities, as applicable, the regulatory authorities may have difficulties scheduling the necessary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review meetings in a timely manner, or may recommend against clearance or approval of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application; or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FDA may determine that our 510(k) notifications for new indications, if and when submitted, must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follow a different regulatory pathway than we have attempted, and there may be potentially extended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standards, timelines, reviews (such as by an FDA Advisory Committee) and costs in order to pursue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approval.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the ability of the FDA to review and approve new products, to provide feedback on clinical trials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development programs, to meet with manufacturers, and other related processes can be affected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variety of factors, including government budget and funding levels, reductions in workforce,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hire and retain key personnel, and statutory, regulatory and policy changes. Government shutdowns, if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prolonged, can significantly impact the ability of government agencies upon which we rely, such as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FDA, to timely review and process our regulatory submissions, which could have a material adverse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effect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of these factors, many of which are beyond our control, could jeopardize our ability to obtain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regulatory clearance, de novo classification or approval for current or future versions of the Heartflow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Platform and could result in difficulties and costs for us. If we fail to comply with regulatory requirements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international markets or to obtain and maintain required marketing authorizations, or if marketing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authorizations in international markets are delayed, our ability to realize the full market potential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new potential products will be limited.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Healthcare policy changes, including recently enacted legislation reforming the U.S. healthcare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system could have an adverse effect on our business, financial condition, results of operations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and prospects.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the United States, there have been and continue to be a number of legislative and regulatory initiatives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contain healthcare costs. Federal and state lawmakers regularly propose and, at times, enact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legislation that would result in significant changes to the U.S. healthcare system, some of which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intended to contain or reduce the costs of medical products and services, including our own products.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example, on July 4, 2025, the annual reconciliation bill, the “One Big Beautiful Bill Act,” or OBBBA, was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signed into law which is expected to reduce Medicaid spending and enrollment by implementing work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for some beneficiaries, capping state-directed payments, reducing federal funding,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limiting provider taxes used to fund the program. OBBBA also narrows access to ACA marketplace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exchange enrollment and declines to extend the ACA enhanced advanced premium tax credits, set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expire in 2025, which, among other provisions in the law, are anticipated to reduce the number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Americans with health insurance. These changes may decrease patient access to advanced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cardiovascular diagnostics, including Heartflow's FFRCT and Plaque Analysis products, particularly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among lower-income and high-risk populations. In addition, reduced federal and state funding, caps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supplemental payments, and limits on provider revenue sources may constrain hospital and health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 budgets, potentially slowing adoption of innovative diagnostics despite demonstrated clinical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value.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Current and future legislative proposals to further reform healthcare or reduce healthcare costs may limit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coverage of or lower reimbursement for the diagnostic tests associated with the use of our products.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 containment measures that payors and providers are instituting and the effect of any healthcare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reform initiative implemented in the future could impact our revenue from the sale of our products.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expect additional state and federal healthcare policies and reform measures to be adopted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particularly in light of the recent administration changes in the White House and Congress, any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could limit reimbursement for healthcare products and services or otherwise result in reduced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demand for our products or additional pricing pressure and have a material adverse effect on our industry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generally and on our customers. We cannot predict what other healthcare programs and regulations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ultimately be implemented at the federal or state level or whether any future legislation or regulation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United States may negatively affect our business, financial condition, results of operations and prospects.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continuing efforts of the government, insurance companies, managed care organizations and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payors of healthcare services to contain or reduce costs of healthcare may adversely affect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set a price that we believe is fair for our products, our ability to generate revenue and achieve or maintain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profitability and the availability of capital.</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changes of, or uncertainty with respect to, future coverage or reimbursement rates could affect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demand for our products, which may prevent us from being able to generate additional revenue or attain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profitability.</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are subject to many laws and governmental regulations affecting our marketed products, both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domestically and internationally, and any adverse regulatory action may adversely affect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business, 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is subject to regulation by numerous government authorities, including the FDA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comparable foreign authorities, after clearance or approval of current and future versions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To varying degrees, each of these authorities requires us to comply with laws and regulations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governing the development, design, testing, manufacture, labeling, advertising, promotion, distribution,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import and export of our products. The Heartflow Platform (also referred to as Heartflow Analysis, which </w:t>
      </w:r>
    </w:p>
    <w:p>
      <w:pPr>
        <w:pStyle w:val="TextBody"/>
        <w:bidi w:val="0"/>
        <w:spacing w:lineRule="atLeast" w:line="200" w:before="0" w:after="0"/>
        <w:jc w:val="left"/>
        <w:rPr/>
      </w:pPr>
      <w:r>
        <w:rPr>
          <w:rFonts w:ascii="Arial;sans-serif" w:hAnsi="Arial;sans-serif"/>
          <w:b w:val="false"/>
          <w:i w:val="false"/>
          <w:caps w:val="false"/>
          <w:smallCaps w:val="false"/>
          <w:sz w:val="20"/>
        </w:rPr>
        <w:t>consists of four main functions, the 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the Heartflow Plaque Analysis,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RoadMap Analysis and the Heartflow PCI Planner (which we expect to launch in 2026)) has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been cleared by the FDA (K213857), and only the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function of the Heartflow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Platform is </w:t>
      </w:r>
      <w:r>
        <w:rPr>
          <w:rFonts w:ascii="Arial;sans-serif" w:hAnsi="Arial;sans-serif"/>
          <w:b w:val="false"/>
          <w:i w:val="false"/>
          <w:caps w:val="false"/>
          <w:smallCaps w:val="false"/>
          <w:strike w:val="false"/>
          <w:dstrike w:val="false"/>
          <w:sz w:val="20"/>
          <w:u w:val="none"/>
          <w:effect w:val="none"/>
          <w:shd w:fill="FFFFFF" w:val="clear"/>
        </w:rPr>
        <w:t>Conformité Européene Marked (“</w:t>
      </w:r>
      <w:r>
        <w:rPr>
          <w:rFonts w:ascii="Arial;sans-serif" w:hAnsi="Arial;sans-serif"/>
          <w:b w:val="false"/>
          <w:i w:val="false"/>
          <w:caps w:val="false"/>
          <w:smallCaps w:val="false"/>
          <w:sz w:val="20"/>
        </w:rPr>
        <w:t xml:space="preserve">CE Marked”) in the European Economic Area, the United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Kingdom and Australia, received medical device licensing in Canada and has been approved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marketing authorization in Japan by the Pharmaceuticals and Medical Devices Agency (“PMDA”), all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specific indications for use. The Heartflow Platform has also been cleared by the equivalent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authorities in Israel, Saudi Arabia and United Arab Emirates and licensed in Bahrain.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currently have ongoing responsibilities under U.S., U.K., European Economic Area, Switzerland,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Canada, Australia, Japan, Saudi Arabia, United Arab Emirates, Bahrain and Israel (registered or licensed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regions) regulations, including requirements related to product and facility registration, device listing,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adverse event reporting, reporting of recalls and field corrective actions, manufacturing, advertising,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promotion, distribution, import, and export. In certain jurisdictions outside of the United States,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contract with third parties (i.e., notified bodies, authorized representatives, and manufacturing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authorization holders) who either oversee regulatory compliance or assume regulatory responsibilities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distributed by those third parties. We are subject to periodic inspections and audits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FDA, notified bodies, authorized representatives and comparable foreign authorities to determine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compliance with regulatory requirements, including good manufacturing practices such as the Quality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System Regulation of the FDA, Medical Device Single Audit Program, ISO 13485:2016, and EN ISO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13485:2021 concerning the EU, establishment registration and device listing, medical device reporting,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vigilance reporting of adverse events, notification of corrections, recalls, field safety corrective actions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 labeling and marketing. These inspections and audits can result in inspectional observations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reports, warning letters or other forms of enforcement action. If the FDA or comparable foreign authorities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conclude, as a result of these inspections or audits or from any other source of information, that we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not in compliance with applicable laws or regulations, or that our products are ineffective or pose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unreasonable health risk, such authorities could ban these products, suspend or cancel our marketing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authorizations, impose “stop sale” and “stop import” orders, refuse to issue export certificates, detain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seize adulterated or misbranded products, order a recall, repair, replacement, correction or refund of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require us to conduct post-market surveillance studies or change the labeling for our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require us to notify health professionals and others that the products present unreasonable risks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substantial harm to the public health. Failure to comply with regulatory requirements may also subject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additional administrative and judicially imposed sanctions, warning letters, civil and criminal penalties,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injunctions, interruption of manufacturing or clinical trials, total or partial suspension of production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resulting adverse publicity.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Discovery of previously unknown problems with our products’ design or manufacture may result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restrictions on the use of the Heartflow Platform, restrictions placed on us or our suppliers or withdrawal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the existing regulatory clearance of the Heartflow Platform. The FDA or comparable foreign authorities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also impose operating restrictions, enjoin and restrain violations of applicable law pertaining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medical devices, assess civil or criminal penalties against our officers, employees or us or recommend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criminal prosecution of our company. Adverse regulatory action of a certain magnitude may restrict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effectively marketing and selling our products. In addition, negative publicity or product liability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claims resulting from any adverse regulatory action could have an adverse effect on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many of the foreign countries in which we market our products, we are subject to extensive medical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device regulations that are similar to those of the FDA, including those in Europe. The regulation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in Europe falls within the European Economic Area, which consists of the 27 member states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European Union, as well as Iceland, Liechtenstein and Norway. Only medical devices that comply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certain conformity requirements of the Medical Devices Regulation (E.U.) 2017/745 concerning Medical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Devices, or the E.U. Medical Devices Directive, Directive 2006/114/EC are allowed to be marketed within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European Economic Area.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Foreign governmental regulations have become increasingly stringent and more extensive, and we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become subject to even more rigorous regulation by foreign governmental authorities in the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Penalties for a company’s noncompliance with foreign governmental regulation could be severe, including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revocation or suspension of a company’s business license and civil or criminal sanctions. In some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jurisdictions, such as Germany, any violation of a law related to medical devices is also considered to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violation of unfair competition law. In such cases, governmental authorities, our competitors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or consumer associations may then file lawsuits to prohibit us from commercializing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in such jurisdictions. Our competitors may also sue us for damages. Any domestic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foreign governmental law or regulation imposed in the future may have an adverse effect on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Delays in the commencement or completion of future or ongoing clinical testing could result in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increased costs to us and delay our ability to market the Heartflow Platform for additional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indications.</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We recently completed enrolling patients for our DECIDE clinical trial to evaluate our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 xml:space="preserve">Plaque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Analysis in a real-world setting. We do not know whether our DECIDE clinical trial will be completed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schedule, or at all. The commencement or completion of clinical trials can be disrupted for a variety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reasons, including difficulties in:</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recruiting and enrolling patients to participate in, and investigators to conduct, a clinical trial;</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reaching agreements on acceptable terms with prospective clinical research organizations and trial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sites;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obtaining approval of an investigational device exemption, application from the FDA or equivalent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authorization from foreign regulatory authorities, if required; or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obtaining IRB approval to conduct a clinical trial at a prospective site.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clinical trial may also be suspended or terminated by us, an IRB, the FDA or other regulatory authorities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due to a number of factors,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failure to conduct the clinical trial in accordance with regulatory requirements or in accordance with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our clinical protocols;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inspection of the clinical trial operations or trial site by the FDA or other regulatory authorities resulting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in the imposition of a clinical hold;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safety or effectiveness issues; or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lack of adequate funding to continue the clinical trial.</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changes in regulatory requirements and guidance may occur, and we may need to amend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clinical trial protocols to respond to such changes, which could impact the cost, timing or successful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completion of a clinical trial. If we experience delays in the commencement or completion of our clinical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trials, the commercial prospects for additional indications for our products will be harmed.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Interim, “top-line” and preliminary data from our clinical trials that we announce or publish from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time to time may change as more patient data become available and are subject to audit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verification procedures that could result in material changes in the final data.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time to time, we may publicly disclose interim, top-line or preliminary data from our clinical trials,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our DECIDE clinical trial, which is based on a preliminary analysis of then-available data,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results and related findings and conclusions are subject to change following a more comprehensive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review of the data related to the particular trial or additional data collected at a later time. We also make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assumptions, estimations, calculations and conclusions as part of our analyses of data, and we may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have received or had the opportunity to fully and carefully evaluate all data. As a result, the interim, top-</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line or preliminary results that we report may differ from future results of the same trial, or different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conclusions or considerations may qualify such results, once additional data have been received and fully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evaluated. Interim, top-line or preliminary data also remain subject to audit and verification procedures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that may result in the final data being materially different from the interim, top-line or preliminary data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previously announced. As a result, interim, top-line and preliminary data should be viewed with caution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until the final data are available. Adverse differences between interim data and final data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significantly harm our business prospects. Further, disclosure of interim data by us or by our competitors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could result in volatility in our share price.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others, including the FDA and other regulatory authorities or other bodies, may not accept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 with our assumptions, estimates, calculations, conclusions or analyses or may interpret or weigh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importance of data differently, which could impact the value of the particular trial, or the approvability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potential for commercialization of the particular medical device. In addition, the information we choose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publicly disclose regarding a particular study or clinical trial is based on what is typically extensive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and others may not agree with what we determine is material or otherwise appropriate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to include in our disclosure. The interim, top-line or preliminary data that we report may differ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final results, and regulatory authorities and other bodies may disagree with the conclusions reached,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may harm our ability to obtain marketing authorization for, and commercialize, our future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which could harm our business, 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face product liability claims that could result in costly litigation and significant liabilities.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We may not be able to maintain adequate product liability insurance.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Development, marketing and clinical testing of our products may expose us to product liability and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tort claims. Although we have, and intend to maintain, liability insurance, the coverage limits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insurance policies may not be adequate and one or more successful claims brought against us may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adverse effect on our business, financial condition, results of operations and prospects. For example,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U.S. Supreme Court declined to hear an appeal where the U.S. Court of Appeals for the Ninth Circuit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ruled that the 1976 Medical Device Amendments to the Federal Food, Drug and Cosmetic Act did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preempt state laws in a product liability case involving a medical device company. If other courts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United States adopt similar rulings, we may be subject to increased litigation risk in connection with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Product liability claims could negatively affect our reputation, product sales, and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obtain and maintain regulatory approval for our products.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although we have product liability and clinical study liability insurance, this insurance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subject to deductibles and coverage limitations. Our current product liability insurance may not continue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available to us on acceptable terms, if at all, and, if available, coverage may not be adequate to protect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 against any future product liability claims. If we are unable to obtain insurance at an acceptable cost,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acceptable terms with adequate coverage, or at all, or otherwise protect against potential product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liability claims, we will be exposed to significant liabilities, which may harm our business. A product liability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claim, recall or other claim with respect to uninsured liabilities or for amounts in excess of insured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liabilities could have an adverse effect on our reputation, business, financial condition, results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 Heartflow Platform may be subject to recalls, which could be costly and could harm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reputation and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subject to ongoing medical device reporting regulations that require us to report to the FDA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similar governmental authorities in other countries if our products cause, or contribute to, death or serious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injury, or if they malfunction and would be likely to cause, or contribute to, death or serious injury if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malfunction were to recur. We could voluntarily elect to, or the FDA and similar governmental authorities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other countries could require us to, perform a correction, field safety corrective action, removal or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recall of our products in the event of material deficiencies or defects in design, manufacturing or labeling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that could cause harm. Our products have been in the past, and may in the future, be the subject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medical device reports of adverse events with the MAUDE database, including reports of false negative </w:t>
      </w:r>
    </w:p>
    <w:p>
      <w:pPr>
        <w:pStyle w:val="TextBody"/>
        <w:bidi w:val="0"/>
        <w:spacing w:lineRule="atLeast" w:line="200" w:before="0" w:after="0"/>
        <w:jc w:val="left"/>
        <w:rPr>
          <w:sz w:val="24"/>
        </w:rPr>
      </w:pPr>
      <w:r>
        <w:rPr>
          <w:rFonts w:ascii="Arial;sans-serif" w:hAnsi="Arial;sans-serif"/>
          <w:b w:val="false"/>
          <w:i w:val="false"/>
          <w:caps w:val="false"/>
          <w:smallCaps w:val="false"/>
          <w:sz w:val="20"/>
        </w:rPr>
        <w:t xml:space="preserve">results and incorrect or imprecise results or readings. </w:t>
      </w:r>
      <w:r>
        <w:rPr>
          <w:rFonts w:ascii="Arial;sans-serif" w:hAnsi="Arial;sans-serif"/>
          <w:b w:val="false"/>
          <w:i w:val="false"/>
          <w:caps w:val="false"/>
          <w:smallCaps w:val="false"/>
          <w:strike w:val="false"/>
          <w:dstrike w:val="false"/>
          <w:sz w:val="20"/>
          <w:u w:val="none"/>
          <w:effect w:val="none"/>
          <w:shd w:fill="FFFFFF" w:val="clear"/>
        </w:rPr>
        <w:t xml:space="preserve">Between 2017 and October 31, 2025, 132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Heartflow Platform MAUDE reports were made, with 109 of those reports due to false negative results, 20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reports due to incorrect, inadequate or imprecise results or readings, and three reports due to</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an adverse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event without an identified device or use problem. While none of these MAUDE reports resulted in a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 xml:space="preserve">mandated or voluntary correction, field safety action, removal or </w:t>
      </w:r>
      <w:r>
        <w:rPr>
          <w:rFonts w:ascii="Arial;sans-serif" w:hAnsi="Arial;sans-serif"/>
          <w:b w:val="false"/>
          <w:i w:val="false"/>
          <w:caps w:val="false"/>
          <w:smallCaps w:val="false"/>
          <w:sz w:val="20"/>
        </w:rPr>
        <w:t xml:space="preserve">a recall, a government mandated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voluntary correction, field safety corrective action, removal or other recall could occur as a result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manufacturing errors or design defects, including defects in labeling. Any correction, field safety corrective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action, removal or other recall would divert managerial and financial resources and could lead to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substantial loss of physician and patient confidence in our products and, consequently, have an adverse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 on our growth prospects or operating results. A correction, field safety corrective action, removal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recall could also result in substantial litigation, including product liability claims, with liabilities well 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79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excess of our insurance coverage limits. Any of these events could have an adverse effect on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reputation, business, 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Off-label or other unlawful promotion of our products could result in costly investigations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sanctions from the FDA and other regulatory bodies.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Heartflow Platform (also referred to as Heartflow Analysis, which consists of four main functions, the </w:t>
      </w:r>
    </w:p>
    <w:p>
      <w:pPr>
        <w:pStyle w:val="TextBody"/>
        <w:bidi w:val="0"/>
        <w:spacing w:lineRule="atLeast" w:line="200" w:before="0" w:after="0"/>
        <w:jc w:val="left"/>
        <w:rPr/>
      </w:pPr>
      <w:r>
        <w:rPr>
          <w:rFonts w:ascii="Arial;sans-serif" w:hAnsi="Arial;sans-serif"/>
          <w:b w:val="false"/>
          <w:i w:val="false"/>
          <w:caps w:val="false"/>
          <w:smallCaps w:val="false"/>
          <w:sz w:val="20"/>
        </w:rPr>
        <w:t>Heartflow 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the Heartflow Plaque Analysis, the Heartflow RoadMap Analysis and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PCI Planner (which we expect to launch in 2026)) has been cleared by the FDA (K213857), and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only the </w:t>
      </w:r>
      <w:r>
        <w:rPr>
          <w:rFonts w:ascii="Arial;sans-serif" w:hAnsi="Arial;sans-serif"/>
          <w:b w:val="false"/>
          <w:i w:val="false"/>
          <w:caps w:val="false"/>
          <w:smallCaps w:val="false"/>
          <w:strike w:val="false"/>
          <w:dstrike w:val="false"/>
          <w:sz w:val="20"/>
          <w:u w:val="none"/>
          <w:effect w:val="none"/>
        </w:rPr>
        <w:t xml:space="preserve">Heartflow </w:t>
      </w:r>
      <w:r>
        <w:rPr>
          <w:rFonts w:ascii="Arial;sans-serif" w:hAnsi="Arial;sans-serif"/>
          <w:b w:val="false"/>
          <w:i w:val="false"/>
          <w:caps w:val="false"/>
          <w:smallCaps w:val="false"/>
          <w:sz w:val="20"/>
        </w:rPr>
        <w:t>FFR</w:t>
      </w:r>
      <w:r>
        <w:rPr>
          <w:rFonts w:ascii="Arial;sans-serif" w:hAnsi="Arial;sans-serif"/>
          <w:b w:val="false"/>
          <w:i w:val="false"/>
          <w:caps w:val="false"/>
          <w:smallCaps w:val="false"/>
          <w:sz w:val="13"/>
        </w:rPr>
        <w:t>CT</w:t>
      </w:r>
      <w:r>
        <w:rPr>
          <w:caps w:val="false"/>
          <w:smallCaps w:val="false"/>
        </w:rPr>
        <w:t xml:space="preserve"> </w:t>
      </w:r>
      <w:r>
        <w:rPr>
          <w:rFonts w:ascii="Arial;sans-serif" w:hAnsi="Arial;sans-serif"/>
          <w:b w:val="false"/>
          <w:i w:val="false"/>
          <w:caps w:val="false"/>
          <w:smallCaps w:val="false"/>
          <w:sz w:val="20"/>
        </w:rPr>
        <w:t xml:space="preserve">Analysis function of the Heartflow Platform is CE Marked in the European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Economic Area, the United Kingdom and Australia, received medical device licensing in Canada and has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been approved for marketing authorization in Japan by the PMDA, all for specific indications for use.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Heartflow Platform has also been cleared by the equivalent regulatory authorities in Israel, Saudi Arabia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United Arab Emirates and licensed in Bahrain. We may only promote or market our products for their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specifically cleared or approved indications. We train our marketing and sales force against promoting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products for uses outside of the cleared or approved indications for use (“off-label use”).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the FDA determines that our promotional materials or training constitute promotion of an off-label use,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if there are claims that are not adequately substantiated or that are otherwise false or misleading, 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request that we modify our training or promotional materials or subject us to regulatory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enforcement actions, including the issuance of an untitled letter, a warning letter, injunction, seizure, civil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fine or criminal penalties. It is also possible that other federal, state or foreign enforcement authorities,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the Federal Trade Commission or Department of Justice, might take action if they consider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activities to constitute promotion of an off-label use or other unlawful promotion, which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 in significant penalties, including criminal, civil and administrative penalties, damages, fines,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disgorgement, exclusion from participation in government healthcare programs and the curtailment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operations. Any of these events could significantly harm our business, results of operations,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condition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the advertising and promotion of our products are subject to European Economic Area Member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States laws implementing the Medical Devices Directive concerning misleading and comparative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advertising, and Directive 2005/29/EC on unfair commercial practices, as well as other European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Economic Area Member State legislation governing the advertising and promotion of medical devices.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European Economic Area Member State legislation may also restrict or impose limitations on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advertise our products directly to the general public. In addition, voluntary E.U. and national codes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conduct provide guidelines on the advertising and promotion of our products to the general public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impose limitations on our promotional activities with healthcare professionals harming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are subject to numerous federal, state and foreign healthcare fraud and abuse, compliance,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transparency and privacy laws and regulations, and a failure to comply with such laws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regulations could have an adverse effect on our business; similarly, an investigation, inquiry or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audit by a government agency that alleges violations of law or regulation may have an adverse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effect on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operations are, and will continue to be, directly and indirectly affected by various federal, state and/or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foreign healthcare laws, including those described below. In particular, because the use of our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directly or indirectly reimbursed by U.S. federal health care programs, for example Medicare, we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subject to the federal Anti-Kickback Statute, a criminal law that prohibits, among other things, any person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entity from knowingly and willfully offering, paying, soliciting or receiving any remuneration in cash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in-kind (including any kickback or bribe, but also common forms of remuneration, such as service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consulting fees, service fees, meals, travel expenses, discounts or rebates), directly or indirectly, overtly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covertly, in cash or in-kind, in return for or to induce the referring, ordering, leasing, purchasing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arranging for or recommending the referring, ordering, purchasing or leasing of any good, facility, item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 for which payment may be made, in whole or in part, under federal healthcare programs, such 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Medicare and Medicaid programs. The term “remuneration” has been broadly interpreted to include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anything of value. Although there are a number of statutory exceptions and regulatory safe harbors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protecting certain common activities, the exceptions and safe harbors are drawn narrowly. Failure to meet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all of the requirements of a statutory exception or regulatory safe harbor does not make the conduct per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 illegal under the Anti-Kickback Statute. Instead, the arrangement will be evaluated on a case-by-case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basis based on a cumulative review of all of its facts and circumstances. Several courts have interpreted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statute’s intent requirement to mean that if any one purpose of an arrangement involving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remuneration is to induce referrals of (or purchases, uses or recommendations of prescriptions, uses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purchases related to) federal healthcare program covered business, the Anti-Kickback Statute has been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implicated and potentially violated. Our practices may not in all cases meet all of the criteria for safe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harbor protection from Anti-Kickback Statute liability. Further, the ACA, amends the intent requirement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federal Anti-Kickback Statute and certain criminal healthcare fraud statutes. A person or entity no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longer needs to have actual knowledge of the statute or specific intent to violate it. In addition,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may assert that a claim for payment by a government health care program including items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resulting from a violation of the Anti-Kickback Statute constitutes a false or fraudulent claim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purposes of the false claims laws.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U.S. civil False Claims Act prohibits, among other things, any person or entity from knowingly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presenting, or causing to be presented, a false or fraudulent claim for payment or approval to the federal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or knowingly making, using, or causing to be made or used a false record or statement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material to a false or fraudulent claim to the federal government. A claim includes “any request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demand” for money or property presented to the U.S. government. The civil False Claims Act also applies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false submissions that cause the government to not receive a benefit to which it is entitled, such as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discounted sales price for products covered by federal healthcare programs. Intent to deceive is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required to establish liability under the civil False Claims Act. In addition, the civil False Claims Act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includes a whistleblower provision that allows private citizens to bring claims on behalf of the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alleging violations of the law. Whistleblowers may be entitled to up to as much as thirty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percent (30%) of the government’s financial recovery resulting from such claims. This incentivizes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potential whistleblowers to file complaints in federal court, which complaints are relied upon heavily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to investigate and prosecute allegations of violations of both the civil False Claims Act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Anti-Kickback Statute. U.S. enforcement authorities or private whistleblowers acting on behalf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 government may file complaints under the civil False Claims Act alleging that we have caused one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 of our customers to submit false submissions for reimbursement from federal health care programs,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Medicare, Medicaid, or the Veterans Affairs program due to alleged kickbacks, the sale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adulterated or misbranded products, or the provision of false or misleading information to our customers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other third parties. For example, in October 2025, we and certain of our employees received civil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investigative demands (the “CID”) from the U.S. Department of Justice, Civil Division, in connection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investigation under the federal Anti-Kickback Statute and Civil False Claims Act (the “Investigation”).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CID requests information, documents, and testimony focused on our financial and contractual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arrangements with providers and our sales and marketing activities. We are cooperating with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Investigation. We are unable to express a view at this time regarding the likely duration, or ultimate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outcome, of the Investigation. Depending on the outcome of the Investigation, there may be a material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impact on our business, results of operations, financial condition, or cash flows.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Additionally, under the federal Civil Money Penalty Statute, the Department of Health and Human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(“HHS”) may impose civil money penalties against entities that make offers to transfer or transfer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remuneration, including gifts, payments or routine waivers of co-payments or deductibles, to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Medicare beneficiary in order to influence such individual to order or receive any item or service for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payment may be made, in whole or in part, under Medicare and/or a State health care program.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federal Civil Money Penalty Statute also creates potential civil liability, with a lower threshold for violation,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of the same types of activities that would violate the criminal Anti-Kickback Statute.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Violations of these laws and regulations may result in significant criminal and/or civil fines and penalties,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well as potential exclusion from participation in federal health care programs, that could significantly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impact our business and operations.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also subject to other federal and state fraud and abuse laws, including HIPAA’s fraud provisions,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among other things, are criminal laws that prohibit, among other actions, knowingly and willfully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executing, or attempting to execute, a scheme or artifice to defraud any healthcare benefit program,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private payors, knowingly and willfully embezzling or stealing from a healthcare benefit program,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willfully preventing, obstructing, misleading, delaying or attempting to delay a criminal investigation of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healthcare offense and knowingly and willfully falsifying, concealing or covering up a material fact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making any materially false, fictitious or fraudulent statement or representation in connection with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delivery of or payment for healthcare benefits, items or services. Many of these state laws closely mirror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federal Anti-Kickback Statute or civil False Claims Act but apply more broadly to products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services that are paid for in any way, whereas the federal law pertains only to those reimbursed by federal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 care programs. In addition, many states have also adopted laws prohibiting fee-splitting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sharing of professional fees with non-state licensed persons or entities), restricting marketing activities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physicians and/or prohibiting the practice of medicine (or the direction of the practice of medicine)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corporations or others that are not specifically licensed to practice medicine within the state. While under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model, licensed practitioners independently are providing any and all medical treatment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diagnostic services for which a state license is required, these state laws still may apply to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also are subject to foreign fraud and abuse laws and regulations, which vary by country, and can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prohibit many of the same activities addressed by U.S. laws.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also subject to the federal and state transparency reporting laws and regulations, gift bans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compliance reporting provisions. The Physician Payments Sunshine Act (also known as Open Payments)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requires manufacturers of drugs, devices, biologics and medical supplies for which payment is available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 Medicare, Medicaid or the State Children’s Health Insurance Program to report annually to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Centers for Medicare and Medicaid Services information related to payments and other transfers of value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provided directly or indirectly to physicians (defined to include doctors, dentists, optometrists, podiatrists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chiropractors), other healthcare providers (such as physician assistants and nurse practitioners)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teaching hospitals. Such manufacturers are also required to annually report certain ownership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investment interests held by such U.S. physicians and their immediate family members. Certain states,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like Massachusetts and Vermont, have similar reporting requirements. Some states, like Vermont, prohibit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gifts and certain benefits from being provided to physicians licensed within that state. Other states,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California and Nevada, mandate implementation of compliance programs to ensure compliance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fraud and abuse laws and regulations, as well as with industry codes of conduct, such as the AdvaMed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Code of Ethics on Interactions with Health Care Professionals. Our business is subject to these many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which can be nuanced and lacking in clear guidance. Our failure to comply with these laws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regulations could result in substantial fines or penalties. Further, our reports made pursuant to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laws may be used by enforcement authorities or whistleblowers to raise or substantiate allegations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against us.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also subject to the federal physician self-referral prohibitions, commonly known as the Stark Law,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prohibits, among other things, physicians who have a financial relationship, including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investment, ownership or compensation relationship with an entity that submits claims for payment to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Medicare or Medicaid programs, from referring Medicare or Medicaid patients for certain “designated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 services,” which include diagnostic imaging services related to our products, unless an exception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applies. Similarly, entities may not bill Medicare or any other party for services furnished pursuant to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prohibited referral. Many states have their own self-referral laws as well, which in some cases apply to all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payors, not just Medicare and Medicaid.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our operations are found to be in violation of any of the laws described above or any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governmental regulations that apply to us now or in the future, we may be subject to significant penalties,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civil and criminal penalties, damages, fines, disgorgement, exclusion from governmental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healthcare programs and the curtailment or restructuring of our operations, any of which could adversely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affect our ability to operate our business and our financial results.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also note that there is risk of our being found in violation of these laws by the fact that many of them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have not been fully, clearly or consistently interpreted by the regulatory authorities or the courts, and their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provisions are open to a variety of interpretations. Any action against us for violation of these laws, even if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successfully defend against it, could cause us to incur significant legal expenses and divert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management’s attention from the operation of our business. Moreover, to achieve compliance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applicable federal and state privacy, security and electronic transaction laws, we may be required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modify our operations with respect to the handling of patient information. Similarly, to achieve compliance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other applicable federal and state anti-fraud, open payments or other healthcare regulations, we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required to modify our operations. Implementing any of these modifications may prove costly. At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 we are not able to determine the full consequences to us, including the total cost of compliance,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these various federal and state laws.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are subject to U.S. and foreign anti-corruption and anti-money laundering laws with respect to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operations and non-compliance with such laws can subject us to criminal and/or civil liability </w:t>
      </w:r>
    </w:p>
    <w:p>
      <w:pPr>
        <w:pStyle w:val="TextBody"/>
        <w:bidi w:val="0"/>
        <w:spacing w:lineRule="atLeast" w:line="200" w:before="0" w:after="0"/>
        <w:jc w:val="left"/>
        <w:rPr/>
      </w:pPr>
      <w:r>
        <w:rPr>
          <w:rFonts w:ascii="Arial;sans-serif" w:hAnsi="Arial;sans-serif"/>
          <w:b/>
          <w:i/>
          <w:strike w:val="false"/>
          <w:dstrike w:val="false"/>
          <w:sz w:val="20"/>
          <w:u w:val="none"/>
          <w:effect w:val="none"/>
        </w:rPr>
        <w:t>and harm our business.</w:t>
      </w:r>
      <w:r>
        <w:rPr>
          <w:strike w:val="false"/>
          <w:dstrike w:val="false"/>
          <w:u w:val="none"/>
          <w:effect w:val="none"/>
        </w:rPr>
        <w:t xml:space="preser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subject to the FCPA, the U.S. domestic bribery statute contained in 18 U.S.C. § 201,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 Travel Act, the USA PATRIOT Act, the U.K. Bribery Act of 2010 and Proceeds of Crime Act 2002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possibly other state and national anti-bribery and anti-money laundering laws in countries in which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conduct activities. Anti-corruption laws are interpreted broadly and prohibit companies and their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employees and third-party intermediaries from authorizing, promising, offering or providing, directly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indirectly, improper payments or benefits to recipients in the public or private sector. We use third-party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representatives to support sales of our products abroad. In addition, as we increase our international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sales and business, we may engage with additional business partners and third-party intermediaries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sell our products abroad and to obtain necessary permits, licenses and other regulatory approvals. We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third-party intermediaries may have direct or indirect interactions with officials and employees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 agencies or state owned or affiliated entities. We can be held liable for the corrupt or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illegal activities of these third-party intermediaries, our employees, representatives, contractors, partners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agents, even if we do not explicitly authorize or have actual knowledge of such activities.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Noncompliance with anti-corruption and anti-money laundering laws could subject us to whistleblower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complaints, investigations, sanctions, settlements, prosecution, other enforcement actions, disgorgement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profits, significant fines, damages, other civil and criminal penalties or injunctions, suspension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debarment from contracting with certain persons, the loss of export privileges, reputational harm, adverse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media coverage and other collateral consequences. If any subpoenas or investigations are launched,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governmental or other sanctions are imposed, or if we do not prevail in any possible civil or criminal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litigation, our business, results of operations and financial condition could be materially harmed.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responding to any action will likely result in a materially significant diversion of management’s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attention and resources and significant defense and compliance costs and other professional fees.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certain cases, enforcement authorities may even cause us to appoint an independent compliance monitor,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can result in added costs and administrative burdens. As a general matter, enforcement actions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sanctions could harm our business, 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are subject to governmental export and import controls that could impair our ability to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compete in international markets due to licensing requirements and subject us to liability if we are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not in compliance with applicable laws.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are subject to export control and import laws and regulations, including the U.S. Export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Administration Regulations, U.S. Customs regulations and various economic and trade sanctions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regulations administered by the U.S. Treasury Department’s Office of Foreign Assets Control. Exports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must be made in compliance with these laws and regulations. If we fail to comply with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laws and regulations, we and certain of our employees could be subject to substantial civil or criminal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penalties, including: the possible loss of export or import privileges; fines, which may be imposed on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responsible employees or managers; and, in extreme cases, the incarceration of responsible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employees or managers. Obtaining the necessary authorizations, including any required license, for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particular sale may be time consuming, is not guaranteed and may result in the delay or loss of sales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opportunities. In addition, changes in our products or changes in applicable export or import regulations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create delays in the introduction and sale of our products in international markets, prevent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customers with international operations from deploying our products or, in some cases, prevent the export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import of our products to certain countries, governments or persons altogether. Any change in export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import regulations, shift in the enforcement or scope of existing regulations or change in the countries,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governments, persons or technologies targeted by such regulations, could also result in decreased 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or in our decreased ability to export or sell our products to existing or potential customers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international operations. Any decreased use of our products or limitation on our ability to export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sell our products would likely adversely affect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Furthermore, we incorporate encryption technology into certain of our products. Various countries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regulate the import of certain encryption technology, including through import permitting and licensing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and have enacted laws that could limit our ability to distribute our products or could limit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customers’ ability to implement our products in those countries. Encrypted products and the underlying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technology may also be subject to export control restrictions. Governmental regulation of encryption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technology and regulation of imports or exports of encryption products, or our failure to obtain required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import or export approval for our products, when applicable, could harm our international sales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adversely affect our revenue. Compliance with applicable regulatory requirements regarding the export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products, including with respect to new releases of our products, may create delays in the introduction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our products in international markets, prevent our customers with international operations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deploying our products throughout their globally distributed systems or, in some cases, prevent the export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of our products to some countries altogether.</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Moreover, U.S. export control laws and economic sanctions programs prohibit the shipment of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and services to countries, governments and persons that are subject to U.S. economic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embargoes and trade sanctions. Any violations of such economic embargoes and trade sanction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regulations could have negative consequences, including government investigations, penalties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reputational harm.</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Any future litigation against us could be costly and time-consuming to defend.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been in the past, and we may become in the future, subject to legal proceedings and claims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arise in the ordinary course of business, such as claims brought by our third-party vendors, our customers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their patients in connection with contractual disputes or the use of our Heartflow Platform, claims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brought by us or by competitors related to intellectual property or employment claims made by our current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former employees. Litigation might result in substantial costs and may divert management’s attention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resources, which might seriously harm our business, financial condition, results of operations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prospects. Insurance might not cover such claims, might not provide sufficient payments to cover all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costs to resolve one or more such claims, and might not continue to be available at all or on terms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acceptable to us (including premium increases or the imposition of large deductible or co-insurance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A claim brought against us that is uninsured or underinsured could result in unanticipated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costs, potentially harming our business, financial condition, results of operations and prospects.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we cannot be sure that our existing insurance coverage will continue to be available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acceptable terms or at all or that our insurers will not deny coverage as to any future claim.</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 xml:space="preserve">Risks Related to our Intellectual Property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we are unable to obtain and maintain sufficient intellectual property rights, or the scope of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rights is not sufficiently broad, third parties could develop and commercialize technology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products similar or identical to ours, and our ability to successfully commercialize our technology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and products may be adversely affected.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commercial success will depend, in part, on our ability to continue obtaining and maintaining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intellectual property protection for our technology and products, in both the United States and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other countries, successfully defending this intellectual property against third-party challenges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successfully enforcing this intellectual property to prevent third-party infringement. We rely upon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combination of patents, trade secrets, know-how, copyrights, trademarks, license agreements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contractual provisions to establish our intellectual property rights and protect our products.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ability to protect our technologies and products from unauthorized or infringing use by third parties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depends in substantial part on our ability to obtain and maintain valid and enforceable patents in both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United States and certain other countries. The patent positions of medical technology and software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companies can be highly uncertain and involve complex legal, scientific and factual questions for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important legal principles remain unresolved. In addition, the patent prosecution process is expensive,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time-consuming and complex, and we may not be able to file, prosecute, maintain, enforce, defend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license all necessary or desirable patents or patent applications at a reasonable cost or in a timely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manner, or in all jurisdictions.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cannot guarantee that any patents will issue from any pending or future patent applications owned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licensed to us, or if issued, the breadth of such patent coverage. In particular, during prosecution of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application, the issuance of any patents based on the application may depend upon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generate additional preclinical or clinical data that support the patentability of our proposed claims.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not be able to generate sufficient additional data on a timely basis, or at all. It is also possible that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fail to identify patentable aspects of inventions made in the course of our development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commercial activities before it is too late to obtain patent protection on such inventions. If we fail to timely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file for patent protection in any jurisdiction, we may be precluded from doing so at a later date.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issuance of a patent is not conclusive as to its inventorship, ownership, scope, validity,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enforceability, and our owned or licensed patents may be challenged in the courts or the patent offices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United States or abroad. Such challenges may result in a loss of exclusivity or in the patent’s claims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being narrowed, invalidated or held unenforceable, in whole or in part, which could limit our ability to stop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third parties from using or commercializing similar or identical products, or limit the duration of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protection for our technology and products. In addition, changes in either the patent laws, implementing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regulations or interpretations of patent laws in the United States or foreign countries may diminish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value of our patent rights.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Even if unchallenged, our owned or licensed patents may not provide us with exclusivity or commercial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value for our products, or any significant protection against competitive products, or prevent others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designing around our claims. Our competitors might conduct research and development activities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countries where we do not have patent rights (or in those countries where we do, under safe harbor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provisions) and then use the information learned from such activities to develop competitive products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sale in our major commercial markets. Further, if we encounter delays in regulatory approvals, the period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time during which we could market our products under patent protection could be reduced. Any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these outcomes could impair our ability to prevent competition from third parties, which may have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adverse impact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applications are generally maintained in confidence until publication. In the United States,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example, patent applications are maintained in secrecy for up to 18 months after their filing.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Nonpublication requests may allow a United States patent application to go unpublished until issuance.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Similarly, publication of discoveries in scientific or patent literature often lag behind actual discoveries.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Consequently, we cannot be certain that we or our licensors were the first to invent, or the first to file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applications on our products. There is also no assurance that all of the potentially relevant prior art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relating to our patents and patent applications has been found, which could be used by a third party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challenge the validity of our patents or prevent a patent from issuing from a pending patent application.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to patents, proprietary trade secrets and unpatented know-how are important to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information about risks related to these intellectual property rights, see the risk factor titled “If we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unable to protect the disclosure and use of our confidential information and trade secrets, the value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and technologies and our business and competitive position could be harmed” below. We also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rely on the trademarks we own to distinguish our products from the products of our competitors.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cannot guarantee that any trademark applications filed by us will be approved. Third parties may also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oppose or attempt to cancel our trademark applications or trademarks, or otherwise challenge our 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trademarks. In the event that the trademarks we use are successfully challenged, we could be forced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rebrand our products, which could result in loss of brand recognition, and could require us to devote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resources to advertising and marketing new brands. Competitors or other parties may adopt trade names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trademarks similar to ours, thereby impeding our ability to build brand identity and possibly leading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confusion.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we cannot provide assurance that competitors will not infringe the trademarks we use, or that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will have adequate resources to enforce these trademarks. If we attempt to enforce our trademarks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assert trademark infringement claims, a court may determine that the marks we have asserted are invalid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unenforceable, or that the party against whom we have asserted trademark infringement has superior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rights to the marks in question. In this case, we could ultimately be forced to cease use of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trademarks. We may license our trademarks and trade names to third parties, such as distributors.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Though these license agreements may provide guidelines for how our trademarks and trade names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used, a breach of these agreements or misuse of our trademarks and trade names by our licensees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jeopardize our rights in or diminish the goodwill associated with our trademarks and trade names.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Over the long term, if we are unable to establish name recognition based on our trademarks and trade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names, then we may not be able to compete effectively and our business may be adversely affected.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information about risks related to our inability to protect our intellectual property rights outside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United States, see the risk factor titled “We may not be able to adequately protect our intellectual property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rights throughout the world” below.</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we are unable to protect the disclosure and use of our confidential information and trade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secrets, the value of our products and technologies and our business and competitive position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could be harmed.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to patent protection, we also rely on other intellectual property rights, including trade secrets,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know-how, and/or other proprietary information that is not patentable or that we elect not to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However, trade secrets can be difficult to protect, and some courts are less willing or unwilling to protect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trade secrets. Although we have taken steps to protect our trade secrets and unpatented know-how,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by entering into confidentiality agreements with third parties, and proprietary information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invention agreements with our employees, consultants and advisors, third parties may still obtain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or we may be unable to protect our rights. There can be no assurance that binding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agreements will not be breached, that we would have adequate remedies for any breach, or that our trade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secrets and unpatented know-how will not otherwise become known or be independently discovered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competitors. We also seek to preserve the integrity and confidentiality of our data and trade secrets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by maintaining physical security of our premises and physical and electronic security of our information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technology systems. While we have confidence in these individuals, organizations and systems,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security measures may be breached, and we may not have adequate remedies for any such breach.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any of our trade secrets were to be lawfully obtained or independently developed by a competitor,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would have no right to prevent them, or those to whom they communicate it, from using that information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compete with us. Any exposure of our trade secrets and other proprietary information would impair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competitive advantages and could have a material adverse effect on our business, financial condition,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results of operations and prospects. In particular, a failure to protect our proprietary rights may allow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competitors to copy our products or technologies, which could adversely affect our pricing and market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share. Unauthorized parties may also attempt to copy or reverse engineer certain aspects of our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technologies that we consider proprietary.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Costly and time-consuming litigation could be necessary to enforce and determine the scope of our trade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secret rights and related confidentiality, non-disclosure and non-use provisions, and outcomes of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litigation are unpredictable. Enforcing a claim that a party illegally disclosed, used or misappropriated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trade secret can be difficult, expensive and time-consuming, and the outcome is unpredictable. While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use commonly accepted security measures, trade secret claims are often based on a combination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federal and state law in the United States, and the criteria for protection of trade secrets can vary among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different jurisdictions. If the steps we have taken to maintain our trade secrets are deemed inadequate,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may have insufficient recourse against third parties for misappropriating the trade secret. In addition,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agreement terms that address non-competition are difficult to enforce in many jurisdictions and might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enforceable in certain cases. Even if we were to be successful in the enforcement of our claims,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not be able to obtain adequate remedies.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Reliance on third parties requires us to share our trade secrets, which increases the possibility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that a competitor will discover them or that our trade secrets will be misappropriated or disclosed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to others.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collaboration or other engagement with third parties for the development of our products may require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 at times, to share trade secrets with them. We may also conduct joint research and development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programs that may require us to share trade secrets under the terms of our research and development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partnerships or similar agreements. We seek to protect our trade secrets and other proprietary technology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part by entering into confidentiality agreements with third parties prior to beginning research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disclosing proprietary information. These agreements typically limit the rights of the third parties to use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disclose our confidential information, including our trade secrets. Despite the contractual provisions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employed when working with third parties, the need to share trade secrets and other confidential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information increases the risk that such trade secrets become known by our competitors,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inadvertently incorporated into the technology of others, or are disclosed or used in violation of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agreements. Given that our proprietary Heartflow Platform is based, in part, on our know-how and trade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secrets, a competitor’s discovery of our trade secrets or other unauthorized use or disclosure could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adverse effect on our business, financial condition, results of operations and prospects.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these agreements typically restrict the ability of our advisors, employees, third-party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contractors and consultants to publish data potentially relating to our trade secrets. Despite our efforts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protect our trade secrets, we may not be able to prevent the unauthorized disclosure or use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technical know-how or other trade secrets by the parties to these agreements. Moreover, we cannot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guarantee that we have entered into such agreements with each party that may have or have had access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our confidential information or proprietary technology and processes. Monitoring unauthorized uses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disclosures is difficult, and we do not know whether the steps we have taken to protect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proprietary technologies will be effective. If any of the collaborators, scientific advisors, employees,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contractors and consultants who are parties to these agreements breaches or violates the terms of any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these agreements, we may not have adequate remedies for any such breach or violation, and we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lose our trade secrets as a result. Moreover, if confidential information that is licensed or disclosed to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by our partners, collaborators, or others is inadvertently disclosed or subject to a breach or violation,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be exposed to liability to the owner of that confidential information. Enforcing a claim that a third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party illegally obtained and is using our trade secrets, like patent litigation, is expensive and time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consuming, and the outcome is unpredictable. In addition, courts outside the United States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sometimes less willing to protect trade secrets, and we may need to share our trade secrets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proprietary know-how with current or future partners, collaborators, contractors and others located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countries at heightened risk of theft of trade secrets, including through direct intrusion by private parties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foreign actors, and those affiliated with or controlled by state actors.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Obtaining and maintaining our patent protection depends on compliance with various procedural,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document submission, fee payment and other requirements imposed by governmental patent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agencies, and our patent protection could be reduced or eliminated for noncompliance with these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requirements.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U.S. Patent and Trademark Office (“USPTO”) and various foreign governmental patent agencies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 compliance with a number of procedural, documentary, fee payment and other similar provisions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during the patent application process. In addition, periodic maintenance fees, renewal fees, annuity fees,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various other government fees on patents and/or applications will be due to be paid to the USPTO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various governmental patent agencies outside of the United States over the lifetime of our patents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and/or applications and any patent rights we may obtain in the future. We have systems in place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remind us to pay these fees, and we employ outside firms to remind us to pay annuity fees due to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agencies on our patents and pending patent applications. In many cases, an inadvertent lapse can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cured by payment of a late fee or by other means in accordance with the applicable rules. However, there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are situations in which noncompliance can result in abandonment or lapse of the patent or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application, resulting in partial or complete loss of patent rights in the relevant jurisdiction. In such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event, our competitors might be able to enter the relevant market, which would have an adverse effect 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business. Noncompliance events that could result in abandonment or lapse of a patent or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application include failure to respond to official actions within prescribed time limits, non-payment of fees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failure to properly legalize and submit formal documents.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Changes in patent law, precedents and policies in the United States and other jurisdictions could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diminish the value of patents in general, thereby impairing our ability to protect our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ability to obtain patents is highly uncertain because, to date, some legal principles remain unresolved,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there has not been a consistent policy regarding the breadth or interpretation of claims allowed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patents in the United States. Furthermore, the specific content of patents and patent applications that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necessary to support and interpret patent claims is highly uncertain due to the complex nature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relevant legal, scientific, and factual issues. The United States Supreme Court has ruled on several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cases in recent years, either narrowing the scope of patent protection available in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circumstances or weakening the rights of patent owners in certain situations. Changes in either the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laws or interpretations of patent laws in the United States or other jurisdictions may diminish the value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intellectual property. In the United States, in certain circumstances, court rulings may narrow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scope of patent protection and weaken the rights of patent owners. We cannot predict how decisions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courts, the U.S. Congress, the USPTO or changes in the patent laws of other jurisdictions may impact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value of our patents. Changes in the laws, regulations, precedents and procedures governing patents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have a material adverse effect on our existing patent portfolio and our ability to protect and enforce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intellectual property in the future, which could have a material adverse effect on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patent coverage in medical devices and technologies is a subject of evolution and differences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between countries. This is especially true of the definition of patentable subject matter which affects both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computer-related inventions and biological inventions. This evolution may cause current granted patents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be considered non-patent eligible or prevent us from protecting future inventions. U.S. Supreme Court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Federal Circuit Court decisions interpreting and/or limiting the scope of patentable subject matter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 35 U.S.C. § 101, in addition to examination guidelines from the USPTO, have made it more difficult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patentees to obtain and/or maintain patent claims in the United States that are directed to medical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technologies involving computer-implemented applications. Several precedential decisions regarding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patentable subject matter are of particular relevance to patents in the computer-implemented applications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space. Our efforts to seek patent protection for our technologies and products may be impacted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evolving case law and guidance or procedures issued by the USPTO or authorities in other jurisdictions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based on such evolving case law.</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Similarly, changes in patent laws and regulations in other countries or jurisdictions, changes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governmental bodies that enforce them or changes in how the relevant governmental authority enforces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laws or regulations may weaken our ability to obtain new patents or to enforce patents that we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 in the future. For example, the complexity and uncertainty of European patent laws have also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increased in recent years. In Europe, a new unitary patent system took effect June 1, 2023,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significantly impacts European patents, including those granted before the introduction of the new unitary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system. Under the unitary patent system, European applications have the option, upon grant of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of becoming a Unitary Patent which will be subject to the jurisdiction of the Unitary Patent Court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(“UPC”). As the UPC is a new court system, there is limited precedent for the court, increasing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uncertainty of any litigation. Patents granted before the implementation of the UPC have the ability to opt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 of the jurisdiction of the UPC and remain as national patents in the UPC countries. The UPC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 our competitors with a new forum to centrally revoke European patents and allow for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possibility of a competitor to obtain pan-European injunctions, since patents that remain under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jurisdiction of the UPC will be potentially vulnerable to a single UPC-based revocation challenge that, if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successful, could invalidate the patent in all countries who are signatories to the UPC. We cannot predict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with certainty the long-term effects of any potential changes.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 the laws of some foreign countries do not protect proprietary rights to the same extent or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same manner as the laws of the United States and Europe. As a result, we may encounter significant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problems in protecting and defending our intellectual property both in the United States and abroad.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example, if the issuance in a given country of a patent covering an invention is not followed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issuance in other countries of patents covering the same invention, or if any judicial interpretation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validity, enforceability or scope of the claims or the written description or enablement, in a patent issued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one country is not similar to the interpretation given to the corresponding patent issued in another country,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ability to protect our intellectual property in those countries may be limited. Changes in either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laws or in interpretations of patent laws in the United States and other countries may materially diminish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value of our intellectual property or narrow the scope of our patent protection.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on September 16, 2011, the Leahy-Smith America Invents Act (the “Leahy-Smith Act”) was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signed into law. The Leahy-Smith Act includes a number of significant changes to U.S. patent law.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Assuming that other requirements for patentability are met, prior to March 16, 2013, in the United States,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first to invent the claimed invention was entitled to the patent, while outside the United States, the first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file a patent application was entitled to the patent. On or after March 16, 2013, under the Leahy-Smith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 the United States transitioned to a first inventor to file system in which, assuming that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for patentability are met, the first inventor to file a patent application will be entitled to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on an invention regardless of whether a third party was the first to invent the claimed invention.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Under this system, a third party that files a patent application in the USPTO before us could be awarded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covering an invention of ours even if we had made the invention before it was made by such third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party. Since patent applications in the United States and most other countries are confidential for a period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time after filing or until issuance, we cannot be certain that we or our licensors were the first to either (i)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file any patent application related to our products or (ii) invent any of the inventions claimed in our or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licensors’ patents or patent applications.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Leahy-Smith Act also changed the way patent applications are prosecuted, including by allowing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third-party submission of prior art to the USPTO during patent prosecution and additional procedures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challenge the validity of a patent by USPTO administered post-grant proceedings to attack the validity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patent. Because of a lower evidentiary standard in USPTO proceedings compared to the evidentiary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standard in U.S. federal courts necessary to invalidate a patent claim, a third party could potentially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provide evidence in a USPTO proceeding sufficient for the USPTO to hold a claim invalid even though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same evidence might not be sufficient to invalidate the claim if presented in a federal court action.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Accordingly, third parties may use USPTO proceedings to invalidate our patent claims that would not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been invalidated if first challenged in a district court action. Therefore, the Leahy-Smith Act and its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implementation could increase the uncertainties and costs surrounding the prosecution of our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applications and the enforcement or defense of our issued patents, which could have a material adverse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effect on our business, financial condition, results of operations and prospects.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not be able to adequately protect our intellectual property rights throughout the world.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patent portfolio includes patents and patent applications in countries outside of the United States,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including Japan, Korea, China, Canada, Australia, Israel, India and countries in Europe. The requirements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patentability differ from country to country, the breadth of allowed patent claims can be inconsistent,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scope of coverage provided by these patents varies and the laws of some foreign countries may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protect our intellectual property rights to the same extent as laws in the United States. In addition, filing,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prosecuting and defending patents on our products in all countries throughout the world would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prohibitively expensive. For those countries where we do not have granted patents, we may not have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ability to prevent the unauthorized sale of our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we may decide to abandon national and regional patent applications before they are granted.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examination of each national or regional patent application is an independent proceeding. As a result,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89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applications in the same family may issue as patents in some jurisdictions, such as in the United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States, but may issue as patents with claims of different scope or may even be refused in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jurisdictions. It is also quite common that, depending on the country, the scope of patent protection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vary for the same product or technology. For example, certain jurisdictions do not allow for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protection with respect to methods of treatment.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Consequently, we may not be able to prevent third parties from practicing our inventions in all countries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outside the United States. Competitors may use our technologies in jurisdictions where we have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obtained patent protection to develop their own products and, further, may export otherwise infringing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to territories in which we have patent protection that may not be sufficient to terminate infringing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activities. Accordingly, our efforts to enforce our intellectual property and proprietary rights around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world may be inadequate to obtain a significant commercial advantage from the intellectual property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we develop or license.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Many countries have compulsory licensing laws under which a patent owner may be compelled to grant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licenses to third parties, government agencies or government contractors. In these countries, the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owner may have limited remedies, which could materially diminish the value of such patent. If we or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our licensors is forced to grant a license to third parties with respect to any patents relevant to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our competitive position may be impaired, and our business, financial condition, results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operations and prospects may be adversely affected.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do not seek or have patent rights in certain foreign countries in which a market may exist. Accordingly,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efforts to protect our intellectual property rights in such countries may be inadequate, which may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adverse effect on our ability to successfully commercialize our products in all of our expected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foreign markets. Moreover, in foreign jurisdictions where we do have patent rights, proceedings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enforce such rights could result in substantial costs and divert our efforts and attention from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aspects of our business, could put our patents at risk of being invalidated or interpreted narrowly,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put our patent applications at risk of not issuing. Additionally, such proceedings could provoke third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parties to assert claims against us. We may not prevail in any lawsuits that we initiate, and the damages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other remedies awarded, if any, may not be commercially meaningful. Thus, we may not be 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stop a competitor from marketing and selling in foreign countries products that are the same as or similar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to our products, and our competitive position in the international market would be harmed.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be involved in lawsuits to protect or enforce our patents or other intellectual property, or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 patents of our licensors, which could be expensive, time consuming and unsuccessful.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Competitors or other third parties may infringe, misappropriate or otherwise violate our owned or licensed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patents, trade secrets or other intellectual property. To counter infringement or unauthorized use, we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compelled to file infringement or misappropriation claims, which can be expensive and time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consuming. We do not carry intellectual property insurance that would cover such claims. In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circumstances it may not be practicable or cost effective for us to enforce our intellectual property rights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fully, particularly in certain developing countries or where the initiation of a claim might harm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relationships. If we initiate legal proceedings against a third party to enforce a patent covering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the defendant could counterclaim that our patent(s) are invalid and/or unenforceable. In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litigation in the United States, counterclaims alleging invalidity and/or unenforceability are common,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there are numerous grounds upon which a third party can assert invalidity or unenforceability of a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an infringement proceeding, a court may decide that a patent we own or license is not valid,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unenforceable or is not infringed, or may refuse to stop the other party from using the technology at issue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the grounds that our patents do not cover the technology in question. The outcome following legal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assertions of invalidity and unenforceability is unpredictable. With respect to the validity question,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example, we cannot be certain that there is no invalidating prior art. If a defendant were to prevail on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legal assertion of invalidity and/or unenforceability, we may lose some, and perhaps all, of the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protection covering our products. An adverse result in any litigation or defense proceeding could put one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more of our patents at risk of being invalidated or interpreted narrowly, could put our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applications at risk of not issuing and could have a material adverse impact on our business.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defense of litigation may fail and, even if successful, may result in substantial costs and distract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management and other employees. Even if we establish infringement, the court may decide not to grant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injunction against further infringing activity and instead award only monetary damages, which may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not be an adequate remedy. For example, the amount of any monetary damages may be inadequate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compensate us for damage as a result of the infringement and the proceedings. We may not be 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prevent, alone or with our suppliers, misappropriation of intellectual property rights important to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particularly in countries where the laws may not protect those rights as fully as in the United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States.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Furthermore, because of the substantial amount of discovery required in connection with intellectual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property litigation, there is a risk that some of our confidential information could be compromised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disclosure during this type of litigation. There could also be public announcements of the results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hearings, motions or other interim proceedings or developments. If securities analysts or investors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perceive these results to be negative, it could have an adverse effect on the price of our common stock.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Third-party defendants may challenge any patent we own or in-license through adversarial proceedings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issuing offices, which could result in the invalidation or unenforceability of some or all of the relevant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claims. If a third party asserts a substantial new question of patentability against any claim of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 patent we own or license, the USPTO may grant a request for reexamination, which may result in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loss of scope of some claims or a loss of the entire patent. The adoption of the Leahy-Smith Act has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established additional opportunities for third parties to invalidate U.S. patent claims, including inter partes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review and post grant review, on the basis of lower legal standards than reexamination and additional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grounds. Outside of the United States, patents we own or license may become subject to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opposition or similar proceedings, which may result in loss of scope of some claims or loss of the entire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Participation in adversarial proceedings is very complex, expensive and may divert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management’s attention from our core business and may result in unfavorable outcomes that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adversely affect our ability to prevent third parties from competing with us.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be subject to claims challenging the inventorship or ownership of our patents and other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intellectual property rights or alleging that we have violated the intellectual property rights or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other proprietary rights of third parties.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commercial success depends, in part, upon our ability to develop, manufacture, market and sell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products and use our proprietary technologies without infringing the proprietary rights and intellectual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property of third parties. The medical device industry is characterized by extensive and complex litigation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regarding patents and other intellectual property rights. We may be exposed to, or threatened with,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litigation by third parties having patent or other intellectual property rights alleging that our products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proprietary technologies infringe on their intellectual property rights. There is a risk that third parties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choose to engage in litigation with us to enforce or to otherwise assert their patent rights against us. Even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if we believe such claims are without merit, a court of competent jurisdiction could hold that these third-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party patents are valid, enforceable and infringed, which could have a negative impact on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commercialize our products. This includes litigation, or threatened litigation, with non-practicing entities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that have no relevant product revenue and against whom our own patent portfolio may have no deterrent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 The legal threshold for initiating litigation or contested proceedings is low, so that even lawsuits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proceedings with a low probability of success might be initiated and require significant resources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defend.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may also be subject to claims that former employees, collaborators or other third parties have 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ownership interest in our patent rights or other intellectual property, for example, based on conflicting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obligations of consultants or others who are involved in developing our products. Although it is our policy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require our employees and contractors who may be involved in the conception or development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intellectual property to execute agreements assigning such intellectual property to us, we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unsuccessful in executing such an agreement with each party who, in fact, conceives or develops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intellectual property that we regard as our own, and we cannot be certain that our agreements with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parties will be upheld in the face of a potential challenge, or that they will not be breached, for which we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may not have an adequate remedy. The assignment of intellectual property rights may not be self-</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executing or the assignment agreements may be breached, and litigation may be necessary to defend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against these and other claims challenging inventorship or ownership. If we fail in defending any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claims, in addition to paying monetary damages, we may lose valuable intellectual property rights,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exclusive ownership of, or right to use, valuable intellectual property. Such an outcome could have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material adverse effect on our business. Even if we are successful in defending against such claims,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litigation could result in substantial costs and be a distraction to management and other employees.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employ individuals who were previously employed at other medical technology companies.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 we use publications that are subject to copyright, as well as proprietary information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materials from third parties in our research. Some of the information and materials we use from third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parties may be subject to agreements that include restrictions on use or disclosure. Although we strive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ensure proper safeguards, we cannot guarantee strict compliance with such agreements, nor can we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sure that our employees, consultants and advisors do not use proprietary information, materials or know-</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how of others in their work for us. In addition, we may be subject to claims that we or our employees,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consultants or independent contractors have inadvertently or otherwise used or disclosed alleged trade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secrets or other proprietary information of former employers or other third parties. Although we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procedures in place that seek to prevent our employees and consultants from using the intellectual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property, proprietary information, know-how or trade secrets of others in their work for us, we may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be subject to claims that we caused an employee to breach the terms of his or her non-competition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non-solicitation agreement, or that we or these individuals have, inadvertently or otherwise, used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disclosed the alleged trade secrets or other proprietary information of a former employer or competitor.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may also be subject to claims that former employers or other third parties have an ownership interest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our future patents. In addition, we may be subject to claims that we are infringing other intellectual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property rights, such as trademarks or copyrights, and to the extent that our employees, consultants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contractors use intellectual property or proprietary information owned by others in their work for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disputes may arise as to the rights in related or resulting know-how and inventions. Litigation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necessary to defend against these claims. There is no guarantee of success in defending these claims,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even if we are successful, litigation could result in substantial cost and be a distraction to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management and other employees.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unfavorable outcome for any such claim could require us to cease using the related technology or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attempt to license rights to it from the prevailing party. Our business could be harmed if the prevailing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party does not offer us a license on commercially reasonable terms.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a third party claims that we infringe its intellectual property rights, we may face a number of issues,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infringement and other intellectual property claims which, regardless of merit, may be expensive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time consuming to litigate and may divert our management’s attention from our core business;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substantial damages for infringement, which we may have to pay if a court decides that the product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issue infringes or violates the third party’s rights, and if the court finds that the infringement was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willful, we could be ordered to pay treble damages and the patent owner’s attorneys’ fees;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 court prohibiting us from selling or licensing the product unless the third-party licenses its product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rights to us, which it is not required to do;</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if a license is available from a third party, we may have to pay substantial royalties, upfront fees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grant cross licenses to intellectual property rights for our products; and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redesigning our products or processes so they do not infringe, which may not be possible or may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require substantial monetary expenditures and time.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order to successfully challenge the validity of a U.S. patent in federal court, we would need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overcome a presumption of validity. As this burden is a high one requiring us to present clear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convincing evidence as to the invalidity of any such U.S. patent claim, there is no assurance that a court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competent jurisdiction would invalidate the claims of any such U.S. patent. Foreign courts will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similar burdens to overcome in order to successfully challenge a third-party claim of patent infringement.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Some of our competitors may be able to sustain the costs of complex patent litigation more effectively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than we can because they have substantially greater resources. In addition, any uncertainties resulting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from the initiation and continuation of any litigation could have an adverse effect on our ability to raise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additional funds or on our business, financial condition, results of operations and prospects.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 terms of our patents may not be sufficiently long to effectively protect our products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Patents have a limited lifespan. In the United States, the natural expiration of a patent is generally 20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years after its first effective non-provisional filing date, but can be shorter due to terminal disclaimers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similar term reductions in other jurisdictions. Although various extensions may be available, the term of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 and the protection it affords, is limited. Even if patents covering our technologies or products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obtained, once the patent term has expired, we may be open to competition. In addition, although upon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issuance in the United States, a patent’s term can be increased based on certain delays caused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USPTO, this increase can be reduced or eliminated based on certain delays caused by the patent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applicant during patent prosecution. Given the amount of time required for the development, testing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regulatory review of products, patents protecting such potential products might expire before or shortly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after such products are commercialized. If we do not have sufficient patent life to protect our technologies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products, our business, financial condition, results of operations and prospects will be adversely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affected.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we do not obtain additional protection under the Hatch-Waxman Amendments or similar foreign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legislation, our business may be materially affected.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Depending upon the timing, duration and specifics of FDA marketing approval for our future products, one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more of our U.S. patents may be eligible for limited patent term restoration under the Drug Price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Competition and Patent Term Restoration Act of 1984 (the “Hatch-Waxman Amendments”). The Hatch-</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Waxman Amendments permit a patent term extension of up to five years beyond the normal expiration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patent as compensation for patent term lost during product development and the FDA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review process, which is limited to the approved indication (or any additional indications approved during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period of extension). This extension is limited to one patent that covers the approved product,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approved use of the product, or a method of manufacturing the product. A patent term extension cannot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extend the remaining term of a patent beyond a total of 14 years from the date of product approval,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only those claims covering such approved product, a method for using it or a method for manufacturing 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be extended. However, the applicable authorities, including the FDA and the USPTO in the United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States, and any equivalent regulatory authority in other countries or areas, may not agree with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assessment of whether such extensions are available and may refuse to grant extensions to our patents,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may grant more limited extensions than we request. We may not be granted an extension because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example, failing to apply within applicable deadlines, failing to apply prior to expiration of relevant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patents or otherwise failing to satisfy applicable requirements. Moreover, the applicable time period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scope of patent protection afforded could be less than we request. If we are unable to obtain patent term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extension or restoration of the term of any such extension is less than we request, our competitors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obtain approval for competing products following our patent expiration, and our ability to generate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revenues may be adversely affected.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Open-source software licenses often impose unanticipated or unclear restrictions on us or could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expose us to litigation, and using open-source software has inherent risks, any of which could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impair our ability to successfully commercialize the Heartflow Platform.</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technology platform implements software modules licensed to us by third parties under “open source”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licenses. The terms of many open source licenses have not been interpreted by U.S. courts, and there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risk that these licenses could be construed in ways that could impose unanticipated conditions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restrictions on our ability to commercialize our products. Moreover, we cannot be certain that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processes for controlling our use of open-source software in connection with our products will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effective. From time to time, we may face claims from third parties asserting ownership of, or demanding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release of, the open-source software or derivative works that we developed using such software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include our proprietary source code), or otherwise seeking to enforce the terms of the applicable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open source license. These claims could result in litigation. If we are held to have breached the terms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 open source software license, we could be required to seek licenses from third parties to continue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offering our products on terms that are not economically feasible, to re-engineer our proprietary code,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discontinue the sale of our products if re-engineering could not be accomplished on a timely or cost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effective basis, or to make generally available, in source code form, our proprietary code, any of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could adversely affect our business, financial condition, results of operations and prospects.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use of open-source software may entail greater risks than the use of third-party commercial software,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open source licensors generally do not provide warranties or other contractual protections regarding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infringement or the quality or ownership of the code. Many of these risks cannot be eliminated, and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not properly addressed, negatively affect our business. We cannot be sure that all open source software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is submitted for approval prior to use in connection with our products.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some open-source licenses contain requirements that we make available source code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modifications or derivative works we create based upon the type of open-source software we use. If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combine our proprietary software with open-source software in a certain manner, we could, under certain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open-source licenses, be required to release portions of the source code of our proprietary software to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public. This would allow our competitors to create similar products with less development effort and time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ultimately could result in a loss of sales for us.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Intellectual property rights do not necessarily address all potential threats to our competitive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advantage.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degree of future protection afforded by our intellectual property rights is uncertain because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intellectual property rights have limitations and may not adequately protect our business or permit us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maintain our competitive advantage. The following examples are illustrative: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others may be able to make products that are similar to or otherwise competitive with our potential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products but that are not covered by the claims of our current or future patents;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an in-license necessary for the manufacture, use, sale, offer for sale or importation of one or more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our potential products may be terminated by the licensor;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or future collaborators might not have been the first to make the inventions covered by our issued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or future issued patents or our pending patent applications;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or future collaborators might not have been the first to file patent applications covering certain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our inventions;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others may independently develop similar or alternative technologies or duplicate any of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technologies without infringing our intellectual property rights;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it is possible that our pending patent applications will not lead to issued patents;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issued patents that we own or in-license may be held invalid or unenforceable as a result of legal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challenges by our competitors;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issued patents that we own or in-license may not provide coverage for all aspects of our new potential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products in all countries;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our competitors might conduct research and development activities in countries where we do not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have patent rights and then use the information learned from such activities to develop competitive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products for sale in our major commercial markets;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we may not develop additional proprietary technologies that are patentable; and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patents of others may have an adverse effect on our business.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Should any of these events occur, they could significantly harm our business, results of operations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prospects.</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Risks Related to Financing and Tax Matters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require additional capital to support business growth, and this capital might not be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available on terms favorable to us, or at all, and may dilute ownership of our common stock for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stockholders, including purchasers of common stock.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intend to continue to make investments to support our business growth and may require additional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funds to respond to business challenges and opportunities, including the need to develop new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enhance our existing products, enhance our operating infrastructure, potentially expand internationally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potentially acquire complementary businesses and technologies. In order to achieve these objectives,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may make future commitments of capital resources. Accordingly, we may need to engage in equity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debt financings to secure additional funds. If we raise additional funds through further issuances of equity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convertible debt securities, our stockholders, including any purchasers of common stock, could suffer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dilution, and any new equity securities we issue could have rights, preferences and privileges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superior to those of holders of our common stock. Further, if additional financing is needed, we may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able to obtain additional financing on terms favorable to us or at all. Our inability to obtain adequate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financing or financing on terms satisfactory to us, when we require it, could significantly limit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continue supporting our business growth and responding to business challenges and opportunities.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operating results may fluctuate significantly, which makes our future operating results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difficult to predict and could cause our operating results to fall below expectations or any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guidance we may provide.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quarterly revenue and results of operations may fluctuate from quarter to quarter due to, among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others, the following reasons: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level of physicians’ acceptance and adoption of our products, and changes in the rates at which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physicians order our Heartflow FFR</w:t>
      </w:r>
      <w:r>
        <w:rPr>
          <w:rFonts w:ascii="Arial;sans-serif" w:hAnsi="Arial;sans-serif"/>
          <w:b w:val="false"/>
          <w:i w:val="false"/>
          <w:caps w:val="false"/>
          <w:smallCaps w:val="false"/>
          <w:strike w:val="false"/>
          <w:dstrike w:val="false"/>
          <w:sz w:val="13"/>
          <w:u w:val="none"/>
          <w:effect w:val="none"/>
        </w:rPr>
        <w:t>CT</w:t>
      </w:r>
      <w:r>
        <w:rPr>
          <w:caps w:val="false"/>
          <w:smallCaps w:val="false"/>
          <w:strike w:val="false"/>
          <w:dstrike w:val="false"/>
          <w:u w:val="none"/>
          <w:effect w:val="none"/>
        </w:rPr>
        <w:t xml:space="preserve"> </w:t>
      </w:r>
      <w:r>
        <w:rPr>
          <w:rFonts w:ascii="Arial;sans-serif" w:hAnsi="Arial;sans-serif"/>
          <w:b w:val="false"/>
          <w:i w:val="false"/>
          <w:caps w:val="false"/>
          <w:smallCaps w:val="false"/>
          <w:strike w:val="false"/>
          <w:dstrike w:val="false"/>
          <w:sz w:val="20"/>
          <w:u w:val="none"/>
          <w:effect w:val="none"/>
        </w:rPr>
        <w:t xml:space="preserve">Analysis or the percentage of CCTA scans for which our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rPr>
        <w:t>Heartflow FFR</w:t>
      </w:r>
      <w:r>
        <w:rPr>
          <w:rFonts w:ascii="Arial;sans-serif" w:hAnsi="Arial;sans-serif"/>
          <w:b w:val="false"/>
          <w:i w:val="false"/>
          <w:caps w:val="false"/>
          <w:smallCaps w:val="false"/>
          <w:strike w:val="false"/>
          <w:dstrike w:val="false"/>
          <w:sz w:val="13"/>
          <w:u w:val="none"/>
          <w:effect w:val="none"/>
        </w:rPr>
        <w:t xml:space="preserve">CT </w:t>
      </w:r>
      <w:r>
        <w:rPr>
          <w:rFonts w:ascii="Arial;sans-serif" w:hAnsi="Arial;sans-serif"/>
          <w:b w:val="false"/>
          <w:i w:val="false"/>
          <w:caps w:val="false"/>
          <w:smallCaps w:val="false"/>
          <w:strike w:val="false"/>
          <w:dstrike w:val="false"/>
          <w:sz w:val="20"/>
          <w:u w:val="none"/>
          <w:effect w:val="none"/>
        </w:rPr>
        <w:t>Analysis is ordered;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determinations, including the timing of determinations, by payors concerning coverage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reimbursement of our products;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changes in coverage amounts or government and payors’ reimbursement policies;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timing, expense and results of research and development activities, clinical trials and any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additional regulatory approvals;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changes in AHA or ACC guidelines, or guidelines in other countries, that lower support for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products or elevate alternative products as the preferred pathway for diagnosis and management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CAD;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fluctuations in our expenses associated with expanding our commercial operations and operating as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a public company;</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patients meeting their annual health insurance deductible later in the calendar year;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introduction of new products and technologies by our competitors;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changes in our pricing policies or in the pricing policies of our competitors;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productivity of our sales and marketing teams, and their ability to identify physicians who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consistently refer appropriate patients for CCTAs in accordance with AHA and ACC guidelines;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quality problems with our products or the Heartflow Platform; and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impact of catastrophic events such as a pandemic, cybersecurity events, global business, political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and economic instability, including domestic and global inflationary trends, interest rate volatility, and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uncertainty with respect to the federal debt ceiling and budget and potential government shutdowns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related thereto.</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Because of these and other factors, it is likely that in some future period our operating results will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meet investor expectations or those of public market analysts. Any unanticipated change in revenue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operating results is likely to cause our stock price to fluctuate. New information may cause investors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analysts to revalue our business, which could cause a decline in our stock price.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are subject to risks associated with currency fluctuations, and changes in foreign currency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exchange rates could impact our results of operations.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vast majority of our revenue and the majority of our expense and capital purchasing activities through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nine months ended September 30, 2025 were transacted in U.S. dollars. Approximately 7% and 8%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revenue for the three months ended September 30, 2025 and 2024, respectively, and approximately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8% and 9% of our revenue for the nine months ended September 30, 2025 and 2024, respectively, was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generated from customers outside the United States. However, because a portion of our operations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consists of business activities outside of the United States, we have foreign currency operating expenses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well as asset and liability balances. During the nine months ended September 30, 2025, we were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exposed to foreign currency risks in connection with our non-U.S. operations, and we anticipate that, over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 an increasing portion of our international agreements may provide for payment denominated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foreign currencies. Changes in the exchange rates between such foreign currencies and the U.S. dollar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therefore materially impact our reported results of operations and distort period-to-period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comparisons. Fluctuations in foreign currency exchange rates also impact the reporting of our receivables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payables in non-U.S. currencies. As a result of such foreign currency fluctuations, it could be more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 to detect underlying trends in our business and results of operations. In addition, to the extent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fluctuations in currency exchange rates cause our results of operations to differ from our expectations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the expectations of our investors, the trading price of our common stock could be adversely affected.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do not currently engage in currency hedging activities to limit the risk of exchange rate fluctuations.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future, we may engage in exchange rate hedging activities in an effort to mitigate the impact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exchange rate fluctuations but we may not be successful in doing so. If our hedging activities are not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effective, changes in currency exchange rates may have a more significant impact on our results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operations.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ability to use our net operating losses and tax credits to offset future taxable income and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taxes may be subject to certain limitations.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of December 31, 2024, we had net operating loss (“NOL”) carryforwards of approximately $542.9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million and $435.5 million for federal and state income tax purposes, respectively, which may be utilized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against future federal and state income taxes. Federal NOL carryforwards we generated in tax years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through December 31, 2017 generally may be carried forward for 20 years and may fully offset taxable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income in the year utilized, and federal NOLs we generated in tax years beginning after December 31,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2017 generally may be carried forward indefinitely but may only be used to offset 80% of our taxable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income annually for tax years beginning after December 31, 2017.</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general, under Section 382 of the Internal Revenue Code of 1986, as amended (the “Code”),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corporation that undergoes an “ownership change” is subject to limitations on its ability to utilize its pre-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 NOL carryforwards and other tax attributes, such as research and development tax credits,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offset future taxable income and taxes. In general, an ownership change occurs if the aggregate stock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ownership of certain stockholders, generally stockholders beneficially owning five percent or more of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common stock, applying certain look through and aggregation rules, increases by more than 50% over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stockholders’ lowest percentage ownership during the testing period, generally three years.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Purchases of our common stock in amounts greater than specified levels, which will be beyond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control, could create a limitation on our ability to utilize our NOL carryforwards for tax purposes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future. We completed a Section 382 study of our historic ownership changes through December 31, 2024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no significant limitations were identified. In addition, future issuances or sales of our stock, including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certain transactions involving our stock that are outside of our control, could result in future “ownership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changes.” “Ownership changes” that have occurred in the past or that may occur in the future could result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the imposition of an annual limit on the amount of pre-ownership change NOL carryforwards and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tax attributes we can use to reduce our taxable income, potentially increasing and accelerating our liability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for income taxes, and also potentially causing those tax attributes to expire unused.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we are limited in our ability to use our NOL and tax credit carryforwards in future years in which we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taxable income, we will pay more taxes than if we were able to fully utilize our NOL and tax credit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carryforwards, and we could be required to pay taxes earlier than we would otherwise be required,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cause such NOLs to expire unused. This could adversely affect our results of operations.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Furthermore, we may not be able to generate sufficient taxable income to utilize our pre-2018 NOLs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before they expire beginning in 2030. If any of these events occur, we may not derive some or all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expected benefits from our NOLs, and our business, financial condition, results of operations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prospects may be adversely affected as a result.</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international operations subject us to potentially adverse tax consequences.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currently report our taxable income in various jurisdictions based upon our business operations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those jurisdictions, including in the United States, United Kingdom, and Japan. We may in the future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subject to reporting requirements in other foreign jurisdictions. The international nature and organization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of our business activities are subject to complex transfer pricing regulations administered by taxing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authorities in various jurisdictions. The relevant taxing authorities may disagree with our determinations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to the income and expenses attributable to specific jurisdictions. If such a disagreement were to occur,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our position were not sustained, we could be required to pay additional taxes, interest and penalties,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could result in one time tax charges, higher effective tax rates, reduced cash flows and lower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overall profitability of our operations. We believe that our consolidated financial statements reflect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adequate reserves to cover such a contingency, but there can be no assurances in that regard.</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effective tax rate may vary significantly from period to period.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Various internal and external factors may have favorable or unfavorable effects on our future effective tax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rate. These factors include, but are not limited to, changes in tax laws, regulations or rates, both within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outside the United States, structural changes in our business, new accounting pronouncements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changes to existing accounting pronouncements, non-deductible goodwill impairments, changing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interpretations of existing tax laws or regulations, changes in the relative proportions of revenue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income before taxes in the various jurisdictions in which we operate that have different statutory tax rates,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future levels of tax benefits of equity-based compensation, changes in overall levels of pretax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earnings or changes in the valuation of our deferred tax assets and liabilities. Additionally, we could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challenged by state and local tax authorities as to the propriety of our sales tax compliance, and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results could be materially impacted by these compliance determinations.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addition, our effective tax rate may vary significantly depending on the market price of our common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stock. The tax effects of the accounting for share-based compensation may significantly impact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effective tax rate from period to period. In periods in which the market price of our common stock is higher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than the grant price of the share-based compensation vesting in that period, we will recognize excess tax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benefits that will decrease our effective tax rate. In future periods in which our stock price is lower than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grant price of the share-based compensation vesting in that period, our effective tax rate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increase. The amount and value of share-based compensation issued relative to our earnings in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particular period will also affect the magnitude of the impact of share-based compensation on our effective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tax rate. These tax effects are dependent on the market price of our common stock, which we do not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control, and a decline in our stock price could significantly increase our effective tax rate and adversely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affect our financial condition.</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Taxing authorities may successfully assert that we should have collected or in the future should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collect sales and use, value added or similar taxes, and we could be subject to tax liabilities with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respect to past or future sales, which could adversely affect our results of operations.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do not collect sales and use, value added and similar taxes in all jurisdictions in which we have sales,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based on our belief that such taxes are not applicable or that we are not required to collect such taxes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respect to the jurisdiction. Sales and use, value added and similar tax laws and rates vary greatly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jurisdiction. Certain jurisdictions in which we do not collect such taxes may assert that such taxes 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applicable, which could result in tax assessments, penalties and interest, and we may be required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collect such taxes in the future. Such tax assessments, penalties and interest or future requirements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adversely affect our results of operations.</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Risks related to our common stock</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There may not be a sustainable trading market for our common stock.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Prior to our IPO, there was no public market for our common stock. It is possible that an active trading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will not develop or, if developed, that any market will not be sustained, which would make 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 for you to sell your shares of common stock at an attractive price or at all. An inactive market may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also impair our ability to raise capital, to attract and motivate our employees through equity incentive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awards and our ability to acquire businesses, brands, assets or technologies by using shares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common stock as consideration.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 market price of our common stock may be volatile, which could cause the value of your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investment to decline and could result in substantial losses for investors.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market price of our common stock may be highly volatile and could be subject to wide fluctuations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due to a variety of factors, some of which may be beyond our control,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changes in analysts’ estimates, investors’ perceptions, recommendations by securities analysts or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failure to achieve analysts’ estimates;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quarterly variations in our or our competitors results of operations;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periodic fluctuations in our revenue, which could be due in part to the way in which we recognize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revenue;</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financial projections we may provide to the public, any changes in these projections or our failure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to meet these projections;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future sales of our common stock or other securities, by us or our stockholders, as well as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expiration of lock-up agreements;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trading volume of our common stock;</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general economic, industry, market conditions and other factors unrelated to our operating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performance or the operating performance of our competitors, including inflation, interest rate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volatility, and uncertainty with respect to the federal debt ceiling and budget and potential government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shutdowns related thereto;</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changes in reimbursement by current or potential payors;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changes in operating performance and stock market valuations of other technology companies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generally, or those in the medical device industry in particular;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actual or anticipated changes in regulatory oversight of our products;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98</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results of our clinical trials;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loss of key personnel, including changes in our board of directors and management;</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legislation or regulation of our market;</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lawsuits threatened or filed against us, including litigation by current or former employees alleging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wrongful termination, whistleblower or other claims;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announcement of new products or product enhancements by us or our competitors;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announced or completed acquisitions of businesses or technologies by us or our competitors;</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developments in our industry; and</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other factors described in this “Risk Factors” section and elsewhere in this Quarterly Report on Form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10-Q.</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recent years, the stock markets generally have experienced extreme price and volume fluctuations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have often been unrelated or disproportionate to the operating performance of listed companies. Broad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and industry factors may significantly affect the market price of our common stock, regardless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our actual operating performance.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are an emerging growth company, and the reduced reporting requirements applicable to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emerging growth companies could make our common stock less attractive to investors.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an “emerging growth company,” as defined in the JOBS Act. We will remain an “emerging growth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company” until the earliest to occur of:</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last day of the fiscal year during which our total annual revenue equals or exceeds $1.235 billion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(subject to adjustment for inflation);</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December 31, 2030;</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date on which we have, during the previous three-year period, issued more than $1 billion in non-</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convertible debt; or</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the date on which we are deemed to be a “large accelerated filer” under the Exchange Act.</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a result of our “emerging growth company” status, we may take advantage of exemptions from various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reporting requirements that would otherwise be applicable to public companies including, but not limited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reduced disclosure obligations regarding executive compensation in our periodic reports and proxy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statements and exemptions from the requirements of holding a nonbinding advisory vote on executive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compensation and stockholder approval of any golden parachute payments not previously approved.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Investors may find our common stock less attractive because we may rely on these exemptions. If some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investors find our common stock less attractive as a result, there may be a less active trading market for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common stock and the market price of our common stock may be adversely affected and more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volatile.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incur increased costs and are subject to additional regulations and requirements as a result of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becoming a public company, which could lower our profits or make it more difficult to run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a public company, we incur significant legal, accounting and other expenses that we have not incurred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a private company, including costs associated with public company reporting requirements. We have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also incurred and will continue to incur costs associated with the Sarbanes-Oxley Act and related rules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implemented by the SEC and the listing requirements of the Nasdaq Global Select Market. The expenses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generally incurred by public companies for reporting and corporate governance purposes have been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increasing. We expect these rules and regulations to increase our legal and financial compliance costs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99</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to make some activities more time-consuming and costly, although we are currently unable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estimate these costs with any degree of certainty. These laws and regulations also could make it more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 or costly for us to obtain certain types of insurance, including director and officer liability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insurance, and we may be forced to accept reduced policy limits and coverage or incur substantially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higher costs to obtain the same or similar coverage. These laws and regulations could also make it more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difficult for us to attract and retain qualified persons to serve on our board of directors, on our board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committees or as our executive officers. Furthermore, if we are unable to satisfy our obligations as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public company, we could be subject to delisting of our common stock, fines, sanctions, other regulatory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action and potentially civil litigation.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we are unable to design, implement and maintain effective internal control over financial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reporting in the future, investors may lose confidence in the accuracy and completeness of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financial reports and the market price of our common stock may decline.</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 a public company, we are required to maintain internal control over financial reporting and to report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material weaknesses in such internal controls. In addition, beginning with our second annual report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Form 10-K, we will be required to furnish a report by management on the effectiveness of our internal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control over financial reporting, pursuant to the rules and regulations of the SEC regarding compliance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Section 404 of the Sarbanes-Oxley Act. The process of designing, implementing and testing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internal control over financial reporting required to comply with this obligation is time consuming, costly </w:t>
      </w:r>
    </w:p>
    <w:p>
      <w:pPr>
        <w:pStyle w:val="TextBody"/>
        <w:bidi w:val="0"/>
        <w:spacing w:lineRule="atLeast" w:line="200" w:before="0" w:after="0"/>
        <w:jc w:val="left"/>
        <w:rPr/>
      </w:pPr>
      <w:r>
        <w:rPr>
          <w:rFonts w:ascii="Arial;sans-serif" w:hAnsi="Arial;sans-serif"/>
          <w:b w:val="false"/>
          <w:i w:val="false"/>
          <w:caps w:val="false"/>
          <w:smallCaps w:val="false"/>
          <w:sz w:val="20"/>
        </w:rPr>
        <w:t>and complicated. We</w:t>
      </w:r>
      <w:r>
        <w:rPr>
          <w:caps w:val="false"/>
          <w:smallCaps w:val="false"/>
          <w:strike w:val="false"/>
          <w:dstrike w:val="false"/>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have in the past and may in the future identify control deficiencies, including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material weaknesses in our internal control over financial reporting. In connection with the preparation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our consolidated financial statements, material weaknesses in our internal control over financial reporting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were identified as of and prior to December 31, 2023, which were remediated in connection with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preparation of our consolidated financial statements as of and for the year ended December 31, 2024.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Any failure to maintain effective internal control over financial reporting could severely inhibit our ability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accurately report our financial condition, results of operations or cash flows. Further, if we identify one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more material weaknesses in our internal control over financial reporting, if we are unable to comply with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requirements of Section 404 of the Sarbanes-Oxley Act in a timely manner or if we and, if required,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auditors, are unable to assert that our internal control over financial reporting is effective, investors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lose confidence in the accuracy and completeness of our financial reports and the market price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common stock could decline, and we could also become subject to investigations by the stock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exchange on which our common stock is listed, the SEC or other regulatory authorities, which could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 additional financial and management resources. Failure to remedy any material weakness in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internal control over financial reporting, or to implement or maintain other effective control systems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required of public companies, could also restrict our future access to the capital markets.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disclosure controls and procedures may not prevent or detect all errors or acts of fraud.</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subject to the periodic reporting requirements of the Exchange Act. Our disclosure controls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procedures are designed to reasonably ensure that information required to be disclosed by us in reports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file or submit under the Exchange Act is accumulated and communicated to management and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recorded, processed, summarized and reported within the time periods specified in the rules and forms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SEC. We believe that our disclosure controls and procedures as well as internal control over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reporting, no matter how well conceived and operated, can provide only reasonable, not absolute,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assurance that the objectives of the control system are and will be met. These inherent limitations include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realities that judgments in decision making can be faulty and that breakdowns can occur because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simple error or mistake. Additionally, controls can be circumvented by the individual acts of some persons,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by collusion of two or more people or by an unauthorized override of the controls. Accordingly, because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inherent limitations in our control system, misstatements due to error or fraud may occur and not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detected.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100</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our estimates or judgments relating to our critical accounting policies are based on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assumptions that change or prove to be incorrect, our operating results could fall below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publicly announced guidance or the expectations of securities analysts and investors, resulting in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 decline in the market price of our common stock.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preparation of financial statements in conformity with accounting principles generally accepted in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United States (“GAAP”) requires management to make estimates and assumptions that affect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reported amounts of assets, liabilities, revenue, expenses and related disclosures. We base our estimates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on historical experience and various other factors that we believe are reasonable under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circumstances, the results of which form the basis for making judgments about the carrying value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assets and liabilities that are not readily apparent from other sources. Actual results may differ from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estimates under different assumptions or conditions and any such differences may be material. If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assumptions change or if actual circumstances differ from our assumptions, our operating results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adversely affected and could fall below our publicly announced guidance or the expectations of analysts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investors, resulting in a decline in the market price of our common stock.</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principal stockholders and management own a significant percentage of our stock and will be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able to exert significant control over matters subject to stockholder approval.</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As of October 31, 2025, our executive officers, directors, owners of more than 5% of our capital stock and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their respective affiliates beneficially owned approximately 40</w:t>
      </w:r>
      <w:r>
        <w:rPr>
          <w:rFonts w:ascii="Arial;sans-serif" w:hAnsi="Arial;sans-serif"/>
          <w:b w:val="false"/>
          <w:i w:val="false"/>
          <w:caps w:val="false"/>
          <w:smallCaps w:val="false"/>
          <w:sz w:val="20"/>
        </w:rPr>
        <w:t xml:space="preserve">.9% </w:t>
      </w:r>
      <w:r>
        <w:rPr>
          <w:rFonts w:ascii="Arial;sans-serif" w:hAnsi="Arial;sans-serif"/>
          <w:b w:val="false"/>
          <w:i w:val="false"/>
          <w:caps w:val="false"/>
          <w:smallCaps w:val="false"/>
          <w:strike w:val="false"/>
          <w:dstrike w:val="false"/>
          <w:sz w:val="20"/>
          <w:u w:val="none"/>
          <w:effect w:val="none"/>
          <w:shd w:fill="FFFFFF" w:val="clear"/>
        </w:rPr>
        <w:t xml:space="preserve">of our outstanding shares. Therefore,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these stockholders will have the ability to influence us through this ownership position. These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stockholders may be able to determine all matters requiring stockholder approval. For example, these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stockholders may be able to control elections of directors, amendments of our organizational documents,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or approval of any merger, sale of assets or other major corporate transaction. This may prevent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discourage unsolicited acquisition proposals or offers for our common stock that you may feel are in your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best interest as one of our stockholders.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A significant portion of our total outstanding shares is restricted from immediate resale but may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be sold into the market in the near future, and any sales of a substantial number of shares of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common stock in the public market could cause our stock price to decline significantly, even if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our business is doing well.</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Sales of a substantial number of shares of our common stock in the public market could occur at any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 These sales, or the perception in the market that the holders of a large number of shares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common stock intend to sell shares, could reduce the market price of our common stock. If our existing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stockholders sell, or indicate an intention to sell, substantial amounts of our common stock in the public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 after the lock-up agreements, market standoff and other legal restrictions on resale in place at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time of the IPO lapse, the trading price of our common stock could decline and such decline may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significant. As of October 31, 2025, we had outstanding a total of 85,158,719 shares of common stock.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these shares, all of the shares of our common stock sold in our IPO, were freely tradable, without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restriction, in the public market immediately following our IPO, other than shares purchased by our </w:t>
      </w:r>
    </w:p>
    <w:p>
      <w:pPr>
        <w:pStyle w:val="TextBody"/>
        <w:bidi w:val="0"/>
        <w:spacing w:lineRule="atLeast" w:line="200" w:before="0" w:after="0"/>
        <w:jc w:val="left"/>
        <w:rPr>
          <w:caps w:val="false"/>
          <w:smallCaps w:val="false"/>
        </w:rPr>
      </w:pPr>
      <w:r>
        <w:rPr>
          <w:caps w:val="false"/>
          <w:smallCaps w:val="false"/>
        </w:rPr>
        <w:t>“</w:t>
      </w:r>
      <w:r>
        <w:rPr>
          <w:rFonts w:ascii="Arial;sans-serif" w:hAnsi="Arial;sans-serif"/>
          <w:b w:val="false"/>
          <w:i w:val="false"/>
          <w:caps w:val="false"/>
          <w:smallCaps w:val="false"/>
          <w:sz w:val="20"/>
        </w:rPr>
        <w:t xml:space="preserve">affiliates” (as such term is defined in Rule 144 under the Securities Act).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We and each of our directors, our executive officers and substantially all of our other securityholders have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entered into lock-up agreements with the underwriters prior to the completion of our IPO or are subject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market standoff arrangements for a period of 180 days commencing on the date of our IPO. After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expiration of the lock-up agreements and market standoff arrangements, as of October 31, 2025, up to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approximatel</w:t>
      </w:r>
      <w:r>
        <w:rPr>
          <w:rFonts w:ascii="Arial;sans-serif" w:hAnsi="Arial;sans-serif"/>
          <w:b w:val="false"/>
          <w:i w:val="false"/>
          <w:caps w:val="false"/>
          <w:smallCaps w:val="false"/>
          <w:sz w:val="20"/>
        </w:rPr>
        <w:t xml:space="preserve">y 66.0 million additional shares of common stock will be eligible for sale in the public market, </w:t>
      </w:r>
    </w:p>
    <w:p>
      <w:pPr>
        <w:pStyle w:val="TextBody"/>
        <w:bidi w:val="0"/>
        <w:spacing w:lineRule="atLeast" w:line="200" w:before="0" w:after="0"/>
        <w:jc w:val="left"/>
        <w:rPr/>
      </w:pPr>
      <w:r>
        <w:rPr>
          <w:rFonts w:ascii="Arial;sans-serif" w:hAnsi="Arial;sans-serif"/>
          <w:b w:val="false"/>
          <w:i w:val="false"/>
          <w:caps w:val="false"/>
          <w:smallCaps w:val="false"/>
          <w:sz w:val="20"/>
        </w:rPr>
        <w:t xml:space="preserve">approximately 47.6% of </w:t>
      </w:r>
      <w:r>
        <w:rPr>
          <w:rFonts w:ascii="Arial;sans-serif" w:hAnsi="Arial;sans-serif"/>
          <w:b w:val="false"/>
          <w:i w:val="false"/>
          <w:caps w:val="false"/>
          <w:smallCaps w:val="false"/>
          <w:strike w:val="false"/>
          <w:dstrike w:val="false"/>
          <w:sz w:val="20"/>
          <w:u w:val="none"/>
          <w:effect w:val="none"/>
          <w:shd w:fill="FFFFFF" w:val="clear"/>
        </w:rPr>
        <w:t xml:space="preserve">which shares are owned by directors, executive officers and other owners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more than 5% of our outstanding common stock, stock options, warrants and securities convertible into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our common stock and will be subject to Rule 144 under the Securities Act</w:t>
      </w:r>
      <w:r>
        <w:rPr>
          <w:rFonts w:ascii="Arial;sans-serif" w:hAnsi="Arial;sans-serif"/>
          <w:b w:val="false"/>
          <w:i w:val="false"/>
          <w:caps w:val="false"/>
          <w:smallCaps w:val="false"/>
          <w:sz w:val="20"/>
        </w:rPr>
        <w:t>.</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Based upon the number of shares outstanding as of October 31, 2025, the holders of approximat</w:t>
      </w:r>
      <w:r>
        <w:rPr>
          <w:rFonts w:ascii="Arial;sans-serif" w:hAnsi="Arial;sans-serif"/>
          <w:b w:val="false"/>
          <w:i w:val="false"/>
          <w:caps w:val="false"/>
          <w:smallCaps w:val="false"/>
          <w:sz w:val="20"/>
        </w:rPr>
        <w:t xml:space="preserve">ely 55.8 </w:t>
      </w:r>
    </w:p>
    <w:p>
      <w:pPr>
        <w:pStyle w:val="TextBody"/>
        <w:bidi w:val="0"/>
        <w:spacing w:lineRule="atLeast" w:line="200" w:before="0" w:after="0"/>
        <w:jc w:val="left"/>
        <w:rPr/>
      </w:pPr>
      <w:r>
        <w:rPr>
          <w:rFonts w:ascii="Arial;sans-serif" w:hAnsi="Arial;sans-serif"/>
          <w:b w:val="false"/>
          <w:i w:val="false"/>
          <w:caps w:val="false"/>
          <w:smallCaps w:val="false"/>
          <w:strike w:val="false"/>
          <w:dstrike w:val="false"/>
          <w:sz w:val="20"/>
          <w:u w:val="none"/>
          <w:effect w:val="none"/>
          <w:shd w:fill="FFFFFF" w:val="clear"/>
        </w:rPr>
        <w:t>million shares of our common stock, or approxima</w:t>
      </w:r>
      <w:r>
        <w:rPr>
          <w:rFonts w:ascii="Arial;sans-serif" w:hAnsi="Arial;sans-serif"/>
          <w:b w:val="false"/>
          <w:i w:val="false"/>
          <w:caps w:val="false"/>
          <w:smallCaps w:val="false"/>
          <w:sz w:val="20"/>
        </w:rPr>
        <w:t>tely 66% of o</w:t>
      </w:r>
      <w:r>
        <w:rPr>
          <w:rFonts w:ascii="Arial;sans-serif" w:hAnsi="Arial;sans-serif"/>
          <w:b w:val="false"/>
          <w:i w:val="false"/>
          <w:caps w:val="false"/>
          <w:smallCaps w:val="false"/>
          <w:strike w:val="false"/>
          <w:dstrike w:val="false"/>
          <w:sz w:val="20"/>
          <w:u w:val="none"/>
          <w:effect w:val="none"/>
          <w:shd w:fill="FFFFFF" w:val="clear"/>
        </w:rPr>
        <w:t xml:space="preserve">ur total outstanding common stock, will be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entitled to rights with respect to the registration of their shares under the Securities Act, subject to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101</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lock-up agreements and market standoff restrictions described above. Registration of these shares under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the Securities Act would result in the shares becoming freely tradable without restriction under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Securities Act, except for shares purchased by affiliates. Any sales of securities by these stockholders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any perception that these shares may be sold could reduce the market price of our common stock, which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price decline may be significant. In addition, a security holder who is not subject to market standoff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restrictions with us nor a lock-up agreement with the underwriters may be able to sell, short sell, transfer,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pledge or otherwise dispose of their equity interests at any time.</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Our amended and restated certificate of incorporation provides that the Court of Chancery of the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State of Delaware (or, if such court does not have jurisdiction, Delaware federal district court) is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the exclusive forum for certain disputes between us and our stockholders, which could limit our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stockholders’ ability to obtain a favorable judicial forum for disputes with us or our directors,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officers or employees.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amended and restated certificate of incorporation provides that, unless we consent in writing to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selection of an alternative forum, the Court of Chancery of the State of Delaware (or, in the event that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Court of Chancery does not have jurisdiction, the federal district court for the District of Delaware) are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exclusive forum for any derivative action or proceeding brought on our behalf, any action asserting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claim of breach of fiduciary duty owed by any of our current or former directors, officers, employees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stockholders to us or to our stockholders, any action asserting a claim against us arising pursuant to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Delaware General Corporation Law, our amended and restated certificate of incorporation, or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amended and restated bylaws (as either may be amended from time to time) or as to which the Delaware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General Corporation Law confers jurisdiction on the Delaware Court of Chancery, or any action asserting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 claim against us that is governed by the internal affairs doctrine of the State of Delaware. Our amended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restated certificate of incorporation also provides that the federal district courts of the United States 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exclusive forum for the resolution of any complaint asserting a cause of action arising under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Securities Act. Further, our amended and restated certificate of incorporation provides that the foregoing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choice of forum provisions do not apply to suits brought to enforce any liability or duty created by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Exchange Act, or any other claim for which the federal courts of the United States have exclusive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jurisdiction.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amended and restated certificate of incorporation also provides that any person or entity purchasing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or otherwise acquiring or holding any interest in any of our securities shall be deemed to have notice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consented to the foregoing provisions of the amended and restated certificate of incorporation.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Although our amended and restated certificate of incorporation contains the choice of forum provision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described above, it is possible that a court could find that such a provision is inapplicable for a particular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claim or action or that such provision is unenforceable.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believe these provisions may benefit us by providing increased consistency in the application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Delaware law and federal securities laws by chancellors and judges, as applicable, particularly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experienced in resolving corporate disputes, efficient administration of cases on a more expedited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schedule relative to other forums, and protection against the burdens of multi-forum litigation. However,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this choice of forum provision may limit a stockholder’s ability to bring a claim in a judicial forum that it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finds favorable for disputes with us or any of our directors, officers, other employees or stockholders,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which may discourage lawsuits with respect to such claims, although our stockholders will not be deemed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have waived our compliance with federal securities laws and the rules and regulations thereunder.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Furthermore, the enforceability of similar choice of forum provisions in other companies’ certificates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incorporation has been challenged in legal proceedings, and it is possible that a court could find these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types of provisions to be inapplicable or unenforceable. While Delaware courts have determined that such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choice of forum provisions are facially valid, a stockholder may nevertheless seek to bring a claim in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venue other than those designated in the exclusive forum provisions, and there can be no assurance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provisions will be enforced by a court in those other jurisdictions. If a court were to find the choice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forum provision that will be contained in our amended and restated certificate of incorporation to be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inapplicable or unenforceable in an action, we may incur additional costs associated with resolving such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102</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action in other jurisdictions, which could adversely affect our business, financial condition, results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operations and prospects. </w:t>
      </w: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General Risk Factors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have broad discretion in the use of net proceeds to us from our IPO and may not use them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effectively.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connection with the completion of our IPO, we were obligated to use certain of the net proceeds from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IPO to repay $55.0 million of the indebtedness outstanding under the 2024 Credit Agreement and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pay approximately $5.8 million of fees in connection therewith. In addition, in August 2025, we prepaid 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full all remaining outstanding indebtedness, comprising an aggregate principal amount of $60.1 million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plus accrued interest of $1.0 million, under the 2024 Credit Agreement. We expect to use the remainder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fund our sales and marketing efforts, fund research and product development activities and for other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general corporate purposes, including working capital, operating expenses, and capital expenditures.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may also use a portion of the net proceeds from our IPO to acquire complementary businesses, products,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services, or technologies.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periodically evaluate strategic opportunities; however, we have no current understandings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commitments to enter into any such acquisitions or make any such investments. The expected use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IPO net proceeds represents our intentions based upon our present plans and business conditions.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cannot predict with certainty all of the particular uses for the proceeds from our IPO or the amounts that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will actually spend on the uses set forth above. The timing and amount of our actual expenditures will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be based on many factors, including cash flows from operations and the anticipated growth of our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If we do not use the net proceeds that we received from our IPO effectively, our business,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condition, results of operations and prospects could be harmed, and the market price of our common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stock could decline. Pending their use, we are investing our IPO net proceeds in a variety of capital-</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preservation investments, including government securities and money market funds. These investments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may not yield a favorable return to our investors.</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do not intend to pay dividends in the foreseeable future. As a result, your ability to achieve a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return on your investment will depend on appreciation in the market price of our common stock.</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have never declared or paid cash dividends on our capital stock. We currently intend to retain all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available funds and any future earnings, if any, to fund the development and expansion of our business,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we do not anticipate paying any cash dividends in the foreseeable future. Any future determinations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regarding the declaration and payment of dividends, if any, will be at the discretion of our board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directors, subject to applicable law, and will depend upon then-existing conditions, including our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condition, results of operations, contractual restrictions, general business conditions, capital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requirements, and other factors our board of directors may deem relevant. Our ability to pay cash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dividends on our capital stock in the future may also be limited by the terms of any preferred securities we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may issue or agreements governing any additional indebtedness we may incur.</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If our operating and financial performance in any given period does not meet any guidance that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provide to the public, the market price of our common stock may decline.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may, but are not obligated to, provide public guidance on our expected operating and financial results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future periods. Any such guidance will be comprised of forward-looking statements subject to the risks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and uncertainties described in this Quarterly Report on Form 10-Q, including in the section titled “Risk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Factors” and in our future public filings and public statements. Our actual results may not always be in line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with or exceed any guidance we have provided, especially in times of economic uncertainty. If actual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circumstances differ from those in our assumptions, our operating and financial results could fall below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publicly announced guidance or the expectations of investors. If, in the future, our operating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financial results for a particular period do not meet any guidance we provide or the expectations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investment analysts or investors generally, or if we reduce our guidance for future periods, the market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103</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price of our common stock may decline. Even if we do issue public guidance, there can be no assurance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that we will continue to do so in the future. </w:t>
      </w:r>
    </w:p>
    <w:p>
      <w:pPr>
        <w:pStyle w:val="TextBody"/>
        <w:bidi w:val="0"/>
        <w:spacing w:lineRule="atLeast" w:line="200" w:before="0" w:after="0"/>
        <w:jc w:val="left"/>
        <w:rPr/>
      </w:pPr>
      <w:r>
        <w:rPr>
          <w:rFonts w:ascii="Arial;sans-serif" w:hAnsi="Arial;sans-serif"/>
          <w:b/>
          <w:i/>
          <w:strike w:val="false"/>
          <w:dstrike w:val="false"/>
          <w:sz w:val="20"/>
          <w:u w:val="none"/>
          <w:effect w:val="none"/>
        </w:rPr>
        <w:t xml:space="preserve">If securities or industry analysts issue an adverse or misleading opinion regarding our stock, </w:t>
      </w:r>
      <w:r>
        <w:rPr>
          <w:rFonts w:ascii="Arial;sans-serif" w:hAnsi="Arial;sans-serif"/>
          <w:b/>
          <w:i/>
          <w:sz w:val="20"/>
        </w:rPr>
        <w:t xml:space="preserve">or if </w:t>
      </w:r>
    </w:p>
    <w:p>
      <w:pPr>
        <w:pStyle w:val="TextBody"/>
        <w:bidi w:val="0"/>
        <w:spacing w:lineRule="atLeast" w:line="200" w:before="0" w:after="0"/>
        <w:jc w:val="left"/>
        <w:rPr/>
      </w:pPr>
      <w:r>
        <w:rPr>
          <w:rFonts w:ascii="Arial;sans-serif" w:hAnsi="Arial;sans-serif"/>
          <w:b/>
          <w:i/>
          <w:sz w:val="20"/>
        </w:rPr>
        <w:t xml:space="preserve">they cease coverage of us or fail to publish reports on us regularly, </w:t>
      </w:r>
      <w:r>
        <w:rPr>
          <w:rFonts w:ascii="Arial;sans-serif" w:hAnsi="Arial;sans-serif"/>
          <w:b/>
          <w:i/>
          <w:strike w:val="false"/>
          <w:dstrike w:val="false"/>
          <w:sz w:val="20"/>
          <w:u w:val="none"/>
          <w:effect w:val="none"/>
        </w:rPr>
        <w:t xml:space="preserve">our stock price and trading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volume could decline.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trading market for our common stock relies in part on the research and reports that industry or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securities analysts publish about us or our business. We do not control these analysts. If any of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analysts who cover us downgrade their evaluations of our stock or issue an adverse opinion regarding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our business model, our intellectual property or our stock performance, or if our results of operations fail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to meet the expectations of analysts, our stock price would likely decline. If one or more of these analysts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cease coverage of us or fail to publish reports on us regularly, we could lose visibility in the financial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markets, which in turn could cause our stock price or trading volume to decline.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We may be subject to securities litigation, which is expensive and could divert management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attention.</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In the past, following periods of volatility in the overall market and the market price of a company’s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securities, securities class action litigation has often been instituted against these companies. Because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potential volatility of our stock price, we may become the target of securities litigation in the future.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These events may also result in or be concurrent with investigations by the SEC. We may be exposed to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such litigation or investigation even if no wrongdoing occurred. Such litigation, if instituted against us,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result in substantial costs and a diversion of our management’s attention and resources, which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could seriously harm our business.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Provisions in our charter documents and under Delaware law could discourage a takeover that </w:t>
      </w:r>
    </w:p>
    <w:p>
      <w:pPr>
        <w:pStyle w:val="TextBody"/>
        <w:bidi w:val="0"/>
        <w:spacing w:lineRule="atLeast" w:line="200" w:before="0" w:after="0"/>
        <w:jc w:val="left"/>
        <w:rPr>
          <w:rFonts w:ascii="Arial;sans-serif" w:hAnsi="Arial;sans-serif"/>
          <w:b/>
          <w:i/>
          <w:strike w:val="false"/>
          <w:dstrike w:val="false"/>
          <w:sz w:val="20"/>
          <w:u w:val="none"/>
          <w:effect w:val="none"/>
        </w:rPr>
      </w:pPr>
      <w:r>
        <w:rPr>
          <w:rFonts w:ascii="Arial;sans-serif" w:hAnsi="Arial;sans-serif"/>
          <w:b/>
          <w:i/>
          <w:strike w:val="false"/>
          <w:dstrike w:val="false"/>
          <w:sz w:val="20"/>
          <w:u w:val="none"/>
          <w:effect w:val="none"/>
        </w:rPr>
        <w:t xml:space="preserve">stockholders may consider favorable and may lead to entrenchment of management. </w:t>
      </w:r>
    </w:p>
    <w:p>
      <w:pPr>
        <w:pStyle w:val="TextBody"/>
        <w:bidi w:val="0"/>
        <w:spacing w:lineRule="atLeast" w:line="200" w:before="0" w:after="0"/>
        <w:jc w:val="left"/>
        <w:rPr/>
      </w:pPr>
      <w:r>
        <w:rPr>
          <w:rFonts w:ascii="Arial;sans-serif" w:hAnsi="Arial;sans-serif"/>
          <w:b w:val="false"/>
          <w:i w:val="false"/>
          <w:caps w:val="false"/>
          <w:smallCaps w:val="false"/>
          <w:sz w:val="20"/>
        </w:rPr>
        <w:t>O</w:t>
      </w:r>
      <w:r>
        <w:rPr>
          <w:rFonts w:ascii="Arial;sans-serif" w:hAnsi="Arial;sans-serif"/>
          <w:b w:val="false"/>
          <w:i w:val="false"/>
          <w:caps w:val="false"/>
          <w:smallCaps w:val="false"/>
          <w:strike w:val="false"/>
          <w:dstrike w:val="false"/>
          <w:sz w:val="20"/>
          <w:u w:val="none"/>
          <w:effect w:val="none"/>
        </w:rPr>
        <w:t>ur amended and restated certificate of incorporation and our amended and restated bylaws</w:t>
      </w:r>
      <w:r>
        <w:rPr>
          <w:caps w:val="false"/>
          <w:smallCaps w:val="false"/>
        </w:rPr>
        <w:t xml:space="preserve"> </w:t>
      </w:r>
      <w:r>
        <w:rPr>
          <w:rFonts w:ascii="Arial;sans-serif" w:hAnsi="Arial;sans-serif"/>
          <w:b w:val="false"/>
          <w:i w:val="false"/>
          <w:caps w:val="false"/>
          <w:smallCaps w:val="false"/>
          <w:sz w:val="20"/>
        </w:rPr>
        <w:t xml:space="preserve">contain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provisions that could delay or prevent changes in control or changes in our management without the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consent of our board of directors. These provisions include the following: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 classified board of directors with three-year staggered terms, which may delay the ability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stockholders to change the membership of a majority of our board of directors;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our directors may be removed by our stockholders only for cause;</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no cumulative voting in the election of directors, which limits the ability of minority stockholders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elect director candidates;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exclusive right of our board of directors to change the size of the board of directors and to elect a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director to fill a new directorship created by the expansion of the board of directors or a vacancy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created by the resignation, death or removal of a director, which prevents stockholders from being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able to change the board’s size or fill new directorships and vacancies on our board of directors;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ability of our board of directors to authorize the issuance of shares of preferred stock and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determine the price and other terms of those shares, including preferences and voting rights, without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stockholder approval, which could be used to significantly dilute the ownership of a hostile acquiror or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adopt a stockholder rights plan;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ability of our board of directors to alter our amended and restated bylaws without obtaining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stockholder approval;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required approval of at least sixty-six and two-thirds percent (66-2/3%) of the voting power of all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then-outstanding shares of capital stock entitled to vote generally in the election of directors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remove directors or to adopt, amend, alter or repeal our amended and restated bylaws and certain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provisions of our amended and restated certificate of incorporation;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104</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 prohibition on stockholder action by written consent, which forces stockholder action to be taken at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an annual or special meeting of our stockholders;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the requirement that a special meeting of stockholders may be called only by our secretary at the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request of our board of directors, the chairman of our board of directors, or our chief executive officer,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which may delay the ability of our stockholders to force consideration of a proposal or to take action,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including the removal of directors; and </w:t>
      </w:r>
    </w:p>
    <w:p>
      <w:pPr>
        <w:pStyle w:val="TextBody"/>
        <w:bidi w:val="0"/>
        <w:spacing w:lineRule="atLeast" w:line="200" w:before="0" w:after="0"/>
        <w:jc w:val="left"/>
        <w:rPr/>
      </w:pPr>
      <w:r>
        <w:rPr>
          <w:caps w:val="false"/>
          <w:smallCaps w:val="false"/>
          <w:strike w:val="false"/>
          <w:dstrike w:val="false"/>
          <w:u w:val="none"/>
          <w:effect w:val="none"/>
        </w:rPr>
        <w:t>•</w:t>
      </w:r>
      <w:r>
        <w:rPr>
          <w:rFonts w:ascii="Arial;sans-serif" w:hAnsi="Arial;sans-serif"/>
          <w:b w:val="false"/>
          <w:i w:val="false"/>
          <w:caps w:val="false"/>
          <w:smallCaps w:val="false"/>
          <w:strike w:val="false"/>
          <w:dstrike w:val="false"/>
          <w:sz w:val="20"/>
          <w:u w:val="none"/>
          <w:effect w:val="none"/>
        </w:rPr>
        <w:t xml:space="preserve">advance notice procedures that stockholders must comply with in order to nominate candidates to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board of directors or to propose matters to be acted upon at a stockholders’ meeting, which may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 xml:space="preserve">discourage or deter a potential acquiror from conducting a solicitation of proxies to elect the acquiror’s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own slate of directors or otherwise attempting to obtain control of us.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We are also subject to the anti-takeover provisions contained in Section 203 of the Delaware General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Corporation Law (“Section 203”). Under Section 203, a corporation may not, in general, engage in a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business combination (as defined in Section 203) with any interested stockholder (generally defined by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Section 203 to include holders of 15% or more of our capital stock) unless the interested stockholder has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held the stock for three years or, among other exceptions and exclusions, the board of directors has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approved the business combination transaction or the transaction that resulted in the stockholder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becoming an interested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2. Unregistered Sales of Equity Securities and Use of Proceeds</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Unregistered Sale of Equity Securities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None.</w:t>
      </w:r>
    </w:p>
    <w:p>
      <w:pPr>
        <w:pStyle w:val="TextBody"/>
        <w:bidi w:val="0"/>
        <w:spacing w:lineRule="atLeast" w:line="200" w:before="0" w:after="0"/>
        <w:jc w:val="left"/>
        <w:rPr>
          <w:rFonts w:ascii="Arial;sans-serif" w:hAnsi="Arial;sans-serif"/>
          <w:b/>
          <w:i w:val="false"/>
          <w:caps w:val="false"/>
          <w:smallCaps w:val="false"/>
          <w:sz w:val="20"/>
        </w:rPr>
      </w:pPr>
      <w:r>
        <w:rPr>
          <w:rFonts w:ascii="Arial;sans-serif" w:hAnsi="Arial;sans-serif"/>
          <w:b/>
          <w:i w:val="false"/>
          <w:caps w:val="false"/>
          <w:smallCaps w:val="false"/>
          <w:sz w:val="20"/>
        </w:rPr>
        <w:t>Use of Proceeds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a discussion of the use of proceeds from our IPO, see the information in Part II, Item 2, “Use of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Proceeds” in our Quarterly Report on Form 10-Q for the quarter ended June 30, 2025. There have been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no material changes to the use of proceeds from our IPO disclosed in our Quarterly Report on Form 10-Q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for the quarter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3. Defaults Upon Senior Securities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4. Mine Safety Disclosures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5. Other Information</w:t>
      </w:r>
    </w:p>
    <w:p>
      <w:pPr>
        <w:pStyle w:val="TextBody"/>
        <w:bidi w:val="0"/>
        <w:spacing w:lineRule="atLeast" w:line="200" w:before="0" w:after="0"/>
        <w:jc w:val="left"/>
        <w:rPr>
          <w:rFonts w:ascii="Arial;sans-serif" w:hAnsi="Arial;sans-serif"/>
          <w:b w:val="false"/>
          <w:i/>
          <w:sz w:val="20"/>
        </w:rPr>
      </w:pPr>
      <w:r>
        <w:rPr>
          <w:rFonts w:ascii="Arial;sans-serif" w:hAnsi="Arial;sans-serif"/>
          <w:b w:val="false"/>
          <w:i/>
          <w:sz w:val="20"/>
        </w:rPr>
        <w:t>Insider Trading Arrangements</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During the quarter ended September 30, 2025, three of our directors or officers (as defined in Rule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16a-1(f) under the Securities Exchange Act of 1934, as amended) adopted, modified or terminated</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 </w:t>
      </w:r>
    </w:p>
    <w:p>
      <w:pPr>
        <w:pStyle w:val="TextBody"/>
        <w:bidi w:val="0"/>
        <w:spacing w:lineRule="atLeast" w:line="200" w:before="0" w:after="0"/>
        <w:jc w:val="left"/>
        <w:rPr>
          <w:caps w:val="false"/>
          <w:smallCaps w:val="false"/>
          <w:strike w:val="false"/>
          <w:dstrike w:val="false"/>
          <w:u w:val="none"/>
          <w:effect w:val="none"/>
          <w:shd w:fill="FFFFFF"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0"/>
          <w:u w:val="none"/>
          <w:effect w:val="none"/>
          <w:shd w:fill="FFFFFF" w:val="clear"/>
        </w:rPr>
        <w:t xml:space="preserve">Rule 10b5-1 (c) trading arrangement” or a “non-Rule 10b5-1 trading arrangement”, as each term is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defined in Item 408(a) of Regulation S-K as follows:</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On September 12, 2025, John C.M. Farquhar, our President and Chief Executive Officer, adopted</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 Rule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10b5-1 trading arrangement providing for the sale from time to time of an aggregate of up to 427,900</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shares of our common stock. The duration of the trading arrangement is until January 11, 2027, or earlier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if all transactions under the trading arrangement are completed. The trading arrangement is intended to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satisfy the affirmative defense in Rule 10b5-1(c).</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On September 12, 2025, Campbell D.K. Rogers, M.D., our Chief Medical Officer, adopted</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 Rule 10b5-1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trading arrangement providing for the sale from time to time of an aggregate of up to 254,144</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shares of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105</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our common stock. The duration of the trading arrangement is until April 2, 2026, or earlier if all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transactions under the trading arrangement are completed. The trading arrangement is intended to satisfy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the affirmative defense in Rule 10b5-1(c).</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On September 12, 2025, Julie A. Cullivan, one of our directors, adopted</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a Rule 10b5-1 trading </w:t>
      </w:r>
    </w:p>
    <w:p>
      <w:pPr>
        <w:pStyle w:val="TextBody"/>
        <w:bidi w:val="0"/>
        <w:spacing w:lineRule="atLeast" w:line="200" w:before="0" w:after="0"/>
        <w:jc w:val="left"/>
        <w:rPr>
          <w:sz w:val="24"/>
        </w:rPr>
      </w:pPr>
      <w:r>
        <w:rPr>
          <w:rFonts w:ascii="Arial;sans-serif" w:hAnsi="Arial;sans-serif"/>
          <w:b w:val="false"/>
          <w:i w:val="false"/>
          <w:caps w:val="false"/>
          <w:smallCaps w:val="false"/>
          <w:strike w:val="false"/>
          <w:dstrike w:val="false"/>
          <w:sz w:val="20"/>
          <w:u w:val="none"/>
          <w:effect w:val="none"/>
          <w:shd w:fill="FFFFFF" w:val="clear"/>
        </w:rPr>
        <w:t>arrangement providing for the sale from time to time of an aggregate of up to 17,122</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0"/>
          <w:u w:val="none"/>
          <w:effect w:val="none"/>
          <w:shd w:fill="FFFFFF" w:val="clear"/>
        </w:rPr>
        <w:t xml:space="preserve">shares of our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common stock. The duration of the trading arrangement is until March 27, 2026, or earlier if all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 xml:space="preserve">transactions under the trading arrangement are completed. The trading arrangement is intended to satisfy </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shd w:fill="FFFFFF" w:val="clear"/>
        </w:rPr>
      </w:pPr>
      <w:r>
        <w:rPr>
          <w:rFonts w:ascii="Arial;sans-serif" w:hAnsi="Arial;sans-serif"/>
          <w:b w:val="false"/>
          <w:i w:val="false"/>
          <w:caps w:val="false"/>
          <w:smallCaps w:val="false"/>
          <w:strike w:val="false"/>
          <w:dstrike w:val="false"/>
          <w:sz w:val="20"/>
          <w:u w:val="none"/>
          <w:effect w:val="none"/>
          <w:shd w:fill="FFFFFF" w:val="clear"/>
        </w:rPr>
        <w:t>the affirmative defense in Rule 10b5-1(c).</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106</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Arial;sans-serif" w:hAnsi="Arial;sans-serif"/>
          <w:b/>
          <w:i w:val="false"/>
          <w:caps w:val="false"/>
          <w:smallCaps w:val="false"/>
          <w:strike w:val="false"/>
          <w:dstrike w:val="false"/>
          <w:sz w:val="24"/>
          <w:u w:val="none"/>
          <w:effect w:val="none"/>
        </w:rPr>
      </w:pPr>
      <w:r>
        <w:rPr>
          <w:rFonts w:ascii="Arial;sans-serif" w:hAnsi="Arial;sans-serif"/>
          <w:b/>
          <w:i w:val="false"/>
          <w:caps w:val="false"/>
          <w:smallCaps w:val="false"/>
          <w:strike w:val="false"/>
          <w:dstrike w:val="false"/>
          <w:sz w:val="24"/>
          <w:u w:val="none"/>
          <w:effect w:val="none"/>
        </w:rPr>
        <w:t>Item 6. Exhibit Index</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The exhibits listed in the accompanying index to exhibits are filed as part of, or incorporated by reference, into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Quarterly Report on Form 10-Q.</w:t>
      </w:r>
    </w:p>
    <w:tbl>
      <w:tblPr>
        <w:tblW w:w="10075" w:type="dxa"/>
        <w:jc w:val="left"/>
        <w:tblInd w:w="0" w:type="dxa"/>
        <w:tblLayout w:type="fixed"/>
        <w:tblCellMar>
          <w:top w:w="28" w:type="dxa"/>
          <w:left w:w="28" w:type="dxa"/>
          <w:bottom w:w="28" w:type="dxa"/>
          <w:right w:w="28" w:type="dxa"/>
        </w:tblCellMar>
      </w:tblPr>
      <w:tblGrid>
        <w:gridCol w:w="871"/>
        <w:gridCol w:w="109"/>
        <w:gridCol w:w="5971"/>
        <w:gridCol w:w="526"/>
        <w:gridCol w:w="931"/>
        <w:gridCol w:w="661"/>
        <w:gridCol w:w="1006"/>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c>
          <w:tcPr>
            <w:tcW w:w="3124" w:type="dxa"/>
            <w:gridSpan w:val="4"/>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Incorporated by Reference</w:t>
            </w:r>
          </w:p>
        </w:tc>
      </w:tr>
      <w:tr>
        <w:trPr/>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Exhibit </w:t>
            </w:r>
          </w:p>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Exhibit description</w:t>
            </w:r>
          </w:p>
        </w:tc>
        <w:tc>
          <w:tcPr>
            <w:tcW w:w="5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Form</w:t>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File No.</w:t>
            </w:r>
          </w:p>
        </w:tc>
        <w:tc>
          <w:tcPr>
            <w:tcW w:w="6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Exhibit</w:t>
            </w:r>
          </w:p>
        </w:tc>
        <w:tc>
          <w:tcPr>
            <w:tcW w:w="10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Arial;sans-serif" w:hAnsi="Arial;sans-serif"/>
                <w:b/>
                <w:i w:val="false"/>
                <w:caps w:val="false"/>
                <w:smallCaps w:val="false"/>
                <w:strike w:val="false"/>
                <w:dstrike w:val="false"/>
                <w:sz w:val="16"/>
                <w:u w:val="none"/>
                <w:effect w:val="none"/>
              </w:rPr>
            </w:pPr>
            <w:r>
              <w:rPr>
                <w:rFonts w:ascii="Arial;sans-serif" w:hAnsi="Arial;sans-serif"/>
                <w:b/>
                <w:i w:val="false"/>
                <w:caps w:val="false"/>
                <w:smallCaps w:val="false"/>
                <w:strike w:val="false"/>
                <w:dstrike w:val="false"/>
                <w:sz w:val="16"/>
                <w:u w:val="none"/>
                <w:effect w:val="none"/>
              </w:rPr>
              <w:t>Filing Date</w:t>
            </w:r>
          </w:p>
        </w:tc>
      </w:tr>
      <w:tr>
        <w:trPr/>
        <w:tc>
          <w:tcPr>
            <w:tcW w:w="87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3.1</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top w:val="single" w:sz="8" w:space="0" w:color="000000"/>
            </w:tcBorders>
            <w:tcMar>
              <w:left w:w="0" w:type="dxa"/>
              <w:bottom w:w="0" w:type="dxa"/>
              <w:right w:w="0" w:type="dxa"/>
            </w:tcMar>
            <w:vAlign w:val="center"/>
          </w:tcPr>
          <w:p>
            <w:pPr>
              <w:pStyle w:val="TableContents"/>
              <w:bidi w:val="0"/>
              <w:spacing w:lineRule="atLeast" w:line="160" w:before="0" w:after="0"/>
              <w:jc w:val="left"/>
              <w:rPr/>
            </w:pPr>
            <w:hyperlink r:id="rId2">
              <w:r>
                <w:rPr>
                  <w:rStyle w:val="InternetLink"/>
                  <w:rFonts w:ascii="Arial;sans-serif" w:hAnsi="Arial;sans-serif"/>
                  <w:b w:val="false"/>
                  <w:i w:val="false"/>
                  <w:caps w:val="false"/>
                  <w:smallCaps w:val="false"/>
                  <w:color w:val="0000FF"/>
                  <w:sz w:val="16"/>
                  <w:u w:val="single"/>
                </w:rPr>
                <w:t>Amended and Restated Certificate of Incorporation.</w:t>
              </w:r>
            </w:hyperlink>
          </w:p>
        </w:tc>
        <w:tc>
          <w:tcPr>
            <w:tcW w:w="52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8-K</w:t>
            </w:r>
          </w:p>
        </w:tc>
        <w:tc>
          <w:tcPr>
            <w:tcW w:w="93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 xml:space="preserve">001-42790    </w:t>
            </w:r>
          </w:p>
        </w:tc>
        <w:tc>
          <w:tcPr>
            <w:tcW w:w="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3.1</w:t>
            </w:r>
          </w:p>
        </w:tc>
        <w:tc>
          <w:tcPr>
            <w:tcW w:w="1006"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8/11/2025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3.2</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3">
              <w:r>
                <w:rPr>
                  <w:rStyle w:val="InternetLink"/>
                  <w:rFonts w:ascii="Arial;sans-serif" w:hAnsi="Arial;sans-serif"/>
                  <w:b w:val="false"/>
                  <w:i w:val="false"/>
                  <w:caps w:val="false"/>
                  <w:smallCaps w:val="false"/>
                  <w:color w:val="0000FF"/>
                  <w:sz w:val="16"/>
                  <w:u w:val="single"/>
                </w:rPr>
                <w:t>Amended and Restated Bylaws.</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8-K</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001-42790</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3.2</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8/11/2025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10.1#</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4">
              <w:r>
                <w:rPr>
                  <w:rStyle w:val="InternetLink"/>
                  <w:rFonts w:ascii="Arial;sans-serif" w:hAnsi="Arial;sans-serif"/>
                  <w:b w:val="false"/>
                  <w:i w:val="false"/>
                  <w:caps w:val="false"/>
                  <w:smallCaps w:val="false"/>
                  <w:color w:val="0000FF"/>
                  <w:sz w:val="16"/>
                  <w:u w:val="single"/>
                </w:rPr>
                <w:t>Heartflow, Inc. 2025 Performance Incentive Plan.</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S-1</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333-288733</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10.2</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7/17/2025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10.2#</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5">
              <w:r>
                <w:rPr>
                  <w:rStyle w:val="InternetLink"/>
                  <w:rFonts w:ascii="Arial;sans-serif" w:hAnsi="Arial;sans-serif"/>
                  <w:b w:val="false"/>
                  <w:i w:val="false"/>
                  <w:caps w:val="false"/>
                  <w:smallCaps w:val="false"/>
                  <w:color w:val="0000FF"/>
                  <w:sz w:val="16"/>
                  <w:u w:val="single"/>
                </w:rPr>
                <w:t xml:space="preserve">Heartflow, Inc. 2025 Performance Incentive Plan Form of Option Agreement </w:t>
              </w:r>
            </w:hyperlink>
          </w:p>
          <w:p>
            <w:pPr>
              <w:pStyle w:val="TableContents"/>
              <w:bidi w:val="0"/>
              <w:spacing w:lineRule="atLeast" w:line="160" w:before="0" w:after="0"/>
              <w:jc w:val="left"/>
              <w:rPr/>
            </w:pPr>
            <w:hyperlink r:id="rId6">
              <w:r>
                <w:rPr>
                  <w:rStyle w:val="InternetLink"/>
                  <w:rFonts w:ascii="Arial;sans-serif" w:hAnsi="Arial;sans-serif"/>
                  <w:b w:val="false"/>
                  <w:i w:val="false"/>
                  <w:caps w:val="false"/>
                  <w:smallCaps w:val="false"/>
                  <w:color w:val="0000FF"/>
                  <w:sz w:val="16"/>
                  <w:u w:val="single"/>
                </w:rPr>
                <w:t>(Employee).</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10-Q</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001-42790</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10.3</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9/19/2025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10.3#</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7">
              <w:r>
                <w:rPr>
                  <w:rStyle w:val="InternetLink"/>
                  <w:rFonts w:ascii="Arial;sans-serif" w:hAnsi="Arial;sans-serif"/>
                  <w:b w:val="false"/>
                  <w:i w:val="false"/>
                  <w:caps w:val="false"/>
                  <w:smallCaps w:val="false"/>
                  <w:color w:val="0000FF"/>
                  <w:sz w:val="16"/>
                  <w:u w:val="single"/>
                </w:rPr>
                <w:t xml:space="preserve">Heartflow, Inc. 2025 Performance Incentive Plan Form of Option Agreement </w:t>
              </w:r>
            </w:hyperlink>
          </w:p>
          <w:p>
            <w:pPr>
              <w:pStyle w:val="TableContents"/>
              <w:bidi w:val="0"/>
              <w:spacing w:lineRule="atLeast" w:line="160" w:before="0" w:after="0"/>
              <w:jc w:val="left"/>
              <w:rPr/>
            </w:pPr>
            <w:hyperlink r:id="rId8">
              <w:r>
                <w:rPr>
                  <w:rStyle w:val="InternetLink"/>
                  <w:rFonts w:ascii="Arial;sans-serif" w:hAnsi="Arial;sans-serif"/>
                  <w:b w:val="false"/>
                  <w:i w:val="false"/>
                  <w:caps w:val="false"/>
                  <w:smallCaps w:val="false"/>
                  <w:color w:val="0000FF"/>
                  <w:sz w:val="16"/>
                  <w:u w:val="single"/>
                </w:rPr>
                <w:t>(Director).</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10-Q</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001-42790</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10.4</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9/19/2025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10.4#</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9">
              <w:r>
                <w:rPr>
                  <w:rStyle w:val="InternetLink"/>
                  <w:rFonts w:ascii="Arial;sans-serif" w:hAnsi="Arial;sans-serif"/>
                  <w:b w:val="false"/>
                  <w:i w:val="false"/>
                  <w:caps w:val="false"/>
                  <w:smallCaps w:val="false"/>
                  <w:color w:val="0000FF"/>
                  <w:sz w:val="16"/>
                  <w:u w:val="single"/>
                </w:rPr>
                <w:t xml:space="preserve">Heartflow, Inc. 2025 Performance Incentive Plan Form of Restricted Stock Unit </w:t>
              </w:r>
            </w:hyperlink>
          </w:p>
          <w:p>
            <w:pPr>
              <w:pStyle w:val="TableContents"/>
              <w:bidi w:val="0"/>
              <w:spacing w:lineRule="atLeast" w:line="160" w:before="0" w:after="0"/>
              <w:jc w:val="left"/>
              <w:rPr/>
            </w:pPr>
            <w:hyperlink r:id="rId10">
              <w:r>
                <w:rPr>
                  <w:rStyle w:val="InternetLink"/>
                  <w:rFonts w:ascii="Arial;sans-serif" w:hAnsi="Arial;sans-serif"/>
                  <w:b w:val="false"/>
                  <w:i w:val="false"/>
                  <w:caps w:val="false"/>
                  <w:smallCaps w:val="false"/>
                  <w:color w:val="0000FF"/>
                  <w:sz w:val="16"/>
                  <w:u w:val="single"/>
                </w:rPr>
                <w:t>Agreement.</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10-Q</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001-42790</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10.5</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9/19/2025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10.5#</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11">
              <w:r>
                <w:rPr>
                  <w:rStyle w:val="InternetLink"/>
                  <w:rFonts w:ascii="Arial;sans-serif" w:hAnsi="Arial;sans-serif"/>
                  <w:b w:val="false"/>
                  <w:i w:val="false"/>
                  <w:caps w:val="false"/>
                  <w:smallCaps w:val="false"/>
                  <w:color w:val="0000FF"/>
                  <w:sz w:val="16"/>
                  <w:u w:val="single"/>
                </w:rPr>
                <w:t>Heartflow, Inc. 2025 Employee Stock Purchase Plan.</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S-1</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333-288733</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10.3</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7/17/2025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10.6#</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12">
              <w:r>
                <w:rPr>
                  <w:rStyle w:val="InternetLink"/>
                  <w:rFonts w:ascii="Arial;sans-serif" w:hAnsi="Arial;sans-serif"/>
                  <w:b w:val="false"/>
                  <w:i w:val="false"/>
                  <w:caps w:val="false"/>
                  <w:smallCaps w:val="false"/>
                  <w:color w:val="0000FF"/>
                  <w:sz w:val="16"/>
                  <w:u w:val="single"/>
                </w:rPr>
                <w:t>Heartflow, Inc. Senior Leadership Severance Policy.</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S-1</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4"/>
                <w:u w:val="none"/>
                <w:effect w:val="none"/>
              </w:rPr>
            </w:pPr>
            <w:r>
              <w:rPr>
                <w:rFonts w:ascii="Arial;sans-serif" w:hAnsi="Arial;sans-serif"/>
                <w:b w:val="false"/>
                <w:i w:val="false"/>
                <w:caps w:val="false"/>
                <w:smallCaps w:val="false"/>
                <w:strike w:val="false"/>
                <w:dstrike w:val="false"/>
                <w:color w:val="000000"/>
                <w:sz w:val="14"/>
                <w:u w:val="none"/>
                <w:effect w:val="none"/>
              </w:rPr>
              <w:t>333-288733</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10.4</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7/17/2025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10.7#</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r:id="rId13">
              <w:r>
                <w:rPr>
                  <w:rStyle w:val="InternetLink"/>
                  <w:rFonts w:ascii="Arial;sans-serif" w:hAnsi="Arial;sans-serif"/>
                  <w:b w:val="false"/>
                  <w:i w:val="false"/>
                  <w:caps w:val="false"/>
                  <w:smallCaps w:val="false"/>
                  <w:color w:val="0000FF"/>
                  <w:sz w:val="16"/>
                  <w:u w:val="single"/>
                </w:rPr>
                <w:t>Heartflow, Inc. Director Compensation Policy.</w:t>
              </w:r>
            </w:hyperlink>
          </w:p>
        </w:tc>
        <w:tc>
          <w:tcPr>
            <w:tcW w:w="52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10-Q</w:t>
            </w:r>
          </w:p>
        </w:tc>
        <w:tc>
          <w:tcPr>
            <w:tcW w:w="93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001-42790</w:t>
            </w:r>
          </w:p>
        </w:tc>
        <w:tc>
          <w:tcPr>
            <w:tcW w:w="66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10.8</w:t>
            </w:r>
          </w:p>
        </w:tc>
        <w:tc>
          <w:tcPr>
            <w:tcW w:w="1006"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sz w:val="14"/>
                <w:u w:val="none"/>
                <w:effect w:val="none"/>
              </w:rPr>
            </w:pPr>
            <w:r>
              <w:rPr>
                <w:rFonts w:ascii="Arial;sans-serif" w:hAnsi="Arial;sans-serif"/>
                <w:b w:val="false"/>
                <w:i w:val="false"/>
                <w:caps w:val="false"/>
                <w:smallCaps w:val="false"/>
                <w:strike w:val="false"/>
                <w:dstrike w:val="false"/>
                <w:sz w:val="14"/>
                <w:u w:val="none"/>
                <w:effect w:val="none"/>
              </w:rPr>
              <w:t>9/19/2025</w:t>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31.1+</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w:anchor="exhibit311-q3202510xq.htm">
              <w:r>
                <w:rPr>
                  <w:rStyle w:val="InternetLink"/>
                  <w:rFonts w:ascii="Arial;sans-serif" w:hAnsi="Arial;sans-serif"/>
                  <w:b w:val="false"/>
                  <w:i w:val="false"/>
                  <w:caps w:val="false"/>
                  <w:smallCaps w:val="false"/>
                  <w:color w:val="0000FF"/>
                  <w:sz w:val="16"/>
                  <w:u w:val="single"/>
                </w:rPr>
                <w:t xml:space="preserve">Certification of Principal Executive Officer pursuant to Securities Exchange Act </w:t>
              </w:r>
            </w:hyperlink>
          </w:p>
          <w:p>
            <w:pPr>
              <w:pStyle w:val="TableContents"/>
              <w:bidi w:val="0"/>
              <w:spacing w:lineRule="atLeast" w:line="160" w:before="0" w:after="0"/>
              <w:jc w:val="left"/>
              <w:rPr/>
            </w:pPr>
            <w:hyperlink w:anchor="exhibit311-q3202510xq.htm">
              <w:r>
                <w:rPr>
                  <w:rStyle w:val="InternetLink"/>
                  <w:rFonts w:ascii="Arial;sans-serif" w:hAnsi="Arial;sans-serif"/>
                  <w:b w:val="false"/>
                  <w:i w:val="false"/>
                  <w:caps w:val="false"/>
                  <w:smallCaps w:val="false"/>
                  <w:color w:val="0000FF"/>
                  <w:sz w:val="16"/>
                  <w:u w:val="single"/>
                </w:rPr>
                <w:t xml:space="preserve">Rules 13a-14(a) and 15d-14(a), as adopted pursuant to Section 302 of the </w:t>
              </w:r>
            </w:hyperlink>
          </w:p>
          <w:p>
            <w:pPr>
              <w:pStyle w:val="TableContents"/>
              <w:bidi w:val="0"/>
              <w:spacing w:lineRule="atLeast" w:line="160" w:before="0" w:after="0"/>
              <w:jc w:val="left"/>
              <w:rPr/>
            </w:pPr>
            <w:hyperlink w:anchor="exhibit311-q3202510xq.htm">
              <w:r>
                <w:rPr>
                  <w:rStyle w:val="InternetLink"/>
                  <w:rFonts w:ascii="Arial;sans-serif" w:hAnsi="Arial;sans-serif"/>
                  <w:b w:val="false"/>
                  <w:i w:val="false"/>
                  <w:caps w:val="false"/>
                  <w:smallCaps w:val="false"/>
                  <w:color w:val="0000FF"/>
                  <w:sz w:val="16"/>
                  <w:u w:val="single"/>
                </w:rPr>
                <w:t>Sarbanes-Oxley Act of 2002</w:t>
              </w:r>
            </w:hyperlink>
            <w:r>
              <w:rPr>
                <w:rFonts w:ascii="Arial;sans-serif" w:hAnsi="Arial;sans-serif"/>
                <w:b w:val="false"/>
                <w:i w:val="false"/>
                <w:caps w:val="false"/>
                <w:smallCaps w:val="false"/>
                <w:strike w:val="false"/>
                <w:dstrike w:val="false"/>
                <w:sz w:val="16"/>
                <w:u w:val="none"/>
                <w:effect w:val="none"/>
              </w:rPr>
              <w:t>.</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31.2+</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w:anchor="exhibit312-q3202510xq.htm">
              <w:r>
                <w:rPr>
                  <w:rStyle w:val="InternetLink"/>
                  <w:rFonts w:ascii="Arial;sans-serif" w:hAnsi="Arial;sans-serif"/>
                  <w:b w:val="false"/>
                  <w:i w:val="false"/>
                  <w:caps w:val="false"/>
                  <w:smallCaps w:val="false"/>
                  <w:color w:val="0000FF"/>
                  <w:sz w:val="16"/>
                  <w:u w:val="single"/>
                </w:rPr>
                <w:t xml:space="preserve">Certification of Principal Financial Officer pursuant to Securities Exchange Act </w:t>
              </w:r>
            </w:hyperlink>
          </w:p>
          <w:p>
            <w:pPr>
              <w:pStyle w:val="TableContents"/>
              <w:bidi w:val="0"/>
              <w:spacing w:lineRule="atLeast" w:line="160" w:before="0" w:after="0"/>
              <w:jc w:val="left"/>
              <w:rPr/>
            </w:pPr>
            <w:hyperlink w:anchor="exhibit312-q3202510xq.htm">
              <w:r>
                <w:rPr>
                  <w:rStyle w:val="InternetLink"/>
                  <w:rFonts w:ascii="Arial;sans-serif" w:hAnsi="Arial;sans-serif"/>
                  <w:b w:val="false"/>
                  <w:i w:val="false"/>
                  <w:caps w:val="false"/>
                  <w:smallCaps w:val="false"/>
                  <w:color w:val="0000FF"/>
                  <w:sz w:val="16"/>
                  <w:u w:val="single"/>
                </w:rPr>
                <w:t xml:space="preserve">Rules 13a-14(a) and 15d-14(a), as adopted pursuant to Section 302 of the </w:t>
              </w:r>
            </w:hyperlink>
          </w:p>
          <w:p>
            <w:pPr>
              <w:pStyle w:val="TableContents"/>
              <w:bidi w:val="0"/>
              <w:spacing w:lineRule="atLeast" w:line="160" w:before="0" w:after="0"/>
              <w:jc w:val="left"/>
              <w:rPr/>
            </w:pPr>
            <w:hyperlink w:anchor="exhibit312-q3202510xq.htm">
              <w:r>
                <w:rPr>
                  <w:rStyle w:val="InternetLink"/>
                  <w:rFonts w:ascii="Arial;sans-serif" w:hAnsi="Arial;sans-serif"/>
                  <w:b w:val="false"/>
                  <w:i w:val="false"/>
                  <w:caps w:val="false"/>
                  <w:smallCaps w:val="false"/>
                  <w:color w:val="0000FF"/>
                  <w:sz w:val="16"/>
                  <w:u w:val="single"/>
                </w:rPr>
                <w:t>Sarbanes-Oxley Act of 2002</w:t>
              </w:r>
            </w:hyperlink>
            <w:r>
              <w:rPr>
                <w:rFonts w:ascii="Arial;sans-serif" w:hAnsi="Arial;sans-serif"/>
                <w:b w:val="false"/>
                <w:i w:val="false"/>
                <w:caps w:val="false"/>
                <w:smallCaps w:val="false"/>
                <w:strike w:val="false"/>
                <w:dstrike w:val="false"/>
                <w:sz w:val="16"/>
                <w:u w:val="none"/>
                <w:effect w:val="none"/>
              </w:rPr>
              <w:t>.</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32.1*</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w:anchor="exhibit321-q3202510xq.htm">
              <w:r>
                <w:rPr>
                  <w:rStyle w:val="InternetLink"/>
                  <w:rFonts w:ascii="Arial;sans-serif" w:hAnsi="Arial;sans-serif"/>
                  <w:b w:val="false"/>
                  <w:i w:val="false"/>
                  <w:caps w:val="false"/>
                  <w:smallCaps w:val="false"/>
                  <w:color w:val="0000FF"/>
                  <w:sz w:val="16"/>
                  <w:u w:val="single"/>
                </w:rPr>
                <w:t xml:space="preserve">Certification of Chief Executive Officer pursuant to 18 U.S.C. Section 1350, as </w:t>
              </w:r>
            </w:hyperlink>
          </w:p>
          <w:p>
            <w:pPr>
              <w:pStyle w:val="TableContents"/>
              <w:bidi w:val="0"/>
              <w:spacing w:lineRule="atLeast" w:line="160" w:before="0" w:after="0"/>
              <w:jc w:val="left"/>
              <w:rPr/>
            </w:pPr>
            <w:hyperlink w:anchor="exhibit321-q3202510xq.htm">
              <w:r>
                <w:rPr>
                  <w:rStyle w:val="InternetLink"/>
                  <w:rFonts w:ascii="Arial;sans-serif" w:hAnsi="Arial;sans-serif"/>
                  <w:b w:val="false"/>
                  <w:i w:val="false"/>
                  <w:caps w:val="false"/>
                  <w:smallCaps w:val="false"/>
                  <w:color w:val="0000FF"/>
                  <w:sz w:val="16"/>
                  <w:u w:val="single"/>
                </w:rPr>
                <w:t>adopted pursuant to Section 906 of the Sarbanes-Oxley Act of 2002</w:t>
              </w:r>
            </w:hyperlink>
            <w:r>
              <w:rPr>
                <w:rFonts w:ascii="Arial;sans-serif" w:hAnsi="Arial;sans-serif"/>
                <w:b w:val="false"/>
                <w:i w:val="false"/>
                <w:caps w:val="false"/>
                <w:smallCaps w:val="false"/>
                <w:strike w:val="false"/>
                <w:dstrike w:val="false"/>
                <w:sz w:val="16"/>
                <w:u w:val="none"/>
                <w:effect w:val="none"/>
              </w:rPr>
              <w:t>.</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32.2*</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pPr>
            <w:hyperlink w:anchor="exhibit322-q3202510xq.htm">
              <w:r>
                <w:rPr>
                  <w:rStyle w:val="InternetLink"/>
                  <w:rFonts w:ascii="Arial;sans-serif" w:hAnsi="Arial;sans-serif"/>
                  <w:b w:val="false"/>
                  <w:i w:val="false"/>
                  <w:caps w:val="false"/>
                  <w:smallCaps w:val="false"/>
                  <w:color w:val="0000FF"/>
                  <w:sz w:val="16"/>
                  <w:u w:val="single"/>
                </w:rPr>
                <w:t xml:space="preserve">Certification of Chief Financial Officer pursuant to 18 U.S.C. Section 1350, as </w:t>
              </w:r>
            </w:hyperlink>
          </w:p>
          <w:p>
            <w:pPr>
              <w:pStyle w:val="TableContents"/>
              <w:bidi w:val="0"/>
              <w:spacing w:lineRule="atLeast" w:line="160" w:before="0" w:after="0"/>
              <w:jc w:val="left"/>
              <w:rPr/>
            </w:pPr>
            <w:hyperlink w:anchor="exhibit322-q3202510xq.htm">
              <w:r>
                <w:rPr>
                  <w:rStyle w:val="InternetLink"/>
                  <w:rFonts w:ascii="Arial;sans-serif" w:hAnsi="Arial;sans-serif"/>
                  <w:b w:val="false"/>
                  <w:i w:val="false"/>
                  <w:caps w:val="false"/>
                  <w:smallCaps w:val="false"/>
                  <w:color w:val="0000FF"/>
                  <w:sz w:val="16"/>
                  <w:u w:val="single"/>
                </w:rPr>
                <w:t>adopted pursuant to Section 906 of the Sarbanes-Oxley Act of 2002</w:t>
              </w:r>
            </w:hyperlink>
            <w:r>
              <w:rPr>
                <w:rFonts w:ascii="Arial;sans-serif" w:hAnsi="Arial;sans-serif"/>
                <w:b w:val="false"/>
                <w:i w:val="false"/>
                <w:caps w:val="false"/>
                <w:smallCaps w:val="false"/>
                <w:strike w:val="false"/>
                <w:dstrike w:val="false"/>
                <w:sz w:val="16"/>
                <w:u w:val="none"/>
                <w:effect w:val="none"/>
              </w:rPr>
              <w:t>.</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101.INS+</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Inline XBRL Instance Document – the instance document does not appear in the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 xml:space="preserve">Interactive Data File because XBRL tags are embedded within the Inline XBRL </w:t>
            </w:r>
          </w:p>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document.</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101.SCH+</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Inline XBRL Taxonomy Extension Schema with Embedded Linkbase Documents.</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104+</w:t>
            </w:r>
          </w:p>
        </w:tc>
        <w:tc>
          <w:tcPr>
            <w:tcW w:w="109"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sz w:val="16"/>
                <w:u w:val="none"/>
                <w:effect w:val="none"/>
              </w:rPr>
            </w:pPr>
            <w:r>
              <w:rPr>
                <w:rFonts w:ascii="Arial;sans-serif" w:hAnsi="Arial;sans-serif"/>
                <w:b w:val="false"/>
                <w:i w:val="false"/>
                <w:caps w:val="false"/>
                <w:smallCaps w:val="false"/>
                <w:strike w:val="false"/>
                <w:dstrike w:val="false"/>
                <w:sz w:val="16"/>
                <w:u w:val="none"/>
                <w:effect w:val="none"/>
              </w:rPr>
              <w:t>Cover Page Interactive Data File (embedded within the Inline XBRL document).</w:t>
            </w:r>
          </w:p>
        </w:tc>
        <w:tc>
          <w:tcPr>
            <w:tcW w:w="5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#Indicates management contract or compensatory plan. </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+Filed herewith.</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 xml:space="preserve">*The certification attached as Exhibit 32.1 and Exhibit 32.2 that accompanies this Quarterly Report on Form 10-Q pursuant to 18 U.S.C. Section 1350, as </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 xml:space="preserve">adopted pursuant to Section 906 of the Sarbanes-Oxley Act of 2002, is not deemed “filed” by the Registrant for purposes of Section 18 of the Securities </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Exchange Act of 1934, as amended.</w:t>
      </w:r>
    </w:p>
    <w:p>
      <w:pPr>
        <w:pStyle w:val="TextBody"/>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107</w:t>
      </w:r>
    </w:p>
    <w:p>
      <w:pPr>
        <w:pStyle w:val="TextBody"/>
        <w:bidi w:val="0"/>
        <w:spacing w:lineRule="atLeast" w:line="200" w:before="0" w:after="0"/>
        <w:jc w:val="left"/>
        <w:rPr/>
      </w:pPr>
      <w:hyperlink w:anchor="id1290140f1964f6aa0c38a63d928decf_7">
        <w:r>
          <w:rPr>
            <w:rStyle w:val="InternetLink"/>
            <w:rFonts w:ascii="Arial;sans-serif" w:hAnsi="Arial;sans-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0" w:before="0" w:after="0"/>
        <w:jc w:val="left"/>
        <w:rPr>
          <w:rFonts w:ascii="Arial;sans-serif" w:hAnsi="Arial;sans-serif"/>
          <w:b/>
          <w:i w:val="false"/>
          <w:caps w:val="false"/>
          <w:smallCaps w:val="false"/>
          <w:strike w:val="false"/>
          <w:dstrike w:val="false"/>
          <w:sz w:val="28"/>
          <w:u w:val="none"/>
          <w:effect w:val="none"/>
        </w:rPr>
      </w:pPr>
      <w:r>
        <w:rPr>
          <w:rFonts w:ascii="Arial;sans-serif" w:hAnsi="Arial;sans-serif"/>
          <w:b/>
          <w:i w:val="false"/>
          <w:caps w:val="false"/>
          <w:smallCaps w:val="false"/>
          <w:strike w:val="false"/>
          <w:dstrike w:val="false"/>
          <w:sz w:val="28"/>
          <w:u w:val="none"/>
          <w:effect w:val="none"/>
        </w:rPr>
        <w:t>Signatures</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 xml:space="preserve">Pursuant to the requirements of the Securities Exchange Act of 1934, the registrant has duly caused this </w:t>
      </w:r>
    </w:p>
    <w:p>
      <w:pPr>
        <w:pStyle w:val="TextBody"/>
        <w:bidi w:val="0"/>
        <w:spacing w:lineRule="atLeast" w:line="200" w:before="0" w:after="0"/>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report to be signed on its behalf by the undersigned thereunto duly authorized. </w:t>
      </w:r>
    </w:p>
    <w:tbl>
      <w:tblPr>
        <w:tblW w:w="6183" w:type="dxa"/>
        <w:jc w:val="left"/>
        <w:tblInd w:w="0" w:type="dxa"/>
        <w:tblLayout w:type="fixed"/>
        <w:tblCellMar>
          <w:top w:w="28" w:type="dxa"/>
          <w:left w:w="28" w:type="dxa"/>
          <w:bottom w:w="28" w:type="dxa"/>
          <w:right w:w="28" w:type="dxa"/>
        </w:tblCellMar>
      </w:tblPr>
      <w:tblGrid>
        <w:gridCol w:w="2341"/>
        <w:gridCol w:w="203"/>
        <w:gridCol w:w="203"/>
        <w:gridCol w:w="3436"/>
      </w:tblGrid>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before="0" w:after="283"/>
              <w:jc w:val="left"/>
              <w:rPr>
                <w:sz w:val="4"/>
                <w:szCs w:val="4"/>
              </w:rPr>
            </w:pPr>
            <w:r>
              <w:rPr>
                <w:sz w:val="4"/>
                <w:szCs w:val="4"/>
              </w:rPr>
            </w:r>
          </w:p>
        </w:tc>
        <w:tc>
          <w:tcPr>
            <w:tcW w:w="3842" w:type="dxa"/>
            <w:gridSpan w:val="3"/>
            <w:tcBorders/>
            <w:vAlign w:val="center"/>
          </w:tcPr>
          <w:p>
            <w:pPr>
              <w:pStyle w:val="TableContents"/>
              <w:bidi w:val="0"/>
              <w:spacing w:lineRule="atLeast" w:line="200"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HEARTFLOW, INC.</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Date: November 12, 2025</w:t>
            </w:r>
          </w:p>
        </w:tc>
        <w:tc>
          <w:tcPr>
            <w:tcW w:w="406" w:type="dxa"/>
            <w:gridSpan w:val="2"/>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By:</w:t>
            </w:r>
          </w:p>
        </w:tc>
        <w:tc>
          <w:tcPr>
            <w:tcW w:w="34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 John C.M. Farquhar</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John C.M. Farquhar</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President and Chief Executive Officer</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(Principal Executive Officer)</w:t>
            </w:r>
          </w:p>
        </w:tc>
      </w:tr>
    </w:tbl>
    <w:tbl>
      <w:tblPr>
        <w:tblW w:w="5253" w:type="dxa"/>
        <w:jc w:val="left"/>
        <w:tblInd w:w="0" w:type="dxa"/>
        <w:tblLayout w:type="fixed"/>
        <w:tblCellMar>
          <w:top w:w="28" w:type="dxa"/>
          <w:left w:w="28" w:type="dxa"/>
          <w:bottom w:w="28" w:type="dxa"/>
          <w:right w:w="28" w:type="dxa"/>
        </w:tblCellMar>
      </w:tblPr>
      <w:tblGrid>
        <w:gridCol w:w="2341"/>
        <w:gridCol w:w="203"/>
        <w:gridCol w:w="203"/>
        <w:gridCol w:w="2506"/>
      </w:tblGrid>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Date: November 12, 2025</w:t>
            </w:r>
          </w:p>
        </w:tc>
        <w:tc>
          <w:tcPr>
            <w:tcW w:w="406" w:type="dxa"/>
            <w:gridSpan w:val="2"/>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By:</w:t>
            </w:r>
          </w:p>
        </w:tc>
        <w:tc>
          <w:tcPr>
            <w:tcW w:w="250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 Vikram Verghese</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0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Vikram Verghese</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Chief Financial Officer</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(Principal Financial Officer)</w:t>
            </w:r>
          </w:p>
        </w:tc>
      </w:tr>
    </w:tbl>
    <w:tbl>
      <w:tblPr>
        <w:tblW w:w="5733" w:type="dxa"/>
        <w:jc w:val="left"/>
        <w:tblInd w:w="0" w:type="dxa"/>
        <w:tblLayout w:type="fixed"/>
        <w:tblCellMar>
          <w:top w:w="28" w:type="dxa"/>
          <w:left w:w="28" w:type="dxa"/>
          <w:bottom w:w="28" w:type="dxa"/>
          <w:right w:w="28" w:type="dxa"/>
        </w:tblCellMar>
      </w:tblPr>
      <w:tblGrid>
        <w:gridCol w:w="2341"/>
        <w:gridCol w:w="203"/>
        <w:gridCol w:w="203"/>
        <w:gridCol w:w="2986"/>
      </w:tblGrid>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2341" w:type="dxa"/>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Date: November 12, 2025</w:t>
            </w:r>
          </w:p>
        </w:tc>
        <w:tc>
          <w:tcPr>
            <w:tcW w:w="406" w:type="dxa"/>
            <w:gridSpan w:val="2"/>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By:</w:t>
            </w:r>
          </w:p>
        </w:tc>
        <w:tc>
          <w:tcPr>
            <w:tcW w:w="298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/s/ Mhairi L. Jones</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8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Mhairi L. Jones</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sz w:val="20"/>
                <w:u w:val="none"/>
                <w:effect w:val="none"/>
              </w:rPr>
            </w:pPr>
            <w:r>
              <w:rPr>
                <w:rFonts w:ascii="Arial;sans-serif" w:hAnsi="Arial;sans-serif"/>
                <w:b w:val="false"/>
                <w:i w:val="false"/>
                <w:caps w:val="false"/>
                <w:smallCaps w:val="false"/>
                <w:strike w:val="false"/>
                <w:dstrike w:val="false"/>
                <w:sz w:val="20"/>
                <w:u w:val="none"/>
                <w:effect w:val="none"/>
              </w:rPr>
              <w:t>Chief Accounting Officer and VP</w:t>
            </w:r>
          </w:p>
        </w:tc>
      </w:tr>
      <w:tr>
        <w:trPr/>
        <w:tc>
          <w:tcPr>
            <w:tcW w:w="23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lineRule="atLeast" w:line="200" w:before="0" w:after="0"/>
              <w:jc w:val="left"/>
              <w:rPr>
                <w:rFonts w:ascii="Arial;sans-serif" w:hAnsi="Arial;sans-serif"/>
                <w:b w:val="false"/>
                <w:i/>
                <w:strike w:val="false"/>
                <w:dstrike w:val="false"/>
                <w:sz w:val="20"/>
                <w:u w:val="none"/>
                <w:effect w:val="none"/>
              </w:rPr>
            </w:pPr>
            <w:r>
              <w:rPr>
                <w:rFonts w:ascii="Arial;sans-serif" w:hAnsi="Arial;sans-serif"/>
                <w:b w:val="false"/>
                <w:i/>
                <w:strike w:val="false"/>
                <w:dstrike w:val="false"/>
                <w:sz w:val="20"/>
                <w:u w:val="none"/>
                <w:effect w:val="none"/>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John C.M. Farquhar,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Heartflow,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098"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948"/>
        <w:gridCol w:w="948"/>
        <w:gridCol w:w="134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C.M. Farquhar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C.M. Farquhar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Vikram Verghese,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Heartflow, Inc.;</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b.[Omitted];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379"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738"/>
        <w:gridCol w:w="738"/>
        <w:gridCol w:w="104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Vikram Verghese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Vikram Verghese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Heartflow, Inc. (the “Company”) on Form 10-Q for the period ended September 30, 2025 as filed with the Securities and Exchange Commission on the date hereof (the “Report”), I certify that, to the best of my knowledge,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098"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948"/>
        <w:gridCol w:w="948"/>
        <w:gridCol w:w="134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C.M. Farquhar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C.M. Farquhar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Heartflow, Inc. (the “Company”) on Form 10-Q for the period ended September 30, 2025 as filed with the Securities and Exchange Commission on the date hereof (the “Report”), I certify that, to the best of my knowledge, pursuant to 18 U.S.C. § 1350, as adopted pursuant to § 906 of the Sarbanes-Oxley Act of 2002, that: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379"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738"/>
        <w:gridCol w:w="738"/>
        <w:gridCol w:w="104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12, 2025</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Vikram Verghese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Vikram Verghese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4521/000162828025039636/exhibit31-8xk.htm" TargetMode="External"/><Relationship Id="rId3" Type="http://schemas.openxmlformats.org/officeDocument/2006/relationships/hyperlink" Target="https://www.sec.gov/Archives/edgar/data/1464521/000162828025039636/exhibit32-8xk.htm" TargetMode="External"/><Relationship Id="rId4" Type="http://schemas.openxmlformats.org/officeDocument/2006/relationships/hyperlink" Target="https://www.sec.gov/Archives/edgar/data/1464521/000162828025035242/exhibit102-sx1.htm" TargetMode="External"/><Relationship Id="rId5" Type="http://schemas.openxmlformats.org/officeDocument/2006/relationships/hyperlink" Target="https://www.sec.gov/Archives/edgar/data/1464521/000146452125000012/exhibit103-q2202510xq.htm" TargetMode="External"/><Relationship Id="rId6" Type="http://schemas.openxmlformats.org/officeDocument/2006/relationships/hyperlink" Target="https://www.sec.gov/Archives/edgar/data/1464521/000146452125000012/exhibit103-q2202510xq.htm" TargetMode="External"/><Relationship Id="rId7" Type="http://schemas.openxmlformats.org/officeDocument/2006/relationships/hyperlink" Target="https://www.sec.gov/Archives/edgar/data/1464521/000146452125000012/exhibit104-q2202510xq.htm" TargetMode="External"/><Relationship Id="rId8" Type="http://schemas.openxmlformats.org/officeDocument/2006/relationships/hyperlink" Target="https://www.sec.gov/Archives/edgar/data/1464521/000146452125000012/exhibit104-q2202510xq.htm" TargetMode="External"/><Relationship Id="rId9" Type="http://schemas.openxmlformats.org/officeDocument/2006/relationships/hyperlink" Target="https://www.sec.gov/Archives/edgar/data/1464521/000146452125000012/exhibit105-q2202510xq.htm" TargetMode="External"/><Relationship Id="rId10" Type="http://schemas.openxmlformats.org/officeDocument/2006/relationships/hyperlink" Target="https://www.sec.gov/Archives/edgar/data/1464521/000146452125000012/exhibit105-q2202510xq.htm" TargetMode="External"/><Relationship Id="rId11" Type="http://schemas.openxmlformats.org/officeDocument/2006/relationships/hyperlink" Target="https://www.sec.gov/Archives/edgar/data/1464521/000162828025035242/exhibit103-sx1.htm" TargetMode="External"/><Relationship Id="rId12" Type="http://schemas.openxmlformats.org/officeDocument/2006/relationships/hyperlink" Target="https://www.sec.gov/Archives/edgar/data/1464521/000162828025035242/exhibit104-sx1.htm" TargetMode="External"/><Relationship Id="rId13" Type="http://schemas.openxmlformats.org/officeDocument/2006/relationships/hyperlink" Target="https://www.sec.gov/Archives/edgar/data/1464521/000146452125000012/exhibit108-q2202510xq.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63181</Words>
  <Characters>373613</Characters>
  <CharactersWithSpaces>434158</CharactersWithSpaces>
  <Paragraphs>6319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